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eo-20231231.htm"/>
      <w:bookmarkStart w:id="1" w:name="ksgeo20231231"/>
      <w:bookmarkEnd w:id="0"/>
      <w:bookmarkEnd w:id="1"/>
      <w:r>
        <w:rPr/>
        <w:t> </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sz w:val="20"/>
        </w:rPr>
      </w:pPr>
      <w:r>
        <w:rPr>
          <w:rFonts w:ascii="Times New Roman" w:hAnsi="Times New Roman"/>
          <w:b/>
          <w:color w:val="000000"/>
          <w:sz w:val="32"/>
        </w:rPr>
        <w:t>Form</w:t>
      </w:r>
      <w:r>
        <w:rPr>
          <w:rFonts w:ascii="Times New Roman" w:hAnsi="Times New Roman"/>
          <w:color w:val="000000"/>
          <w:sz w:val="20"/>
        </w:rPr>
        <w:t xml:space="preserve"> </w:t>
      </w:r>
      <w:r>
        <w:rPr>
          <w:rFonts w:ascii="Times New Roman" w:hAnsi="Times New Roman"/>
          <w:b/>
          <w:color w:val="000000"/>
          <w:sz w:val="32"/>
        </w:rPr>
        <w:t>10-K</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(Mark One)</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5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40" w:after="283"/>
        <w:jc w:val="center"/>
        <w:rPr>
          <w:rFonts w:ascii="Times New Roman" w:hAnsi="Times New Roman"/>
          <w:sz w:val="20"/>
        </w:rPr>
      </w:pPr>
      <w:r>
        <w:rPr>
          <w:rFonts w:ascii="Times New Roman" w:hAnsi="Times New Roman"/>
          <w:b/>
          <w:color w:val="000000"/>
          <w:sz w:val="20"/>
        </w:rPr>
        <w:t>For the fiscal year ended</w:t>
      </w:r>
      <w:r>
        <w:rPr>
          <w:rFonts w:ascii="Times New Roman" w:hAnsi="Times New Roman"/>
          <w:color w:val="000000"/>
          <w:sz w:val="20"/>
        </w:rPr>
        <w:t xml:space="preserve"> </w:t>
      </w:r>
      <w:r>
        <w:rPr>
          <w:rFonts w:ascii="Times New Roman" w:hAnsi="Times New Roman"/>
          <w:b/>
          <w:color w:val="000000"/>
          <w:sz w:val="20"/>
        </w:rPr>
        <w:t>December 31, 2023</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left"/>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1-14260</w:t>
      </w:r>
    </w:p>
    <w:p>
      <w:pPr>
        <w:pStyle w:val="TextBody"/>
        <w:bidi w:val="0"/>
        <w:spacing w:before="40" w:after="283"/>
        <w:jc w:val="center"/>
        <w:rPr>
          <w:rFonts w:ascii="Times New Roman" w:hAnsi="Times New Roman"/>
          <w:b/>
          <w:color w:val="000000"/>
          <w:sz w:val="40"/>
        </w:rPr>
      </w:pPr>
      <w:r>
        <w:rPr>
          <w:rFonts w:ascii="Times New Roman" w:hAnsi="Times New Roman"/>
          <w:b/>
          <w:color w:val="000000"/>
          <w:sz w:val="4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2431"/>
        <w:gridCol w:w="146"/>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65-0043078</w:t>
            </w:r>
          </w:p>
        </w:tc>
      </w:tr>
      <w:tr>
        <w:trPr/>
        <w:tc>
          <w:tcPr>
            <w:tcW w:w="243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4955 Technology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Boca Raton, Florida</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33431</w:t>
            </w:r>
          </w:p>
        </w:tc>
      </w:tr>
      <w:tr>
        <w:trPr/>
        <w:tc>
          <w:tcPr>
            <w:tcW w:w="243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Registrant’s telephone number, including area code: (561) 893-0101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570" w:type="dxa"/>
        <w:jc w:val="left"/>
        <w:tblInd w:w="0" w:type="dxa"/>
        <w:tblLayout w:type="fixed"/>
        <w:tblCellMar>
          <w:top w:w="28" w:type="dxa"/>
          <w:left w:w="28" w:type="dxa"/>
          <w:bottom w:w="28" w:type="dxa"/>
          <w:right w:w="28" w:type="dxa"/>
        </w:tblCellMar>
      </w:tblPr>
      <w:tblGrid>
        <w:gridCol w:w="2506"/>
        <w:gridCol w:w="146"/>
        <w:gridCol w:w="1456"/>
        <w:gridCol w:w="146"/>
        <w:gridCol w:w="331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0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 $0.01 Par Value</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GEO</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New York Stock Exchange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12(g) of the Act:</w:t>
      </w:r>
    </w:p>
    <w:p>
      <w:pPr>
        <w:pStyle w:val="TextBody"/>
        <w:bidi w:val="0"/>
        <w:jc w:val="center"/>
        <w:rPr>
          <w:rFonts w:ascii="Times New Roman" w:hAnsi="Times New Roman"/>
          <w:b/>
          <w:color w:val="000000"/>
          <w:sz w:val="20"/>
        </w:rPr>
      </w:pPr>
      <w:r>
        <w:rPr>
          <w:rFonts w:ascii="Times New Roman" w:hAnsi="Times New Roman"/>
          <w:b/>
          <w:color w:val="000000"/>
          <w:sz w:val="20"/>
        </w:rPr>
        <w:t>None</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82" w:type="dxa"/>
        <w:jc w:val="left"/>
        <w:tblInd w:w="0" w:type="dxa"/>
        <w:tblLayout w:type="fixed"/>
        <w:tblCellMar>
          <w:top w:w="28" w:type="dxa"/>
          <w:left w:w="28" w:type="dxa"/>
          <w:bottom w:w="28" w:type="dxa"/>
          <w:right w:w="28" w:type="dxa"/>
        </w:tblCellMar>
      </w:tblPr>
      <w:tblGrid>
        <w:gridCol w:w="1666"/>
        <w:gridCol w:w="146"/>
        <w:gridCol w:w="37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 xml:space="preserve">☒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Times New Roman" w:hAnsi="Times New Roman"/>
          <w:color w:val="231F2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r>
        <w:rPr>
          <w:rFonts w:ascii="Times New Roman" w:hAnsi="Times New Roman"/>
          <w:color w:val="231F2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The aggregate market value of the 122,928,458 voting and non-voting shares of common stock held by non-affiliates of the registrant as of June 30, 2023 (based on the last reported sales price of such stock on the New York Stock Exchange on such date, the last business day of the registrant's quarter ended June 30, 2023 of $7.16 per share) was approximately $0.9</w:t>
      </w:r>
      <w:r>
        <w:rPr>
          <w:rFonts w:ascii="Times New Roman" w:hAnsi="Times New Roman"/>
          <w:color w:val="000000"/>
          <w:sz w:val="20"/>
        </w:rPr>
        <w:t xml:space="preserve"> </w:t>
      </w:r>
      <w:r>
        <w:rPr>
          <w:rFonts w:ascii="Times New Roman" w:hAnsi="Times New Roman"/>
          <w:color w:val="000000"/>
          <w:sz w:val="18"/>
        </w:rPr>
        <w:t>billion.</w:t>
      </w:r>
    </w:p>
    <w:p>
      <w:pPr>
        <w:pStyle w:val="TextBody"/>
        <w:bidi w:val="0"/>
        <w:spacing w:before="40" w:after="283"/>
        <w:jc w:val="left"/>
        <w:rPr>
          <w:rFonts w:ascii="Times New Roman" w:hAnsi="Times New Roman"/>
          <w:sz w:val="20"/>
        </w:rPr>
      </w:pPr>
      <w:r>
        <w:rPr>
          <w:rFonts w:ascii="Times New Roman" w:hAnsi="Times New Roman"/>
          <w:color w:val="000000"/>
          <w:sz w:val="18"/>
        </w:rPr>
        <w:t>As of February 20, 2024, the registrant had 126,112,948</w:t>
      </w:r>
      <w:r>
        <w:rPr>
          <w:rFonts w:ascii="Times New Roman" w:hAnsi="Times New Roman"/>
          <w:color w:val="000000"/>
          <w:sz w:val="20"/>
        </w:rPr>
        <w:t xml:space="preserve"> </w:t>
      </w:r>
      <w:r>
        <w:rPr>
          <w:rFonts w:ascii="Times New Roman" w:hAnsi="Times New Roman"/>
          <w:color w:val="000000"/>
          <w:sz w:val="18"/>
        </w:rPr>
        <w:t>shares of common stock outstanding.</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Certain portions of the registrant’s definitive proxy statement pursuant to Regulation 14A of the Securities Exchange Act of 1934 for its 2024 annual meeting of shareholders, which will be filed with the Securities and Exchange Commission within 120 days after the end of the year covered by this report, are incorporated by reference into Part III of this report.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Auditor Firm Id: 248</w:t>
      </w:r>
      <w:r>
        <w:rPr>
          <w:rFonts w:ascii="Times New Roman" w:hAnsi="Times New Roman"/>
          <w:color w:val="000000"/>
          <w:sz w:val="20"/>
        </w:rPr>
        <w:t xml:space="preserve"> </w:t>
      </w:r>
      <w:r>
        <w:rPr>
          <w:rFonts w:ascii="Times New Roman" w:hAnsi="Times New Roman"/>
          <w:color w:val="000000"/>
          <w:sz w:val="18"/>
        </w:rPr>
        <w:t>Auditor Name: Grant Thornton LLP</w:t>
      </w:r>
      <w:r>
        <w:rPr>
          <w:rFonts w:ascii="Times New Roman" w:hAnsi="Times New Roman"/>
          <w:color w:val="000000"/>
          <w:sz w:val="20"/>
        </w:rPr>
        <w:t xml:space="preserve"> </w:t>
      </w:r>
      <w:r>
        <w:rPr>
          <w:rFonts w:ascii="Times New Roman" w:hAnsi="Times New Roman"/>
          <w:color w:val="000000"/>
          <w:sz w:val="18"/>
        </w:rPr>
        <w:t>Auditor Location: Miami, Florida, United States of America</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8896"/>
        <w:gridCol w:w="512"/>
      </w:tblGrid>
      <w:tr>
        <w:trPr/>
        <w:tc>
          <w:tcPr>
            <w:tcW w:w="797"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97"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c>
          <w:tcPr>
            <w:tcW w:w="5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vAlign w:val="center"/>
          </w:tcPr>
          <w:p>
            <w:pPr>
              <w:pStyle w:val="TableContents"/>
              <w:bidi w:val="0"/>
              <w:spacing w:before="0" w:after="283"/>
              <w:jc w:val="center"/>
              <w:rPr/>
            </w:pPr>
            <w:hyperlink w:anchor="part_i">
              <w:r>
                <w:rPr>
                  <w:rStyle w:val="InternetLink"/>
                  <w:rFonts w:ascii="Times New Roman" w:hAnsi="Times New Roman"/>
                  <w:b/>
                  <w:color w:val="0000FF"/>
                  <w:sz w:val="20"/>
                </w:rPr>
                <w:t>PART I</w:t>
              </w:r>
            </w:hyperlink>
          </w:p>
        </w:tc>
        <w:tc>
          <w:tcPr>
            <w:tcW w:w="512"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96" w:type="dxa"/>
            <w:tcBorders/>
            <w:vAlign w:val="center"/>
          </w:tcPr>
          <w:p>
            <w:pPr>
              <w:pStyle w:val="TableContents"/>
              <w:bidi w:val="0"/>
              <w:spacing w:before="0" w:after="283"/>
              <w:jc w:val="left"/>
              <w:rPr/>
            </w:pPr>
            <w:hyperlink w:anchor="item_1_business">
              <w:r>
                <w:rPr>
                  <w:rStyle w:val="InternetLink"/>
                  <w:rFonts w:ascii="Times New Roman" w:hAnsi="Times New Roman"/>
                  <w:i/>
                  <w:color w:val="0000FF"/>
                  <w:sz w:val="20"/>
                </w:rPr>
                <w:t>Business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96" w:type="dxa"/>
            <w:tcBorders/>
            <w:vAlign w:val="center"/>
          </w:tcPr>
          <w:p>
            <w:pPr>
              <w:pStyle w:val="TableContents"/>
              <w:bidi w:val="0"/>
              <w:spacing w:before="0" w:after="283"/>
              <w:jc w:val="left"/>
              <w:rPr/>
            </w:pPr>
            <w:hyperlink w:anchor="item_1a_risk_factors">
              <w:r>
                <w:rPr>
                  <w:rStyle w:val="InternetLink"/>
                  <w:rFonts w:ascii="Times New Roman" w:hAnsi="Times New Roman"/>
                  <w:i/>
                  <w:color w:val="0000FF"/>
                  <w:sz w:val="20"/>
                </w:rPr>
                <w:t>Risk Factors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896"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i/>
                  <w:color w:val="0000FF"/>
                  <w:sz w:val="20"/>
                </w:rPr>
                <w:t>Unresolved Staff Comments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896" w:type="dxa"/>
            <w:tcBorders/>
            <w:vAlign w:val="center"/>
          </w:tcPr>
          <w:p>
            <w:pPr>
              <w:pStyle w:val="TableContents"/>
              <w:bidi w:val="0"/>
              <w:spacing w:before="0" w:after="283"/>
              <w:jc w:val="left"/>
              <w:rPr/>
            </w:pPr>
            <w:hyperlink w:anchor="item_1c_cybersecurity">
              <w:r>
                <w:rPr>
                  <w:rStyle w:val="InternetLink"/>
                  <w:rFonts w:ascii="Times New Roman" w:hAnsi="Times New Roman"/>
                  <w:i/>
                  <w:color w:val="0000FF"/>
                  <w:sz w:val="20"/>
                </w:rPr>
                <w:t>Cybersecurity</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96" w:type="dxa"/>
            <w:tcBorders/>
            <w:vAlign w:val="center"/>
          </w:tcPr>
          <w:p>
            <w:pPr>
              <w:pStyle w:val="TableContents"/>
              <w:bidi w:val="0"/>
              <w:spacing w:before="0" w:after="283"/>
              <w:jc w:val="left"/>
              <w:rPr/>
            </w:pPr>
            <w:hyperlink w:anchor="item_2_properties">
              <w:r>
                <w:rPr>
                  <w:rStyle w:val="InternetLink"/>
                  <w:rFonts w:ascii="Times New Roman" w:hAnsi="Times New Roman"/>
                  <w:i/>
                  <w:color w:val="0000FF"/>
                  <w:sz w:val="20"/>
                </w:rPr>
                <w:t>Properties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96" w:type="dxa"/>
            <w:tcBorders/>
            <w:vAlign w:val="center"/>
          </w:tcPr>
          <w:p>
            <w:pPr>
              <w:pStyle w:val="TableContents"/>
              <w:bidi w:val="0"/>
              <w:spacing w:before="0" w:after="283"/>
              <w:jc w:val="left"/>
              <w:rPr/>
            </w:pPr>
            <w:hyperlink w:anchor="item_3_legal_proceedings">
              <w:r>
                <w:rPr>
                  <w:rStyle w:val="InternetLink"/>
                  <w:rFonts w:ascii="Times New Roman" w:hAnsi="Times New Roman"/>
                  <w:i/>
                  <w:color w:val="0000FF"/>
                  <w:sz w:val="20"/>
                </w:rPr>
                <w:t>Legal Proceedings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96" w:type="dxa"/>
            <w:tcBorders/>
            <w:vAlign w:val="center"/>
          </w:tcPr>
          <w:p>
            <w:pPr>
              <w:pStyle w:val="TableContents"/>
              <w:bidi w:val="0"/>
              <w:spacing w:before="0" w:after="283"/>
              <w:jc w:val="left"/>
              <w:rPr/>
            </w:pPr>
            <w:hyperlink w:anchor="item_4_mine_safety_disclosures">
              <w:r>
                <w:rPr>
                  <w:rStyle w:val="InternetLink"/>
                  <w:rFonts w:ascii="Times New Roman" w:hAnsi="Times New Roman"/>
                  <w:i/>
                  <w:color w:val="0000FF"/>
                  <w:sz w:val="20"/>
                </w:rPr>
                <w:t>Mine Safety Disclosures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693" w:type="dxa"/>
            <w:gridSpan w:val="2"/>
            <w:tcBorders/>
            <w:vAlign w:val="center"/>
          </w:tcPr>
          <w:p>
            <w:pPr>
              <w:pStyle w:val="TableContents"/>
              <w:bidi w:val="0"/>
              <w:spacing w:before="0" w:after="283"/>
              <w:jc w:val="center"/>
              <w:rPr/>
            </w:pPr>
            <w:hyperlink w:anchor="part_ii">
              <w:r>
                <w:rPr>
                  <w:rStyle w:val="InternetLink"/>
                  <w:rFonts w:ascii="Times New Roman" w:hAnsi="Times New Roman"/>
                  <w:b/>
                  <w:color w:val="0000FF"/>
                  <w:sz w:val="20"/>
                </w:rPr>
                <w:t>PART II</w:t>
              </w:r>
            </w:hyperlink>
          </w:p>
        </w:tc>
        <w:tc>
          <w:tcPr>
            <w:tcW w:w="512" w:type="dxa"/>
            <w:tcBorders/>
            <w:vAlign w:val="center"/>
          </w:tcPr>
          <w:p>
            <w:pPr>
              <w:pStyle w:val="TableContents"/>
              <w:bidi w:val="0"/>
              <w:spacing w:before="0" w:after="283"/>
              <w:jc w:val="right"/>
              <w:rPr/>
            </w:pPr>
            <w:r>
              <w:rPr/>
              <w:t> </w:t>
            </w:r>
          </w:p>
        </w:tc>
      </w:tr>
      <w:tr>
        <w:trPr/>
        <w:tc>
          <w:tcPr>
            <w:tcW w:w="797"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96"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i/>
                  <w:color w:val="0000FF"/>
                  <w:sz w:val="20"/>
                </w:rPr>
                <w:t>Market for Registrant’s Common Equity, Related Stockholder Matters and Issuer Purchases of Equity Securities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96" w:type="dxa"/>
            <w:tcBorders/>
            <w:vAlign w:val="center"/>
          </w:tcPr>
          <w:p>
            <w:pPr>
              <w:pStyle w:val="TableContents"/>
              <w:bidi w:val="0"/>
              <w:spacing w:before="0" w:after="283"/>
              <w:jc w:val="left"/>
              <w:rPr/>
            </w:pPr>
            <w:hyperlink w:anchor="item_6reserved">
              <w:r>
                <w:rPr>
                  <w:rStyle w:val="InternetLink"/>
                  <w:rFonts w:ascii="Times New Roman" w:hAnsi="Times New Roman"/>
                  <w:color w:val="0000FF"/>
                  <w:sz w:val="22"/>
                </w:rPr>
                <w:t>[</w:t>
              </w:r>
            </w:hyperlink>
            <w:hyperlink w:anchor="item_6reserved">
              <w:r>
                <w:rPr>
                  <w:rStyle w:val="InternetLink"/>
                  <w:rFonts w:ascii="Times New Roman" w:hAnsi="Times New Roman"/>
                  <w:i/>
                  <w:color w:val="0000FF"/>
                  <w:sz w:val="20"/>
                </w:rPr>
                <w:t>Reserved]</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896"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i/>
                  <w:color w:val="0000FF"/>
                  <w:sz w:val="20"/>
                </w:rPr>
                <w:t>Management’s Discussion and Analysis of Financial Condition and Results of Operations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896" w:type="dxa"/>
            <w:tcBorders/>
            <w:vAlign w:val="center"/>
          </w:tcPr>
          <w:p>
            <w:pPr>
              <w:pStyle w:val="TableContents"/>
              <w:bidi w:val="0"/>
              <w:spacing w:before="0" w:after="283"/>
              <w:jc w:val="left"/>
              <w:rPr/>
            </w:pPr>
            <w:hyperlink w:anchor="item_7a_quantitative_qualitative_disclos">
              <w:r>
                <w:rPr>
                  <w:rStyle w:val="InternetLink"/>
                  <w:rFonts w:ascii="Times New Roman" w:hAnsi="Times New Roman"/>
                  <w:i/>
                  <w:color w:val="0000FF"/>
                  <w:sz w:val="20"/>
                </w:rPr>
                <w:t>Quantitative and Qualitative Disclosures About Market Risk</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896"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i/>
                  <w:color w:val="0000FF"/>
                  <w:sz w:val="20"/>
                </w:rPr>
                <w:t>Financial Statements and Supplementary Data</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896" w:type="dxa"/>
            <w:tcBorders/>
            <w:vAlign w:val="center"/>
          </w:tcPr>
          <w:p>
            <w:pPr>
              <w:pStyle w:val="TableContents"/>
              <w:bidi w:val="0"/>
              <w:spacing w:before="0" w:after="283"/>
              <w:jc w:val="left"/>
              <w:rPr/>
            </w:pPr>
            <w:hyperlink w:anchor="item_9_changes_in_disagreements_with_acc">
              <w:r>
                <w:rPr>
                  <w:rStyle w:val="InternetLink"/>
                  <w:rFonts w:ascii="Times New Roman" w:hAnsi="Times New Roman"/>
                  <w:i/>
                  <w:color w:val="0000FF"/>
                  <w:sz w:val="20"/>
                </w:rPr>
                <w:t>Changes in and Disagreements with Accountants on Accounting and Financial Disclosure</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896" w:type="dxa"/>
            <w:tcBorders/>
            <w:vAlign w:val="center"/>
          </w:tcPr>
          <w:p>
            <w:pPr>
              <w:pStyle w:val="TableContents"/>
              <w:bidi w:val="0"/>
              <w:spacing w:before="0" w:after="283"/>
              <w:jc w:val="left"/>
              <w:rPr/>
            </w:pPr>
            <w:hyperlink w:anchor="item_9a_controls_procedures">
              <w:r>
                <w:rPr>
                  <w:rStyle w:val="InternetLink"/>
                  <w:rFonts w:ascii="Times New Roman" w:hAnsi="Times New Roman"/>
                  <w:i/>
                  <w:color w:val="0000FF"/>
                  <w:sz w:val="20"/>
                </w:rPr>
                <w:t>Controls and Procedures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896" w:type="dxa"/>
            <w:tcBorders/>
            <w:vAlign w:val="center"/>
          </w:tcPr>
          <w:p>
            <w:pPr>
              <w:pStyle w:val="TableContents"/>
              <w:bidi w:val="0"/>
              <w:spacing w:before="0" w:after="283"/>
              <w:jc w:val="left"/>
              <w:rPr/>
            </w:pPr>
            <w:hyperlink w:anchor="item_9b_or_information">
              <w:r>
                <w:rPr>
                  <w:rStyle w:val="InternetLink"/>
                  <w:rFonts w:ascii="Times New Roman" w:hAnsi="Times New Roman"/>
                  <w:i/>
                  <w:color w:val="0000FF"/>
                  <w:sz w:val="20"/>
                </w:rPr>
                <w:t>Other Information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896" w:type="dxa"/>
            <w:tcBorders/>
            <w:vAlign w:val="center"/>
          </w:tcPr>
          <w:p>
            <w:pPr>
              <w:pStyle w:val="TableContents"/>
              <w:bidi w:val="0"/>
              <w:spacing w:before="0" w:after="283"/>
              <w:jc w:val="left"/>
              <w:rPr/>
            </w:pPr>
            <w:hyperlink w:anchor="item_9c_disclosure_regarding_foreign_jur">
              <w:r>
                <w:rPr>
                  <w:rStyle w:val="InternetLink"/>
                  <w:rFonts w:ascii="Times New Roman" w:hAnsi="Times New Roman"/>
                  <w:i/>
                  <w:color w:val="0000FF"/>
                  <w:sz w:val="20"/>
                </w:rPr>
                <w:t>Disclosure Regarding Foreign Jurisdictions that Prevent Inspections</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r>
      <w:tr>
        <w:trPr/>
        <w:tc>
          <w:tcPr>
            <w:tcW w:w="9693" w:type="dxa"/>
            <w:gridSpan w:val="2"/>
            <w:tcBorders/>
            <w:vAlign w:val="center"/>
          </w:tcPr>
          <w:p>
            <w:pPr>
              <w:pStyle w:val="TableContents"/>
              <w:bidi w:val="0"/>
              <w:jc w:val="center"/>
              <w:rPr/>
            </w:pPr>
            <w:r>
              <w:rPr/>
              <w:t> </w:t>
            </w:r>
          </w:p>
          <w:p>
            <w:pPr>
              <w:pStyle w:val="TableContents"/>
              <w:bidi w:val="0"/>
              <w:spacing w:before="0" w:after="283"/>
              <w:jc w:val="center"/>
              <w:rPr/>
            </w:pPr>
            <w:hyperlink w:anchor="part_iii">
              <w:r>
                <w:rPr>
                  <w:rStyle w:val="InternetLink"/>
                  <w:rFonts w:ascii="Times New Roman" w:hAnsi="Times New Roman"/>
                  <w:b/>
                  <w:color w:val="0000FF"/>
                  <w:sz w:val="20"/>
                </w:rPr>
                <w:t>PART III</w:t>
              </w:r>
            </w:hyperlink>
          </w:p>
        </w:tc>
        <w:tc>
          <w:tcPr>
            <w:tcW w:w="512" w:type="dxa"/>
            <w:tcBorders/>
            <w:vAlign w:val="center"/>
          </w:tcPr>
          <w:p>
            <w:pPr>
              <w:pStyle w:val="TableContents"/>
              <w:bidi w:val="0"/>
              <w:spacing w:before="0" w:after="283"/>
              <w:jc w:val="right"/>
              <w:rPr/>
            </w:pPr>
            <w:r>
              <w:rPr/>
              <w:t> </w:t>
            </w:r>
          </w:p>
        </w:tc>
      </w:tr>
      <w:tr>
        <w:trPr/>
        <w:tc>
          <w:tcPr>
            <w:tcW w:w="797"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896" w:type="dxa"/>
            <w:tcBorders/>
            <w:vAlign w:val="center"/>
          </w:tcPr>
          <w:p>
            <w:pPr>
              <w:pStyle w:val="TableContents"/>
              <w:bidi w:val="0"/>
              <w:spacing w:before="0" w:after="283"/>
              <w:jc w:val="left"/>
              <w:rPr/>
            </w:pPr>
            <w:hyperlink w:anchor="item_10_directors_executive_ficers_corpo">
              <w:r>
                <w:rPr>
                  <w:rStyle w:val="InternetLink"/>
                  <w:rFonts w:ascii="Times New Roman" w:hAnsi="Times New Roman"/>
                  <w:i/>
                  <w:color w:val="0000FF"/>
                  <w:sz w:val="20"/>
                </w:rPr>
                <w:t>Directors, Executive Officers and Corporate Governance</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896" w:type="dxa"/>
            <w:tcBorders/>
            <w:vAlign w:val="center"/>
          </w:tcPr>
          <w:p>
            <w:pPr>
              <w:pStyle w:val="TableContents"/>
              <w:bidi w:val="0"/>
              <w:spacing w:before="0" w:after="283"/>
              <w:jc w:val="left"/>
              <w:rPr/>
            </w:pPr>
            <w:hyperlink w:anchor="item_11_executive_compensation">
              <w:r>
                <w:rPr>
                  <w:rStyle w:val="InternetLink"/>
                  <w:rFonts w:ascii="Times New Roman" w:hAnsi="Times New Roman"/>
                  <w:i/>
                  <w:color w:val="0000FF"/>
                  <w:sz w:val="20"/>
                </w:rPr>
                <w:t>Executive Compensation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896" w:type="dxa"/>
            <w:tcBorders/>
            <w:vAlign w:val="center"/>
          </w:tcPr>
          <w:p>
            <w:pPr>
              <w:pStyle w:val="TableContents"/>
              <w:bidi w:val="0"/>
              <w:spacing w:before="0" w:after="283"/>
              <w:jc w:val="left"/>
              <w:rPr/>
            </w:pPr>
            <w:hyperlink w:anchor="item_12_security_ownership_certain_benef">
              <w:r>
                <w:rPr>
                  <w:rStyle w:val="InternetLink"/>
                  <w:rFonts w:ascii="Times New Roman" w:hAnsi="Times New Roman"/>
                  <w:i/>
                  <w:color w:val="0000FF"/>
                  <w:sz w:val="20"/>
                </w:rPr>
                <w:t>Security Ownership of Certain Beneficial Owners and Management and Related Stockholder Matters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896" w:type="dxa"/>
            <w:tcBorders/>
            <w:vAlign w:val="center"/>
          </w:tcPr>
          <w:p>
            <w:pPr>
              <w:pStyle w:val="TableContents"/>
              <w:bidi w:val="0"/>
              <w:spacing w:before="0" w:after="283"/>
              <w:jc w:val="left"/>
              <w:rPr/>
            </w:pPr>
            <w:hyperlink w:anchor="item_13_certain_relationships_related_tr">
              <w:r>
                <w:rPr>
                  <w:rStyle w:val="InternetLink"/>
                  <w:rFonts w:ascii="Times New Roman" w:hAnsi="Times New Roman"/>
                  <w:i/>
                  <w:color w:val="0000FF"/>
                  <w:sz w:val="20"/>
                </w:rPr>
                <w:t>Certain Relationships and Related Transactions, and Director Independence</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896" w:type="dxa"/>
            <w:tcBorders/>
            <w:vAlign w:val="center"/>
          </w:tcPr>
          <w:p>
            <w:pPr>
              <w:pStyle w:val="TableContents"/>
              <w:bidi w:val="0"/>
              <w:spacing w:before="0" w:after="283"/>
              <w:jc w:val="left"/>
              <w:rPr/>
            </w:pPr>
            <w:hyperlink w:anchor="item_14_principal_accounting_fees_servic">
              <w:r>
                <w:rPr>
                  <w:rStyle w:val="InternetLink"/>
                  <w:rFonts w:ascii="Times New Roman" w:hAnsi="Times New Roman"/>
                  <w:i/>
                  <w:color w:val="0000FF"/>
                  <w:sz w:val="20"/>
                </w:rPr>
                <w:t>Principal Accounting Fees and Services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9693" w:type="dxa"/>
            <w:gridSpan w:val="2"/>
            <w:tcBorders/>
            <w:vAlign w:val="center"/>
          </w:tcPr>
          <w:p>
            <w:pPr>
              <w:pStyle w:val="TableContents"/>
              <w:bidi w:val="0"/>
              <w:spacing w:before="0" w:after="283"/>
              <w:jc w:val="center"/>
              <w:rPr/>
            </w:pPr>
            <w:hyperlink w:anchor="part_iv">
              <w:r>
                <w:rPr>
                  <w:rStyle w:val="InternetLink"/>
                  <w:rFonts w:ascii="Times New Roman" w:hAnsi="Times New Roman"/>
                  <w:b/>
                  <w:color w:val="0000FF"/>
                  <w:sz w:val="20"/>
                </w:rPr>
                <w:t>PART IV</w:t>
              </w:r>
            </w:hyperlink>
          </w:p>
        </w:tc>
        <w:tc>
          <w:tcPr>
            <w:tcW w:w="512" w:type="dxa"/>
            <w:tcBorders/>
            <w:vAlign w:val="center"/>
          </w:tcPr>
          <w:p>
            <w:pPr>
              <w:pStyle w:val="TableContents"/>
              <w:bidi w:val="0"/>
              <w:spacing w:before="0" w:after="283"/>
              <w:jc w:val="right"/>
              <w:rPr/>
            </w:pPr>
            <w:r>
              <w:rPr/>
              <w:t> </w:t>
            </w:r>
          </w:p>
        </w:tc>
      </w:tr>
      <w:tr>
        <w:trPr/>
        <w:tc>
          <w:tcPr>
            <w:tcW w:w="797"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896" w:type="dxa"/>
            <w:tcBorders/>
            <w:vAlign w:val="center"/>
          </w:tcPr>
          <w:p>
            <w:pPr>
              <w:pStyle w:val="TableContents"/>
              <w:bidi w:val="0"/>
              <w:spacing w:before="0" w:after="283"/>
              <w:jc w:val="left"/>
              <w:rPr/>
            </w:pPr>
            <w:hyperlink w:anchor="item_15_exhibits_financial_statement_sch">
              <w:r>
                <w:rPr>
                  <w:rStyle w:val="InternetLink"/>
                  <w:rFonts w:ascii="Times New Roman" w:hAnsi="Times New Roman"/>
                  <w:i/>
                  <w:color w:val="0000FF"/>
                  <w:sz w:val="20"/>
                </w:rPr>
                <w:t>Exhibits and Financial Statement Schedule</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7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896" w:type="dxa"/>
            <w:tcBorders/>
            <w:vAlign w:val="center"/>
          </w:tcPr>
          <w:p>
            <w:pPr>
              <w:pStyle w:val="TableContents"/>
              <w:bidi w:val="0"/>
              <w:spacing w:before="0" w:after="283"/>
              <w:jc w:val="left"/>
              <w:rPr/>
            </w:pPr>
            <w:hyperlink w:anchor="item_16_form_10k_summary">
              <w:r>
                <w:rPr>
                  <w:rStyle w:val="InternetLink"/>
                  <w:rFonts w:ascii="Times New Roman" w:hAnsi="Times New Roman"/>
                  <w:i/>
                  <w:color w:val="0000FF"/>
                  <w:sz w:val="20"/>
                </w:rPr>
                <w:t>Form 10-K Summary</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r>
      <w:tr>
        <w:trPr/>
        <w:tc>
          <w:tcPr>
            <w:tcW w:w="797"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pPr>
            <w:hyperlink w:anchor="signatures">
              <w:r>
                <w:rPr>
                  <w:rStyle w:val="InternetLink"/>
                  <w:rFonts w:ascii="Times New Roman" w:hAnsi="Times New Roman"/>
                  <w:i/>
                  <w:color w:val="0000FF"/>
                  <w:sz w:val="20"/>
                </w:rPr>
                <w:t>Signatures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4" w:name="item_1_business"/>
      <w:bookmarkEnd w:id="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Business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As used in this report, the terms “we,” “us,” “our,” “GEO” and the “Company” refer to The GEO Group, Inc., its consolidated subsidiaries and its unconsolidated affiliates, unless otherwise expressly stated or the context otherwise requires.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specialize in the ownership, leasing and management of secure facilities, processing centers and reentry facilities and the provision of community-based services in the United States, Australia and South Africa. We own, lease and operate a broad range of secure facilities including maximum, medium and minimum-security facilities, processing centers, as well as community-based reentry facilities. We develop new facilities based on contract awards, using our project development expertise and experience to design, construct and finance what we believe are state-of-the-art facilities. We provide innovative technologies, industry-leading monitoring services, and evidence-based supervision and treatment programs for community-based programs. We also provide secure transportation services domestically and in the United Kingdom through our joint venture GEOAmey Ltd. (“GEOAmey”). As of December 31, 2023, our worldwide operations included the management and/or ownership of approximately 81,000 beds at 100 secure and community-based facilities, including idle facilities, and also includes the provision of reentry and electronic monitoring and supervision services for thousands of individuals, including an array of technology products including radio frequency, GPS, and alcohol monitoring devices.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provide a diversified scope of services on behalf of our government agency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secure facility management services involve the provision of security, administrative, rehabilitation, education, and food services at secure services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reentry services involve supervision of individuals in community-based programs and reentry centers and the provision of temporary housing, programming, employment assistance and other services with the intention of the successful reintegration of residents into the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comprehensive electronic monitoring and supervision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develop new facilities, using our project development experience to design, construct and finance what we believe are state-of-the-art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secure transportation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services are provided at facilities which we either own, lease or are owned by our government agency partners.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GEO operated as a real estate investment trust ("REIT") from January 1, 2013 through December 31, 2020. As a REIT, GEO provided services and conducted other business activities through taxable REIT subsidiaries ("TRSs"). A TRS is a subsidiary of a REIT that is subject to applicable corporate income tax rates and certain qualification requirements. GEO’s use of TRSs permitted us to engage in certain business activities in which the REIT could not engage directly, so long as those activities were conducted in entities that elected to be treated as TRSs under the Internal Revenue Code of 1986, as amended, and enabled GEO to, among other things, provide correctional services at facilities it owned and at facilities owned by its government partners. A TRS is not subject to the distribution requirements applicable to REITs so it may retain income generated by its operations for reinvestment.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December 2, 2021, we announced that our Board of Directors ("Board") unanimously approved a plan to terminate GEO’s REIT election and become a taxable C Corporation, effective for the year ended December 31, 2021. As a result, we are no longer required to operate under REIT rules, including the requirement to distribute at least 90% of REIT taxable income to our stockholders, which provides us with greater flexibility to use our free cash flow. Effective January 1, 2021, we are subject to federal and state income taxes on our taxable income at applicable tax rates and we are no longer entitled to a tax deduction for dividends paid. GEO operated as a REIT for the 2020 tax year, and existing REIT requirements and limitations remained in place until December 31, 2020. The Board also voted unanimously to discontinue our quarterly dividend payment and prioritize allocating GEO’s free cash flow to reduce debt.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a result of GEO’s Board announcing the change in corporate structure to a taxable C Corporation in fiscal year 2021, we incurred a one-time, non-cash deferred tax charge of approximately $70.8 million during the fourth quarter of 2021. We also incurred approximately $29.3 million in incremental income tax expense in the fourth quarter of 2021 due to the resulting higher corporate tax rate for all of 2021, including a catch-up tax expense of approximately $16.8 million in connection with the first three quarters of 2021.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Segments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conduct our business through four reportable business segments: our U.S. Secure Services segment; our Electronic Monitoring and Supervision Services segment; our Reentry Services segment and our International Services segment. We have identified these four reportable segments to reflect our current view that we operate four distinct business lines, each of which constitutes a material part of our overall business.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U.S. Secure Services segment primarily encompasses our U.S.-based public-private partnership secure services business. Our Electronic Monitoring and Supervision Services segment, which conducts its services in the U.S., consists of our electronic monitoring and supervision services. Our Reentry Services segment consists of various community-based and reentry services. Our International Services segment primarily consists of our public-private partnership secure services operations in Australia and South Africa. Financial information about these segments for years 2023, 2022 and 2021 is contained in Note 14 — Business Segments and Geographic Information included in the notes to our audited consolidated financial statements included in Part II, Item 8 of this Annual Report on Form 10-K.</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Transition of Jose Gordo from Chief Executive Officer to Advisor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announced on November 30, 2023 that following discussions between GEO and its Chief Executive Officer, Jose Gordo, the parties agreed that Mr. Gordo would depart as Chief Executive Officer and as a Board member on mutually agreeable terms and transition to the role of an advisor, effective December 31, 2023 (the “Separation Date”).</w:t>
      </w:r>
    </w:p>
    <w:p>
      <w:pPr>
        <w:pStyle w:val="TextBody"/>
        <w:bidi w:val="0"/>
        <w:jc w:val="left"/>
        <w:rPr>
          <w:rFonts w:ascii="Times New Roman" w:hAnsi="Times New Roman"/>
          <w:color w:val="000000"/>
          <w:sz w:val="20"/>
        </w:rPr>
      </w:pPr>
      <w:r>
        <w:rPr>
          <w:rFonts w:ascii="Times New Roman" w:hAnsi="Times New Roman"/>
          <w:color w:val="000000"/>
          <w:sz w:val="20"/>
        </w:rPr>
        <w:t xml:space="preserve">Mr. Gordo and GEO entered into a Separation and General Release Agreement, on November 29, 2023 (the “Separation Agreement”). Pursuant to the terms of the Separation Agreement, Mr. Gordo will: (i) receive all accrued wages through December 31, 2023, less applicable withholdings; (ii) be eligible to receive a target annual performance award for the year ended December 31, 2023 pursuant to the terms of GEO’s Senior Management Performance Award Plan (the “Performance Award Plan”), if and to the extent earned, at the same time as other senior management employees participating in the Performance Award Plan; and (iii) be entitled to the payment of health insurance premiums under the Consolidated Omnibus Budget Reconciliation Act (“COBRA”) for a period ending on the earlier of eighteen (18) months following the Separation Date or the date he is no longer entitled to receive COBRA continuation coverage. Under the terms of the Separation Agreement, Mr. Gordo’s equity award agreements will survive the separation of his employment except that performance shares shall only vest during the 18-month period of the Advisory Agreement. The Separation Agreement also contains a mutual release, cooperation and non-disparagement provisions. </w:t>
      </w:r>
    </w:p>
    <w:p>
      <w:pPr>
        <w:pStyle w:val="TextBody"/>
        <w:bidi w:val="0"/>
        <w:jc w:val="left"/>
        <w:rPr>
          <w:rFonts w:ascii="Times New Roman" w:hAnsi="Times New Roman"/>
          <w:color w:val="000000"/>
          <w:sz w:val="20"/>
        </w:rPr>
      </w:pPr>
      <w:r>
        <w:rPr>
          <w:rFonts w:ascii="Times New Roman" w:hAnsi="Times New Roman"/>
          <w:color w:val="000000"/>
          <w:sz w:val="20"/>
        </w:rPr>
        <w:t xml:space="preserve">Mr. Gordo and GEO also entered into an Advisory Services Agreement (the “Advisory Agreement”) on November 29, 2023, effective as of January 1, 2024, for a period of eighteen (18) months concluding on June 30, 2025 (the “Advisory Period”). Pursuant to the terms of the Advisory Agreement, Mr. Gordo will be available to give advice and support regarding litigation, client relations, operational issues, growth opportunities, and company financial management and debt restructuring matters and provide any and all other related assistance requested by us for an advisory fee of $40,000 per month for the Advisory Period. We are seeking to continue Mr. Gordo’s services in these specific areas to benefit from his many years of experience in the industry, the deep relationships he has forged inside GEO and with its industry partners, his global operating perspectives, and his specific expertise in a specialized industry. Additionally, Mr. Gordo’s previously-awarded unvested performance shares shall continue to vest as scheduled through June 30, 2025, when and to the extent the Compensation Committee of the Board certifies that the performance goals are actually met. The Advisory Agreement also contains provisions related to confidentiality and conflicts of interest. </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Appointment of Brian Evans as Chief Executive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Brian Evans, who has been with GEO for 23 years and served as the Company’s Chief Financial Officer for 14 years, was appointed Chief Executive Officer on November 29, 2023, effective January 1, 2024.</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his appointment, Mr. Evans and GEO entered into an Executive Employment Agreement (the “Evans Employment Agreement”) on December 4, 2023 to provide that Mr. Evans will be employed by us for a three-year term beginning January 1, 2024 (the “Effective Date”). Unless the Evans Employment Agreement is sooner terminated, or not renewed, it will automatically extend upon the end of its initial term for a rolling three-year term. Pursuant to the terms of the Evans Employment Agreement, Mr. Evans will serve as Chief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Executive Officer and report directly to the Executive Chairman. Either Mr. Evans or GEO may terminate Mr. Evan’s employment under the Evans Employment Agreement for any reason upon not less than thirty (30) days written notice.</w:t>
      </w:r>
    </w:p>
    <w:p>
      <w:pPr>
        <w:pStyle w:val="TextBody"/>
        <w:bidi w:val="0"/>
        <w:jc w:val="left"/>
        <w:rPr>
          <w:rFonts w:ascii="Times New Roman" w:hAnsi="Times New Roman"/>
          <w:color w:val="000000"/>
          <w:sz w:val="20"/>
        </w:rPr>
      </w:pPr>
      <w:r>
        <w:rPr>
          <w:rFonts w:ascii="Times New Roman" w:hAnsi="Times New Roman"/>
          <w:color w:val="000000"/>
          <w:sz w:val="20"/>
        </w:rPr>
        <w:t>Under the terms of the Evans Employment Agreement, Mr. Evans will be paid an annual base salary of $1,000,000, subject to the review and potential increase in the sole discretion of the Compensation Committee. Mr. Evans will also be entitled to receive a target annual performance award of 100% of Mr. Evans’ base salary and be entitled to participate in the Amended and Restated The GEO Group, Inc. 2018 Stock Incentive Plan (the “Stock Incentive Plan”).</w:t>
      </w:r>
    </w:p>
    <w:p>
      <w:pPr>
        <w:pStyle w:val="TextBody"/>
        <w:bidi w:val="0"/>
        <w:jc w:val="left"/>
        <w:rPr>
          <w:rFonts w:ascii="Times New Roman" w:hAnsi="Times New Roman"/>
          <w:color w:val="000000"/>
          <w:sz w:val="20"/>
        </w:rPr>
      </w:pPr>
      <w:r>
        <w:rPr>
          <w:rFonts w:ascii="Times New Roman" w:hAnsi="Times New Roman"/>
          <w:color w:val="000000"/>
          <w:sz w:val="20"/>
        </w:rPr>
        <w:t>The Evans Employment Agreement provides that upon the separation of employment by Mr. Evans for good reason, by us without cause or upon the death or disability of Mr. Evans, he will be entitled to receive a separation payment equal to two (2) times the sum of his annual base salary. We will also continue to provide Mr. Evans and any covered dependents with the Executive Benefits as defined in the Evans Employment Agreement for a period of five (5) years after the date of separation. In the event of Mr. Evans’ death within such five (5) year period, we will continue to provide the Executive Benefits to Mr. Evans’ covered dependents, and, if applicable to Mr. Evans’ estate. In addition, the Evans Employment Agreement provides that upon such separation, GEO will transfer all of its interest in any automobile used by Mr. Evans pursuant to its Executive Automobile Policy (the “Executive Automobile Policy”) and pay the balance of any outstanding loans or leases on such automobile so that Mr. Evans owns the automobile outright. In the event such automobile is leased, GEO will pay the residual cost of the lease. Lastly, all of the outstanding and unvested stock options and restricted stock granted to Mr. Evans prior to separation will fully vest immediately upon separation; provided, however that any restricted stock that is subject to performance-based vesting shall only vest when and to the extent the Compensation Committee certifies that the performance goals are actually met, and provided further that Mr. Evans remains in full compliance with the restrictive covenants set forth in the Evans Employment Agreement. Upon a separation of employment by GEO for cause or by Mr. Evans without good reason, Mr. Evans will be entitled to only the amount of compensation that is due through the effective date of the separation.</w:t>
      </w:r>
    </w:p>
    <w:p>
      <w:pPr>
        <w:pStyle w:val="TextBody"/>
        <w:bidi w:val="0"/>
        <w:jc w:val="left"/>
        <w:rPr>
          <w:rFonts w:ascii="Times New Roman" w:hAnsi="Times New Roman"/>
          <w:color w:val="000000"/>
          <w:sz w:val="20"/>
        </w:rPr>
      </w:pPr>
      <w:r>
        <w:rPr>
          <w:rFonts w:ascii="Times New Roman" w:hAnsi="Times New Roman"/>
          <w:color w:val="000000"/>
          <w:sz w:val="20"/>
        </w:rPr>
        <w:t>The Evans Employment Agreement includes a non-competition covenant that runs through the three-year period following the separation of the executive’s employment, and confidentiality and work product provisions.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Appointment of Shayn March as Acting Chief Financial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Shayn March, Executive Vice President, Finance and Treasurer, was appointed Acting Chief Financial Officer on November 29, 2023, effective January 1, 2024. Mr. March, 58, joined the Company as Vice President of Finance and Treasurer in March 2009. </w:t>
      </w:r>
    </w:p>
    <w:p>
      <w:pPr>
        <w:pStyle w:val="TextBody"/>
        <w:bidi w:val="0"/>
        <w:jc w:val="left"/>
        <w:rPr>
          <w:rFonts w:ascii="Times New Roman" w:hAnsi="Times New Roman"/>
          <w:color w:val="000000"/>
          <w:sz w:val="20"/>
        </w:rPr>
      </w:pPr>
      <w:r>
        <w:rPr>
          <w:rFonts w:ascii="Times New Roman" w:hAnsi="Times New Roman"/>
          <w:color w:val="000000"/>
          <w:sz w:val="20"/>
        </w:rPr>
        <w:t>In connection with his appointment as Acting Chief Financial Officer, the Compensation Committee approved an increase in Mr. March’s annual base salary to $450,000, effective January 1, 2024. Otherwise, the terms of Mr. March’s employment continue to be governed by the Executive Employment Agreement that the Company and Mr. March entered into, effective June 22, 2021 (the “March Employment Agreement”). The March Employment Agreement provides that Mr. March will be employed by GEO for a two-year term beginning June 22, 2021. Unless the March Employment Agreement is sooner terminated, or not renewed, it automatically extends for an additional two years after the end of each term. Either Mr. March or GEO may terminate Mr. March’s employment under the March Employment Agreement for any reason upon not less than thirty (30) days written notice. Under the terms of the March Employment Agreement, Mr. March is entitled to receive an annual bonus in accordance with the terms of any plan governing employee bonuses then in effect as established by the Board of Directors.</w:t>
      </w:r>
    </w:p>
    <w:p>
      <w:pPr>
        <w:pStyle w:val="TextBody"/>
        <w:bidi w:val="0"/>
        <w:jc w:val="left"/>
        <w:rPr>
          <w:rFonts w:ascii="Times New Roman" w:hAnsi="Times New Roman"/>
          <w:color w:val="000000"/>
          <w:sz w:val="20"/>
        </w:rPr>
      </w:pPr>
      <w:r>
        <w:rPr>
          <w:rFonts w:ascii="Times New Roman" w:hAnsi="Times New Roman"/>
          <w:color w:val="000000"/>
          <w:sz w:val="20"/>
        </w:rPr>
        <w:t>The March Employment Agreement provides that upon the separation of employment by GEO without cause or upon the death or disability of Mr. March, he will be entitled to receive a separation payment equal to the current annual base salary for the greater of: (i) the remainder of the term or (ii) twelve (12) months. We will also continue to provide Mr. March and any covered dependents with the Employee Benefits as defined in the March Employment Agreement for a period of twelve (12) months after the date of separation. In the event of Mr. March’s death within such twelve (12) month period, we will continue to provide the Employee Benefits to Mr. March’s covered dependents, and, if applicable to Mr. March’s estate. Lastly, all of the outstanding and unvested stock options and restricted stock granted to Mr. March prior to separation will continue to vest for the greater of: (i) the remainder of the term or (ii) twelve (12) months. Upon a separation of employment by GEO for cause or a resignation by Mr. March, Mr. March will be entitled to only the amount of compensation that is due through the effective date of the separation.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March Employment Agreement includes a non-competition covenant that runs through the two-year period following the separation of the executive’s employment, and confidentiality and work product provisions.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Appointment of Wayne Calabrese as President and Chief Operating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Wayne Calabrese, Senior Vice President and Chief Operating Officer, was appointed President and Chief Operating Officer on November 29, 2023, effective January 1, 2024.</w:t>
      </w:r>
    </w:p>
    <w:p>
      <w:pPr>
        <w:pStyle w:val="TextBody"/>
        <w:bidi w:val="0"/>
        <w:jc w:val="left"/>
        <w:rPr>
          <w:rFonts w:ascii="Times New Roman" w:hAnsi="Times New Roman"/>
          <w:color w:val="000000"/>
          <w:sz w:val="20"/>
        </w:rPr>
      </w:pPr>
      <w:r>
        <w:rPr>
          <w:rFonts w:ascii="Times New Roman" w:hAnsi="Times New Roman"/>
          <w:color w:val="000000"/>
          <w:sz w:val="20"/>
        </w:rPr>
        <w:t>In connection with Mr. Calabrese’s appointment as President and Chief Operating Officer, Mr. Calabrese and GEO entered into an Executive Employment Agreement on December 4, 2023 (the “Calabrese Employment Agreement”), to provide that Mr. Calabrese will be employed by us for a two-year term beginning the Effective Date and ending on December 31, 2025.</w:t>
      </w:r>
    </w:p>
    <w:p>
      <w:pPr>
        <w:pStyle w:val="TextBody"/>
        <w:bidi w:val="0"/>
        <w:jc w:val="left"/>
        <w:rPr>
          <w:rFonts w:ascii="Times New Roman" w:hAnsi="Times New Roman"/>
          <w:color w:val="000000"/>
          <w:sz w:val="20"/>
        </w:rPr>
      </w:pPr>
      <w:r>
        <w:rPr>
          <w:rFonts w:ascii="Times New Roman" w:hAnsi="Times New Roman"/>
          <w:color w:val="000000"/>
          <w:sz w:val="20"/>
        </w:rPr>
        <w:t>Under the terms of the Calabrese Employment Agreement, Mr. Calabrese will be paid an annual base salary of $700,000, subject to the review and recommendation of a potential increase in the sole discretion of the Compensation Committee. Mr. Calabrese will be entitled to receive a target annual performance award of eighty percent (80%) of his base salary and will also be entitled to participate in the Stock Incentive Plan.</w:t>
      </w:r>
    </w:p>
    <w:p>
      <w:pPr>
        <w:pStyle w:val="TextBody"/>
        <w:bidi w:val="0"/>
        <w:jc w:val="left"/>
        <w:rPr>
          <w:rFonts w:ascii="Times New Roman" w:hAnsi="Times New Roman"/>
          <w:color w:val="000000"/>
          <w:sz w:val="20"/>
        </w:rPr>
      </w:pPr>
      <w:r>
        <w:rPr>
          <w:rFonts w:ascii="Times New Roman" w:hAnsi="Times New Roman"/>
          <w:color w:val="000000"/>
          <w:sz w:val="20"/>
        </w:rPr>
        <w:t>The Calabrese Employment Agreement provides that upon a separation of employment by Mr. Calabrese for good reason or by GEO without cause or upon the death or disability of Mr. Calabrese, he will be entitled to a lump sum separation payment equal to Mr. Calabrese’s annual base salary for six (6) months. In addition, the Calabrese Employment Agreement provides that upon such separation, we will transfer all of our interest in any automobile used by Mr. Calabrese pursuant to its Executive Automobile Policy and pay the balance of any outstanding loans or leases on such automobile so that Mr. Calabrese owns the automobile outright. Additionally, all of the outstanding unvested stock options and restricted stock granted to Mr. Calabrese prior to separation will fully vest immediately upon separation; provided however, that any restricted stock that is subject to performance-based vesting shall only vest when and to the extent the Compensation Committee certifies that the performance goals are actually met. Upon a separation of employment by Mr. Calabrese without good reason or by GEO for cause, Mr. Calabrese will be entitled to only the amount of compensation that is due through the effective date of the separation. Except that if Mr. Calabrese’s separation from employment occurs upon the conclusion of his two-year term (or any extension thereof) (the “Full Term Separation Date”), all of the outstanding unvested stock options and restricted stock granted to Mr. Calabrese prior to the Full Term Separation Date will fully vest immediately upon separation; provided however, that any restricted stock that is still subject to performance-based vesting as of the Full Term Separation Date shall only vest when and to the extent the Compensation Committee certifies that the performance goals are actually met, and provided further that Mr. Calabrese remains in full compliance with the restrictive covenants set forth in the Calabrese Employment Agreement. The Calabrese Employment Agreement also provides that Mr. Calabrese is not eligible for retirement benefits under GEO's policy based on his prior employment and retirement, which resulted in Mr. Calabrese taking his retirement benefits at that time.</w:t>
      </w:r>
    </w:p>
    <w:p>
      <w:pPr>
        <w:pStyle w:val="TextBody"/>
        <w:bidi w:val="0"/>
        <w:jc w:val="left"/>
        <w:rPr>
          <w:rFonts w:ascii="Times New Roman" w:hAnsi="Times New Roman"/>
          <w:color w:val="000000"/>
          <w:sz w:val="20"/>
        </w:rPr>
      </w:pPr>
      <w:r>
        <w:rPr>
          <w:rFonts w:ascii="Times New Roman" w:hAnsi="Times New Roman"/>
          <w:color w:val="000000"/>
          <w:sz w:val="20"/>
        </w:rPr>
        <w:t xml:space="preserve">The Calabrese Employment Agreement includes a non-competition covenant that runs through the three-year period following the executive’s separation from employment, and confidentiality and work product provisions. </w:t>
      </w:r>
    </w:p>
    <w:p>
      <w:pPr>
        <w:pStyle w:val="TextBody"/>
        <w:bidi w:val="0"/>
        <w:jc w:val="left"/>
        <w:rPr/>
      </w:pPr>
      <w:r>
        <w:rPr/>
        <w:t> </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Non-Renewal of Term under Executive Chairman Employment Agreement and Transition of Dr. George Zoley from Executive Chairman to Advisor and non-Executive Chairman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on November 29, 2023, we confirmed that Dr. George Zoley, our Founder and Executive Chairman, will step down as Executive Chairman on June 30, 2026, at the end of his current employment term under his Executive Chairman Employment Agreement. GEO and Dr. Zoley plan on entering into an Advisory Services Agreement prior to June 30, 2026 to reflect Dr. Zoley’s continuing role with GEO as an Advisor beginning on July 1, 2026 while continuing to serve as our non-Executive Chairman of the Board of Directors, subject to shareholder approval.</w:t>
      </w:r>
    </w:p>
    <w:p>
      <w:pPr>
        <w:pStyle w:val="TextBody"/>
        <w:bidi w:val="0"/>
        <w:jc w:val="left"/>
        <w:rPr/>
      </w:pPr>
      <w:r>
        <w:rPr/>
        <w:t> </w:t>
      </w:r>
    </w:p>
    <w:p>
      <w:pPr>
        <w:pStyle w:val="TextBody"/>
        <w:bidi w:val="0"/>
        <w:spacing w:before="90" w:after="283"/>
        <w:jc w:val="left"/>
        <w:rPr>
          <w:rFonts w:ascii="Times New Roman" w:hAnsi="Times New Roman"/>
          <w:sz w:val="20"/>
        </w:rPr>
      </w:pPr>
      <w:r>
        <w:rPr>
          <w:rFonts w:ascii="Times New Roman" w:hAnsi="Times New Roman"/>
          <w:b/>
          <w:i/>
          <w:color w:val="000000"/>
          <w:sz w:val="20"/>
        </w:rPr>
        <w:t>Contract Developments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On December 18, 2023, we received a new task order from ICE establishing February 19, 2024 as the end of the contract performance period, ten months short of the end of our 1,940-bed company owned Adelanto ICE Processing Center's base contract term. The next day, on December 19</w:t>
      </w:r>
      <w:r>
        <w:rPr>
          <w:rFonts w:ascii="Times New Roman" w:hAnsi="Times New Roman"/>
          <w:color w:val="000000"/>
          <w:sz w:val="13"/>
        </w:rPr>
        <w:t>th</w:t>
      </w:r>
      <w:r>
        <w:rPr>
          <w:rFonts w:ascii="Times New Roman" w:hAnsi="Times New Roman"/>
          <w:color w:val="000000"/>
          <w:sz w:val="20"/>
        </w:rPr>
        <w:t>, ICE issued a public statement, saying, in part, that “While no final decision has been made regarding the disposition of the facility, ICE must consider the effect of ongoing litigation that prevents full use of the facility, likelihood of relief from that litigation, the cost associated with maintaining the facility and the operational requirements for effective national detention operations</w:t>
      </w:r>
      <w:r>
        <w:rPr>
          <w:rFonts w:ascii="Times New Roman" w:hAnsi="Times New Roman"/>
          <w:i/>
          <w:color w:val="000000"/>
          <w:sz w:val="20"/>
        </w:rPr>
        <w:t>.</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the task order and public statement issued by ICE demonstrate that the government is considering whether to discontinue its use of the facility before the end of the contract’s base term due to the ongoing impact of the outdated COVID-19 related limitations imposed by the federal court over three years ago. As a result, GEO and the three unions representing the Facility’s employees have filed motions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protect GEO’s interests which include annualized revenues and the potential loss of jobs by 350-plus Facility employees. Subsequent to the filing of these motions, ICE extended the task order funding for the Adelanto contract through June 19,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fourth quarter of 2023, in Colorado, we renewed our contract with ICE for the provision of the company-owned 1,532-bed Aurora ICE Processing Center and associated secure support services for a one-year term.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fourth quarter of 2023, in California, we renewed our contract with the U.S. Marshals for the provision of secure support services at the government-owned, 512-bed El Centro Detention Facility for a two-year term. </w:t>
      </w:r>
    </w:p>
    <w:p>
      <w:pPr>
        <w:pStyle w:val="TextBody"/>
        <w:bidi w:val="0"/>
        <w:jc w:val="left"/>
        <w:rPr>
          <w:rFonts w:ascii="Times New Roman" w:hAnsi="Times New Roman"/>
          <w:color w:val="000000"/>
          <w:sz w:val="20"/>
        </w:rPr>
      </w:pPr>
      <w:r>
        <w:rPr>
          <w:rFonts w:ascii="Times New Roman" w:hAnsi="Times New Roman"/>
          <w:color w:val="000000"/>
          <w:sz w:val="20"/>
        </w:rPr>
        <w:t>Also during the fourth quarter of 2023, at the state level, we received a two-year renewal of our lease agreement with the State of New Mexico for our company-owned, 600-bed Guadalupe County Correctional Facility, which is managed by the New Mexico Corrections Department.</w:t>
      </w:r>
    </w:p>
    <w:p>
      <w:pPr>
        <w:pStyle w:val="TextBody"/>
        <w:bidi w:val="0"/>
        <w:jc w:val="left"/>
        <w:rPr>
          <w:rFonts w:ascii="Times New Roman" w:hAnsi="Times New Roman"/>
          <w:color w:val="000000"/>
          <w:sz w:val="20"/>
        </w:rPr>
      </w:pPr>
      <w:r>
        <w:rPr>
          <w:rFonts w:ascii="Times New Roman" w:hAnsi="Times New Roman"/>
          <w:color w:val="000000"/>
          <w:sz w:val="20"/>
        </w:rPr>
        <w:t>Additionally, our GEO Reentry Services division renewed five residential reentry center contracts at the state and federal levels during the fourth quarter of 2023.</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of 2023, we renewed two direct contracts with the U.S. Marshals Service. One was at our company-owned 1,900-bed Rio Grande Processing Center in Texas for a five-year term, and the second at our company-leased 770-bed Western Region Detention Facility in San Diego for a two-year term.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also renewed three contracts with ICE during the third quarter of 2023 for respective one-year terms that include our company-owned 700-bed Broward Transitional Center in Florida, our company-owned 1,904-bed South Texas ICE Processing Center, and our company-owned 1,314-bed Montgomery Processing Center in Texas and entered into a new emergency nine month contract to provide air operations support for ICE.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28, 2023, we signed a 66-month lease, with subsequent unlimited one-year options, with the Oklahoma Department of Corrections for our previously idled company-owned Great Plains Correctional Facility which commenced May 1, 2023. </w:t>
      </w:r>
    </w:p>
    <w:p>
      <w:pPr>
        <w:pStyle w:val="TextBody"/>
        <w:bidi w:val="0"/>
        <w:jc w:val="left"/>
        <w:rPr>
          <w:rFonts w:ascii="Times New Roman" w:hAnsi="Times New Roman"/>
          <w:color w:val="000000"/>
          <w:sz w:val="20"/>
        </w:rPr>
      </w:pPr>
      <w:r>
        <w:rPr>
          <w:rFonts w:ascii="Times New Roman" w:hAnsi="Times New Roman"/>
          <w:color w:val="000000"/>
          <w:sz w:val="20"/>
        </w:rPr>
        <w:br/>
        <w:t>During the first quarter of 2023, the USMS exercised the five-year option period under our direct contract for the 768-bed Robert Deyton Facility in Georgia, which is now effective through February 2028.</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9, 2023, we announced that our Australian subsidiary, GEO Australia, had entered into a contract with the Department of Justice and Community Safety in the State of Victoria for delivery of primary health services across thirteen public prisons. The contract commenced on July 1, 2023.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Idle Facilities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our Secure Services segment, as of December 31, 2023, we are marketing 9,732 vacant beds with a net book value of approximately $251.2 million at seven of our idle facilities to potential customers. In our Reentry Services segment, as of December 31, 2023, we are marketing 1,689 vacant beds with a net book value of approximately $37.2 million at three of our idle facilities to potential customers. The combined annual carrying cost of these idle facilities in 2024 is estimated to be $26.2 million, including depreciation expense of $17.9 million. With the exception of a contract pending due diligence for one of our secure facilities, we currently do not have any firm commitments or agreements in place to activate these facilities but have ongoing contact with several potential customers. Historically, some facilities have been idle for multiple years before they received a new contract award. The per diem rates that we charge our clients often vary by contract across our portfolio. However, if the ten idle facilities in our Secure Services and Reentry Services segments were to be activated using our Secure Services and Reentry Services average per diem rate in 2023 (calculated as revenue divided by the number of mandays) and based on the average occupancy rate in our facilities for 2023, we would expect to receive annual incremental revenue of approximately $350 million and an increase in annual earnings per share of approximately $.28 to $.33 per share based on our average operating margin.</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Quality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operate each facility in accordance with our company-wide policies and procedures and with the standards and guidelines required under the relevant management contract. For many facilities, the standards and guidelines include those established by the American Correctional Association (“ACA”). The ACA is an independent organization of corrections professionals, which establishes correctional facility standards and guidelines that are generally acknowledged as a benchmark by governmental agencies responsible for correctional facilities. Many of our contracts in the United States require us to seek and maintain ACA accreditation for our facilities. We have sought and received ACA accreditation and re-accreditation for all such facilities. We achieved a median re-accreditation score of 100% as of December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31, 2023. Approximately 93% of our 2023 U.S. Secure Services revenue was derived from ACA accredited facilities for the year ended December 31, 2023. We have been successful in achieving and maintaining accreditation under the National Commission on Correctional Health Care ("NCCHC") in a majority of the facilities that we currently operate. The NCCHC accreditation is a voluntary process which we have used to establish comprehensive health care policies and procedures to meet and adhere to the ACA standards. The NCCHC standards, in most cases, exceed ACA Health Care Standards and we have achieved this accreditation at 21 of our U.S. Secure Services facilities and at one reentry services location. Additionally, B.I. Incorporated ("BI") has achieved a certification for ISO 9001:2008 for the design, production, installation and servicing of products and services produced by the electronic monitoring business units, including electronic home arrest and electronic monitoring technology products and monitoring services, installation services, and automated caseload management services.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Corporate Social Responsibility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October 2023, we issued our fifth Human Rights and Environmental, Social and Governance (“ESG”) report. The Human Rights and ESG report builds on the important milestone we achieved in 2013 when our Board adopted a Global Human Rights Policy by providing disclosures related to how we inform our employees of our commitment to respecting human rights; the criteria we use to assess human rights performance; and our contract compliance program, remedies to shortcomings in human rights performance, and independent verification of our performance by third party organizations. The Human Rights and ESG report also addresses criteria, based on recognized ESG reporting standards, related to the development of our employees; our efforts to advance environmental sustainability in the construction and operation of our facilities; and our adherence to ethical governance practices throughout our company. The report covers the year ended December 31, 2022 with supporting data from 2020-2022 where possible. The report showcases, among other items, our company wide awareness and training programs, our commitment to a safe and humane environment for everyone in our care, employee diversity, addressing recidivism through our GEO Continuum of Care, our engagement efforts with our stakeholders, oversight and contract compliance, conservation measures and enhanced environmental sustainability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ESG report was prepared with reference to the GRI Standards related to General Disclosures, Economic Topics, Environmental Topics and Social Topics based on the Global Reporting Initiative, or GRI, issued by the Global Sustainability Standards Board and the UN Guiding Principles on Business and Human Rights. GRI is an international independent standards organization created to help business, government and other organizations understand and communicate how their operations affect issues of global importance, such as human rights, corruption and climate change. We have referenced the GRI Standards and the UN Guiding Principles on Business and Human Rights as we have recognized the need for a transparent and disciplined enterprise-wide approach. In our pursuit of this approach, we have begun with the following set of ongoing objectives: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greater transparency for our stakeholders and the general public with respect to our various efforts in all our facilities aimed at respecting human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Enhance our ability to flag potential issues in all areas of our operations and compress the time it takes to respond with corrective measures.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Use widely accepted methodologies for evaluating performance and setting objectives for improvements in corporate governance, corporate social policy, environmental impact and energy conservation.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ESG report may be accessed on our website under "Investors-Latest Reports-Latest ESG Report." The information included in the Human Rights and ESG report is not incorporated by reference into this Annual Report on Form 10-K.</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Development Overview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primary potential customers include: governmental agencies responsible for local, state and federal secure facilities in the United States; governmental agencies responsible for secure facilities in Australia and South Africa; federal, state and local government agencies in the United States responsible for reentry services for adult offenders; federal, state and local government agencies responsible for monitoring community-based parolees, probationers and pretrial defendants; and other foreign governmental agencies. We achieve organic growth through competitive bidding that begins with the issuance by a government agency of a request for proposal, or RFP. We primarily rely on the RFP process for organic growth in our U.S. and international secure services operations as well as in our reentry services and electronic monitoring and supervision services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facility management contracts, our state and local experience has been that a period of approximately 60 to 90 days is generally required from the issuance of a request for proposal to the submission of our response to the request for proposal; that between one and four months elapse between the submission of our response and the agency’s award of a contract; and that between one and four months elapse between the award of a contract and the commencement of facility construction or management of the facility, as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facility management contracts, our federal experience has been that a period of approximately 60 to 90 days is generally required from the issuance of a request for proposal to the submission of our response to the request for proposal; that between 12 and 18 months elapse between the submission of our response and the agency’s award of a contract; and that between four and 18 weeks elapse between the award of a contract and the commencement of facility construction or management of the facility,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local, state or federal facility for which an award has been made must be constructed, our experience is that construction usually takes between nine and 24 months to complete, depending on the size and complexity of the project. Therefore, management of a newly constructed facility typically commences between 10 and 28 months after the governmental agency’s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services provided by BI, local, state and federal experience has been that a period of approximately 30 to 90 days is generally required from the issuance of an RFP or Invitation to Bid, or ITB, to the submission of our response; that between one and three months elapse between the submission of our response and the agency’s award of a contract; and that between one and three months elapse between the award of a contract and the commencement of a program or the implementation of program operations,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of our local, state and federal contracts range from one to five years and some contracts include provisions for optional renewal terms beyond the initial contract term. Contracts can, and are periodically, extended beyond the initial contract term and optional renewal terms through alternative procurement processes including sole source justification processes, cooperative procurement vehicles and agency decisions to add extension time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long operating history and reputation have earned us credibility with both existing and prospective customers when bidding on new facility management contracts or when renewing existing contracts.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plan to leverage our experience and scale of service offerings to expand the range of public-private partnership services that we provide. We have engaged and intend in the future to engage independent consultants to assist us in developing public-private partnership opportunities and in responding to requests for proposals, monitoring the legislative and business climate, and maintaining relationships with existing customers.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Facility Design, Construction and Finance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offer governmental agencies consultation and management services relating to the design and construction of new secure facilities and the redesign and renovation of older facilities including facilities we own, lease or manage as well as facilities we do not own, lease or manage. Domestically, as of December 31, 2023, we have provided services for the design and construction of approximately 69 facilities and for the redesign, renovation and expansion of approximately 25 facilities.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Contracts to design and construct or to redesign and renovate facilities may be financed in a variety of ways. Governmental agencies may finance the construction of such facilities through any of the following methods: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one time general revenue appropriation by the governmental agency for the cost of the new facility;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obligation bonds that are secured by either a limited or unlimited tax levy by the issuing governmental entity;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bonds or certificates of participation secured by an annual lease payment that is subject to annual or bi-annual legislative appropriations.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act as a source of financing or as a facilitator with respect to the financing of the construction of a facility. In these cases, the construction of such facilities may be financed through various methods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funds from equity offerings of our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on hand and/or cash flows from our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borrowings by us from banks or other institutions (which may or may not be subject to government guarantees in the event of contract termination);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funds from debt offerings of our notes;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arrangements with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project is financed using direct governmental appropriations, with proceeds of the sale of bonds or other obligations issued prior to the award of the project, then financing is in place when the contract relating to the construction or renovation project is executed. If the project is financed using project-specific tax-exempt bonds or other obligations, the construction contract is generally subject to the sale of such bonds or obligations. Generally, substantial expenditures for construction will not be made on such a project until the tax-exempt bonds or other obligations are sold; and, if such bonds or obligations are not sold, construction and therefore, management of the facility, may either be delayed until alternative financing is procured or the development of the project will be suspended or entirely canceled. If the project is self-financed by us, then financing is generally in place prior to the commencement of construction.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our construction and design management contracts, we generally agree to be responsible for overall project development and completion. We typically act as the primary developer on construction contracts for facilities and subcontract with bonded National and/or Regional Design Build Contractors. Where possible, we subcontract with construction companies that we have worked with previously. We make use of an in-house staff of architects and operational experts from various service disciplines (e.g. security, medical service, food service, programs and facility maintenance) as part of the team that participates from conceptual design through final construction of the project. The staff coordinates all aspects of the development with subcontractors and provides site-specific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designing a facility, our architects use, with appropriate modifications, prototype designs we have used in developing prior projects. We believe that the use of these designs allows us to reduce the potential of cost overruns and construction delays, thus controlling costs both to construct and to manage the facility. Our facility designs also maintain security because they increase the area under direct surveillance by correctional officers and make use of additional electronic surveillance.</w:t>
      </w:r>
    </w:p>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Competitive Strengths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Long-Term Relationships with High-Quality Government Customers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developed long-term relationships with our federal, state and other governmental customers, which we believe enhance our ability to win new contracts and retain existing business. We have provided secure management services to the United States Federal Government for 37 years, the State of California for 35 years, the State of Texas for approximately 36 years, various Australian state government entities for 32 years and the State of Florida for approximately 30 years. These customers accounted for approximately 77% of our consolidated revenues for the fiscal year ended December 31, 2023.</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Recurring Revenue with Strong Cash Flow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revenue base has historically been derived from our long-term customer relationships. We have historically been able to expand our revenue base by continuing to reinvest our strong operating cash flow into expansionary projects and through strategic acquisitions that provide scale and further enhance our service offerings. Our consolidated revenues have grown to approximately $2.4 billion in 2023. We expect our operating cash flow to be well in excess of our anticipated annual maintenance capital expenditure needs, which would provide us significant flexibility for the repayment of indebtedness.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Sizeable International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international infrastructure, which leverages our operational excellence in the U.S., allows us to aggressively target foreign opportunities that our U.S. based competitors without overseas operations may have difficulty pursuing. We currently have international operations in Australia, South Africa and the United Kingdom. Our international services business generated approximately $193.9 million of revenues, representing approximately 8% of our consolidated revenues for the year ended December 31, 2023. We believe we are well positioned to continue benefiting from foreign governments’ initiatives to enter into public-private partnerships for secure services.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Experienced, Proven Senior Management Team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Executive Chairman and founder, George C. Zoley, Ph.D., has provided senior leadership for our Company for 39 years and has established a track record of growth and profitability. Under his leadership and guidance, our annual consolidated revenues from operations have grown from $207.0 million in 1997 to approximately $2.4 billion in 2023. Dr. Zoley is one of the pioneers of the industry, having developed and opened what we believe to be one of the first public-private partnership secure services facilities in the U.S. in 1986. Our newly appointed Chief Executive Officer, Brian R. Evans has been with our Company for 23 years. Since joining the Company, Mr. Evans has overseen significant financial growth and shareholder value creation. During his tenure at GEO, Mr. Evans has been instrumental in successfully executing the Company’s strategy for three secondary public offerings of equity; the execution of multiple financing transactions; and the successful completion of major business transactions. Our top seven senior executives have an average tenure with our Company of approximately 11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Strategies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Provide High Quality, Comprehensive Services and Cost Savings Throughout the Corrections Lifecycle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objective is to provide federal, state and local governmental agencies with a comprehensive offering of high quality, essential services at a lower cost than they themselves could achieve. We believe government agencies facing budgetary constraints will increasingly seek to outsource a greater proportion of their correctional needs to reliable providers that can enhance quality of service at a reduced cost. We believe our expanded and diversified service offerings uniquely position us to bundle our high-quality services and provide a comprehensive continuum of care for our clients, which we believe will lead to lower cost outcomes for our clients and larger scale business opportunities for us.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Maintain Disciplined Operating Approach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refrain from pursuing contracts that we do not believe will yield attractive profit margins in relation to the associated operational risks. In addition, although we engage in facility development from time to time without having a corresponding management contract award in place, we endeavor to do so only where we have determined that there is medium to long-term client demand for a facility in that geographical area. We have also elected not to enter certain international markets with a history of economic and political instability. We believe that our strategy of emphasizing lower risk and higher profit opportunities helps us to consistently deliver strong operational performance, lower our costs and increase our overall profitability.</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Pursue International Growth Opportunities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 global provider of public-private partnership secure services, we are able to capitalize on opportunities to operate existing or new facilities on behalf of foreign governments. We have seen increased business development opportunities including opportunities to cross sell our expanded service offerings in recent years in the international markets in which we operate. We will continue to actively bid on new international projects in our current markets and in new markets that fit our target profile for profitability and operational risk.</w:t>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Intellectual Property and Patents</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We have numerous United States and foreign patents issued as well as a number of United States patents pending in the electronic monitoring space. We believe these patents protect our intellectual property rights and provide us with a competitive advantage by seeking to prevent our competitors from duplicating our technology and/or products in the electronic monitoring line of business. The remaining duration of our patents range from 18 months to 20 years.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Facilities and Day Reporting Centers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summarizes certain information with respect to our U.S. and international secure services facilities and our reentry services facilities. The information in the table includes the facilities that we (or a subsidiary or joint venture of GEO) owned, operated under a management contract, had an agreement to provide services, had an award to manage or was in the process of constructing or expanding during the year ended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0"/>
        <w:gridCol w:w="146"/>
        <w:gridCol w:w="186"/>
        <w:gridCol w:w="655"/>
        <w:gridCol w:w="146"/>
        <w:gridCol w:w="146"/>
        <w:gridCol w:w="826"/>
        <w:gridCol w:w="146"/>
        <w:gridCol w:w="1104"/>
        <w:gridCol w:w="146"/>
        <w:gridCol w:w="903"/>
        <w:gridCol w:w="146"/>
        <w:gridCol w:w="1362"/>
        <w:gridCol w:w="146"/>
        <w:gridCol w:w="697"/>
        <w:gridCol w:w="146"/>
        <w:gridCol w:w="838"/>
        <w:gridCol w:w="146"/>
        <w:gridCol w:w="830"/>
      </w:tblGrid>
      <w:tr>
        <w:trPr/>
        <w:tc>
          <w:tcPr>
            <w:tcW w:w="1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490" w:type="dxa"/>
            <w:tcBorders/>
            <w:shd w:fill="CFF0FC"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Secure Services — Western Region:</w:t>
            </w:r>
          </w:p>
        </w:tc>
        <w:tc>
          <w:tcPr>
            <w:tcW w:w="146" w:type="dxa"/>
            <w:tcBorders/>
            <w:shd w:fill="CFF0FC" w:val="cle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Adelanto ICE Processing Center, Adelanto, CA</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w:t>
            </w:r>
          </w:p>
        </w:tc>
        <w:tc>
          <w:tcPr>
            <w:tcW w:w="146"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 year</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9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Aurora/CE Processing Center Aurora, CO (2)</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USMS</w:t>
            </w:r>
          </w:p>
        </w:tc>
        <w:tc>
          <w:tcPr>
            <w:tcW w:w="146" w:type="dxa"/>
            <w:tcBorders/>
            <w:shd w:fill="CFF0FC" w:val="clear"/>
            <w:vAlign w:val="center"/>
          </w:tcPr>
          <w:p>
            <w:pPr>
              <w:pStyle w:val="TableContents"/>
              <w:bidi w:val="0"/>
              <w:spacing w:before="0" w:after="283"/>
              <w:jc w:val="left"/>
              <w:rPr/>
            </w:pPr>
            <w:r>
              <w:rPr/>
              <w:t> </w:t>
            </w:r>
          </w:p>
        </w:tc>
        <w:tc>
          <w:tcPr>
            <w:tcW w:w="11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CFF0FC" w:val="clear"/>
            <w:vAlign w:val="center"/>
          </w:tcPr>
          <w:p>
            <w:pPr>
              <w:pStyle w:val="TableContents"/>
              <w:bidi w:val="0"/>
              <w:spacing w:before="0" w:after="283"/>
              <w:jc w:val="left"/>
              <w:rPr/>
            </w:pPr>
            <w:r>
              <w:rPr/>
              <w:t> </w:t>
            </w:r>
          </w:p>
        </w:tc>
        <w:tc>
          <w:tcPr>
            <w:tcW w:w="136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2021</w:t>
            </w:r>
          </w:p>
        </w:tc>
        <w:tc>
          <w:tcPr>
            <w:tcW w:w="146"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9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Arizona Correctional and Rehabilitation Facility Florence, AZ</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 DOC</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Sex Offender Correctional</w:t>
            </w:r>
          </w:p>
        </w:tc>
        <w:tc>
          <w:tcPr>
            <w:tcW w:w="14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2006</w:t>
            </w:r>
          </w:p>
        </w:tc>
        <w:tc>
          <w:tcPr>
            <w:tcW w:w="146"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Five-year</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49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Valley Annex McFarland, CA (2)</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USMS</w:t>
            </w:r>
          </w:p>
        </w:tc>
        <w:tc>
          <w:tcPr>
            <w:tcW w:w="146" w:type="dxa"/>
            <w:tcBorders/>
            <w:shd w:fill="CFF0FC" w:val="clear"/>
            <w:vAlign w:val="center"/>
          </w:tcPr>
          <w:p>
            <w:pPr>
              <w:pStyle w:val="TableContents"/>
              <w:bidi w:val="0"/>
              <w:spacing w:before="0" w:after="283"/>
              <w:jc w:val="left"/>
              <w:rPr/>
            </w:pPr>
            <w:r>
              <w:rPr/>
              <w:t> </w:t>
            </w:r>
          </w:p>
        </w:tc>
        <w:tc>
          <w:tcPr>
            <w:tcW w:w="11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left"/>
              <w:rPr/>
            </w:pPr>
            <w:r>
              <w:rPr/>
              <w:t> </w:t>
            </w:r>
          </w:p>
        </w:tc>
        <w:tc>
          <w:tcPr>
            <w:tcW w:w="136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2019/October 2023</w:t>
            </w:r>
          </w:p>
        </w:tc>
        <w:tc>
          <w:tcPr>
            <w:tcW w:w="146"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years/13 months</w:t>
            </w:r>
          </w:p>
        </w:tc>
        <w:tc>
          <w:tcPr>
            <w:tcW w:w="146"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Five-year/one-year</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49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Desert View Annex Adelanto, CA</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w:t>
            </w:r>
          </w:p>
        </w:tc>
        <w:tc>
          <w:tcPr>
            <w:tcW w:w="146"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Five-year</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146"/>
        <w:gridCol w:w="183"/>
        <w:gridCol w:w="646"/>
        <w:gridCol w:w="146"/>
        <w:gridCol w:w="146"/>
        <w:gridCol w:w="828"/>
        <w:gridCol w:w="146"/>
        <w:gridCol w:w="987"/>
        <w:gridCol w:w="146"/>
        <w:gridCol w:w="857"/>
        <w:gridCol w:w="146"/>
        <w:gridCol w:w="1261"/>
        <w:gridCol w:w="146"/>
        <w:gridCol w:w="770"/>
        <w:gridCol w:w="146"/>
        <w:gridCol w:w="1348"/>
        <w:gridCol w:w="146"/>
        <w:gridCol w:w="830"/>
      </w:tblGrid>
      <w:tr>
        <w:trPr/>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1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 Centro Detention Facility, CA</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w:t>
            </w:r>
          </w:p>
        </w:tc>
        <w:tc>
          <w:tcPr>
            <w:tcW w:w="146"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 years</w:t>
            </w:r>
          </w:p>
        </w:tc>
        <w:tc>
          <w:tcPr>
            <w:tcW w:w="146"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Two-year options, plus nine-month</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1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Florence West Correctional and Rehabilitation Florence, AZ</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 DOC</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2022</w:t>
            </w:r>
          </w:p>
        </w:tc>
        <w:tc>
          <w:tcPr>
            <w:tcW w:w="14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 Five-year</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1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Golden State Annex McFarland, CA</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w:t>
            </w:r>
          </w:p>
        </w:tc>
        <w:tc>
          <w:tcPr>
            <w:tcW w:w="146"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Five-year</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Guadalupe County Correctional Facility Santa Rosa, NM (3)</w:t>
            </w:r>
          </w:p>
        </w:tc>
        <w:tc>
          <w:tcPr>
            <w:tcW w:w="146" w:type="dxa"/>
            <w:tcBorders/>
            <w:shd w:fill="FFFFFF" w:val="clear"/>
            <w:vAlign w:val="center"/>
          </w:tcPr>
          <w:p>
            <w:pPr>
              <w:pStyle w:val="TableContents"/>
              <w:bidi w:val="0"/>
              <w:spacing w:before="0" w:after="283"/>
              <w:jc w:val="left"/>
              <w:rPr/>
            </w:pPr>
            <w:r>
              <w:rPr/>
              <w:t> </w:t>
            </w:r>
          </w:p>
        </w:tc>
        <w:tc>
          <w:tcPr>
            <w:tcW w:w="829"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Kingman Correctional and Rehabilitation facility, Kingman, AZ</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 DOC</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 Facility</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2008</w:t>
            </w:r>
          </w:p>
        </w:tc>
        <w:tc>
          <w:tcPr>
            <w:tcW w:w="146"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 five-year plus one, two-year plus one, three year</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1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 County Correctional Facility Hobbs, NM (2)</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NMCD - IGA</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Local/State Correctional</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1999</w:t>
            </w:r>
          </w:p>
        </w:tc>
        <w:tc>
          <w:tcPr>
            <w:tcW w:w="14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McFarland Female Community Reentry Facility McFarland, CA</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Mesa Verde ICE Processing Center Bakersfield, CA</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2019</w:t>
            </w:r>
          </w:p>
        </w:tc>
        <w:tc>
          <w:tcPr>
            <w:tcW w:w="14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 year</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Northwest ICE Processing Center Tacoma, WA</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2015</w:t>
            </w:r>
          </w:p>
        </w:tc>
        <w:tc>
          <w:tcPr>
            <w:tcW w:w="146"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 plus five-year</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1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Phoenix West Correctional and Rehabilitation Phoenix, AZ</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 DOC</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DWI Correctional</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2022</w:t>
            </w:r>
          </w:p>
        </w:tc>
        <w:tc>
          <w:tcPr>
            <w:tcW w:w="146"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1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Western Region Detention Facility San Diego, CA</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Maximum</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2017</w:t>
            </w:r>
          </w:p>
        </w:tc>
        <w:tc>
          <w:tcPr>
            <w:tcW w:w="146"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 10 Months</w:t>
            </w:r>
          </w:p>
        </w:tc>
        <w:tc>
          <w:tcPr>
            <w:tcW w:w="146"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 two-year , plus six-month, plus three-month, plus one fifteen-month, plus one twenty-five month, plus one twenty-three month</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7"/>
        <w:gridCol w:w="146"/>
        <w:gridCol w:w="185"/>
        <w:gridCol w:w="653"/>
        <w:gridCol w:w="146"/>
        <w:gridCol w:w="146"/>
        <w:gridCol w:w="892"/>
        <w:gridCol w:w="146"/>
        <w:gridCol w:w="1050"/>
        <w:gridCol w:w="146"/>
        <w:gridCol w:w="715"/>
        <w:gridCol w:w="146"/>
        <w:gridCol w:w="1330"/>
        <w:gridCol w:w="146"/>
        <w:gridCol w:w="843"/>
        <w:gridCol w:w="146"/>
        <w:gridCol w:w="1095"/>
        <w:gridCol w:w="146"/>
        <w:gridCol w:w="831"/>
      </w:tblGrid>
      <w:tr>
        <w:trPr/>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297" w:type="dxa"/>
            <w:tcBorders/>
            <w:shd w:fill="CFF0FC"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Secure Services — Central Region:</w:t>
            </w:r>
          </w:p>
        </w:tc>
        <w:tc>
          <w:tcPr>
            <w:tcW w:w="146" w:type="dxa"/>
            <w:tcBorders/>
            <w:shd w:fill="CFF0FC" w:val="clear"/>
            <w:vAlign w:val="center"/>
          </w:tcPr>
          <w:p>
            <w:pPr>
              <w:pStyle w:val="TableContents"/>
              <w:bidi w:val="0"/>
              <w:spacing w:before="0" w:after="283"/>
              <w:jc w:val="left"/>
              <w:rPr/>
            </w:pPr>
            <w:r>
              <w:rPr/>
              <w:t> </w:t>
            </w:r>
          </w:p>
        </w:tc>
        <w:tc>
          <w:tcPr>
            <w:tcW w:w="83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left"/>
              <w:rPr/>
            </w:pPr>
            <w:r>
              <w:rPr/>
              <w:t> </w:t>
            </w:r>
          </w:p>
        </w:tc>
      </w:tr>
      <w:tr>
        <w:trPr/>
        <w:tc>
          <w:tcPr>
            <w:tcW w:w="1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Big Spring Correctional Facility Big Spring, TX (5)</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FFFFFF" w:val="clear"/>
            <w:vAlign w:val="center"/>
          </w:tcPr>
          <w:p>
            <w:pPr>
              <w:pStyle w:val="TableContents"/>
              <w:bidi w:val="0"/>
              <w:spacing w:before="0" w:after="283"/>
              <w:jc w:val="center"/>
              <w:rPr/>
            </w:pPr>
            <w:r>
              <w:rPr/>
              <w:t> </w:t>
            </w:r>
          </w:p>
        </w:tc>
        <w:tc>
          <w:tcPr>
            <w:tcW w:w="10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Flightline Correctional Facility, TX (5)</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9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CFF0FC" w:val="clear"/>
            <w:vAlign w:val="center"/>
          </w:tcPr>
          <w:p>
            <w:pPr>
              <w:pStyle w:val="TableContents"/>
              <w:bidi w:val="0"/>
              <w:spacing w:before="0" w:after="283"/>
              <w:jc w:val="center"/>
              <w:rPr/>
            </w:pPr>
            <w:r>
              <w:rPr/>
              <w:t> </w:t>
            </w:r>
          </w:p>
        </w:tc>
        <w:tc>
          <w:tcPr>
            <w:tcW w:w="105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33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Brooks County Detention Center, TX (2)</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FFFFFF" w:val="clear"/>
            <w:vAlign w:val="center"/>
          </w:tcPr>
          <w:p>
            <w:pPr>
              <w:pStyle w:val="TableContents"/>
              <w:bidi w:val="0"/>
              <w:spacing w:before="0" w:after="283"/>
              <w:jc w:val="center"/>
              <w:rPr/>
            </w:pPr>
            <w:r>
              <w:rPr/>
              <w:t> </w:t>
            </w:r>
          </w:p>
        </w:tc>
        <w:tc>
          <w:tcPr>
            <w:tcW w:w="10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vAlign w:val="center"/>
          </w:tcPr>
          <w:p>
            <w:pPr>
              <w:pStyle w:val="TableContents"/>
              <w:bidi w:val="0"/>
              <w:spacing w:before="0" w:after="283"/>
              <w:jc w:val="center"/>
              <w:rPr/>
            </w:pPr>
            <w:r>
              <w:rPr/>
              <w:t> </w:t>
            </w:r>
          </w:p>
        </w:tc>
        <w:tc>
          <w:tcPr>
            <w:tcW w:w="13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2013</w:t>
            </w:r>
          </w:p>
        </w:tc>
        <w:tc>
          <w:tcPr>
            <w:tcW w:w="146" w:type="dxa"/>
            <w:tcBorders/>
            <w:shd w:fill="FFFFFF" w:val="clear"/>
            <w:vAlign w:val="center"/>
          </w:tcPr>
          <w:p>
            <w:pPr>
              <w:pStyle w:val="TableContents"/>
              <w:bidi w:val="0"/>
              <w:spacing w:before="0" w:after="283"/>
              <w:jc w:val="center"/>
              <w:rPr/>
            </w:pPr>
            <w:r>
              <w:rPr/>
              <w:t> </w:t>
            </w:r>
          </w:p>
        </w:tc>
        <w:tc>
          <w:tcPr>
            <w:tcW w:w="84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vAlign w:val="center"/>
          </w:tcPr>
          <w:p>
            <w:pPr>
              <w:pStyle w:val="TableContents"/>
              <w:bidi w:val="0"/>
              <w:spacing w:before="0" w:after="283"/>
              <w:jc w:val="center"/>
              <w:rPr/>
            </w:pPr>
            <w:r>
              <w:rPr/>
              <w:t> </w:t>
            </w:r>
          </w:p>
        </w:tc>
        <w:tc>
          <w:tcPr>
            <w:tcW w:w="109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Coastal Bend Detention Center, TX (2)</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9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USMS/Hidalgo County</w:t>
            </w:r>
          </w:p>
        </w:tc>
        <w:tc>
          <w:tcPr>
            <w:tcW w:w="146" w:type="dxa"/>
            <w:tcBorders/>
            <w:shd w:fill="CFF0FC" w:val="clear"/>
            <w:vAlign w:val="center"/>
          </w:tcPr>
          <w:p>
            <w:pPr>
              <w:pStyle w:val="TableContents"/>
              <w:bidi w:val="0"/>
              <w:spacing w:before="0" w:after="283"/>
              <w:jc w:val="center"/>
              <w:rPr/>
            </w:pPr>
            <w:r>
              <w:rPr/>
              <w:t> </w:t>
            </w:r>
          </w:p>
        </w:tc>
        <w:tc>
          <w:tcPr>
            <w:tcW w:w="10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center"/>
              <w:rPr/>
            </w:pPr>
            <w:r>
              <w:rPr/>
              <w:t> </w:t>
            </w:r>
          </w:p>
        </w:tc>
        <w:tc>
          <w:tcPr>
            <w:tcW w:w="13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2012</w:t>
            </w:r>
          </w:p>
        </w:tc>
        <w:tc>
          <w:tcPr>
            <w:tcW w:w="146" w:type="dxa"/>
            <w:tcBorders/>
            <w:shd w:fill="CFF0FC" w:val="clear"/>
            <w:vAlign w:val="center"/>
          </w:tcPr>
          <w:p>
            <w:pPr>
              <w:pStyle w:val="TableContents"/>
              <w:bidi w:val="0"/>
              <w:spacing w:before="0" w:after="283"/>
              <w:jc w:val="center"/>
              <w:rPr/>
            </w:pPr>
            <w:r>
              <w:rPr/>
              <w:t> </w:t>
            </w:r>
          </w:p>
        </w:tc>
        <w:tc>
          <w:tcPr>
            <w:tcW w:w="84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CFF0FC" w:val="clear"/>
            <w:vAlign w:val="center"/>
          </w:tcPr>
          <w:p>
            <w:pPr>
              <w:pStyle w:val="TableContents"/>
              <w:bidi w:val="0"/>
              <w:spacing w:before="0" w:after="283"/>
              <w:jc w:val="center"/>
              <w:rPr/>
            </w:pPr>
            <w:r>
              <w:rPr/>
              <w:t> </w:t>
            </w:r>
          </w:p>
        </w:tc>
        <w:tc>
          <w:tcPr>
            <w:tcW w:w="109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Eagle Pass Correctional Facility, Eagle Pass, TX</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FFFFFF" w:val="clear"/>
            <w:vAlign w:val="center"/>
          </w:tcPr>
          <w:p>
            <w:pPr>
              <w:pStyle w:val="TableContents"/>
              <w:bidi w:val="0"/>
              <w:spacing w:before="0" w:after="283"/>
              <w:jc w:val="center"/>
              <w:rPr/>
            </w:pPr>
            <w:r>
              <w:rPr/>
              <w:t> </w:t>
            </w:r>
          </w:p>
        </w:tc>
        <w:tc>
          <w:tcPr>
            <w:tcW w:w="10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vAlign w:val="center"/>
          </w:tcPr>
          <w:p>
            <w:pPr>
              <w:pStyle w:val="TableContents"/>
              <w:bidi w:val="0"/>
              <w:spacing w:before="0" w:after="283"/>
              <w:jc w:val="center"/>
              <w:rPr/>
            </w:pPr>
            <w:r>
              <w:rPr/>
              <w:t> </w:t>
            </w:r>
          </w:p>
        </w:tc>
        <w:tc>
          <w:tcPr>
            <w:tcW w:w="13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2020</w:t>
            </w:r>
          </w:p>
        </w:tc>
        <w:tc>
          <w:tcPr>
            <w:tcW w:w="146" w:type="dxa"/>
            <w:tcBorders/>
            <w:shd w:fill="FFFFFF" w:val="clear"/>
            <w:vAlign w:val="center"/>
          </w:tcPr>
          <w:p>
            <w:pPr>
              <w:pStyle w:val="TableContents"/>
              <w:bidi w:val="0"/>
              <w:spacing w:before="0" w:after="283"/>
              <w:jc w:val="center"/>
              <w:rPr/>
            </w:pPr>
            <w:r>
              <w:rPr/>
              <w:t> </w:t>
            </w:r>
          </w:p>
        </w:tc>
        <w:tc>
          <w:tcPr>
            <w:tcW w:w="84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vAlign w:val="center"/>
          </w:tcPr>
          <w:p>
            <w:pPr>
              <w:pStyle w:val="TableContents"/>
              <w:bidi w:val="0"/>
              <w:spacing w:before="0" w:after="283"/>
              <w:jc w:val="center"/>
              <w:rPr/>
            </w:pPr>
            <w:r>
              <w:rPr/>
              <w:t> </w:t>
            </w:r>
          </w:p>
        </w:tc>
        <w:tc>
          <w:tcPr>
            <w:tcW w:w="109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East Hidalgo Detention Center (2)</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9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CFF0FC" w:val="clear"/>
            <w:vAlign w:val="center"/>
          </w:tcPr>
          <w:p>
            <w:pPr>
              <w:pStyle w:val="TableContents"/>
              <w:bidi w:val="0"/>
              <w:spacing w:before="0" w:after="283"/>
              <w:jc w:val="center"/>
              <w:rPr/>
            </w:pPr>
            <w:r>
              <w:rPr/>
              <w:t> </w:t>
            </w:r>
          </w:p>
        </w:tc>
        <w:tc>
          <w:tcPr>
            <w:tcW w:w="10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center"/>
              <w:rPr/>
            </w:pPr>
            <w:r>
              <w:rPr/>
              <w:t> </w:t>
            </w:r>
          </w:p>
        </w:tc>
        <w:tc>
          <w:tcPr>
            <w:tcW w:w="13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2012</w:t>
            </w:r>
          </w:p>
        </w:tc>
        <w:tc>
          <w:tcPr>
            <w:tcW w:w="146" w:type="dxa"/>
            <w:tcBorders/>
            <w:shd w:fill="CFF0FC" w:val="clear"/>
            <w:vAlign w:val="center"/>
          </w:tcPr>
          <w:p>
            <w:pPr>
              <w:pStyle w:val="TableContents"/>
              <w:bidi w:val="0"/>
              <w:spacing w:before="0" w:after="283"/>
              <w:jc w:val="center"/>
              <w:rPr/>
            </w:pPr>
            <w:r>
              <w:rPr/>
              <w:t> </w:t>
            </w:r>
          </w:p>
        </w:tc>
        <w:tc>
          <w:tcPr>
            <w:tcW w:w="84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CFF0FC" w:val="clear"/>
            <w:vAlign w:val="center"/>
          </w:tcPr>
          <w:p>
            <w:pPr>
              <w:pStyle w:val="TableContents"/>
              <w:bidi w:val="0"/>
              <w:spacing w:before="0" w:after="283"/>
              <w:jc w:val="center"/>
              <w:rPr/>
            </w:pPr>
            <w:r>
              <w:rPr/>
              <w:t> </w:t>
            </w:r>
          </w:p>
        </w:tc>
        <w:tc>
          <w:tcPr>
            <w:tcW w:w="109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Plains Correctional Facility Hinton, OK (5)</w:t>
            </w:r>
          </w:p>
        </w:tc>
        <w:tc>
          <w:tcPr>
            <w:tcW w:w="146" w:type="dxa"/>
            <w:tcBorders/>
            <w:shd w:fill="FFFFFF" w:val="clear"/>
            <w:vAlign w:val="center"/>
          </w:tcPr>
          <w:p>
            <w:pPr>
              <w:pStyle w:val="TableContents"/>
              <w:bidi w:val="0"/>
              <w:spacing w:before="0" w:after="283"/>
              <w:jc w:val="left"/>
              <w:rPr/>
            </w:pPr>
            <w:r>
              <w:rPr/>
              <w:t> </w:t>
            </w:r>
          </w:p>
        </w:tc>
        <w:tc>
          <w:tcPr>
            <w:tcW w:w="838"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Joe Corley Processing Center Conroe, TX (2)</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9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ICE</w:t>
            </w:r>
          </w:p>
        </w:tc>
        <w:tc>
          <w:tcPr>
            <w:tcW w:w="146" w:type="dxa"/>
            <w:tcBorders/>
            <w:shd w:fill="CFF0FC" w:val="clear"/>
            <w:vAlign w:val="center"/>
          </w:tcPr>
          <w:p>
            <w:pPr>
              <w:pStyle w:val="TableContents"/>
              <w:bidi w:val="0"/>
              <w:spacing w:before="0" w:after="283"/>
              <w:jc w:val="center"/>
              <w:rPr/>
            </w:pPr>
            <w:r>
              <w:rPr/>
              <w:t> </w:t>
            </w:r>
          </w:p>
        </w:tc>
        <w:tc>
          <w:tcPr>
            <w:tcW w:w="10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Correctional</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center"/>
              <w:rPr/>
            </w:pPr>
            <w:r>
              <w:rPr/>
              <w:t> </w:t>
            </w:r>
          </w:p>
        </w:tc>
        <w:tc>
          <w:tcPr>
            <w:tcW w:w="13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2008/ September 2018</w:t>
            </w:r>
          </w:p>
        </w:tc>
        <w:tc>
          <w:tcPr>
            <w:tcW w:w="146" w:type="dxa"/>
            <w:tcBorders/>
            <w:shd w:fill="CFF0FC" w:val="clear"/>
            <w:vAlign w:val="center"/>
          </w:tcPr>
          <w:p>
            <w:pPr>
              <w:pStyle w:val="TableContents"/>
              <w:bidi w:val="0"/>
              <w:spacing w:before="0" w:after="283"/>
              <w:jc w:val="center"/>
              <w:rPr/>
            </w:pPr>
            <w:r>
              <w:rPr/>
              <w:t> </w:t>
            </w:r>
          </w:p>
        </w:tc>
        <w:tc>
          <w:tcPr>
            <w:tcW w:w="84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Perpetual/5 Years</w:t>
            </w:r>
          </w:p>
        </w:tc>
        <w:tc>
          <w:tcPr>
            <w:tcW w:w="146" w:type="dxa"/>
            <w:tcBorders/>
            <w:shd w:fill="CFF0FC" w:val="clear"/>
            <w:vAlign w:val="center"/>
          </w:tcPr>
          <w:p>
            <w:pPr>
              <w:pStyle w:val="TableContents"/>
              <w:bidi w:val="0"/>
              <w:spacing w:before="0" w:after="283"/>
              <w:jc w:val="center"/>
              <w:rPr/>
            </w:pPr>
            <w:r>
              <w:rPr/>
              <w:t> </w:t>
            </w:r>
          </w:p>
        </w:tc>
        <w:tc>
          <w:tcPr>
            <w:tcW w:w="109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 /Five-year, plus one, 4 and one half month</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Karnes Detention Facility Karnes City, TX (2)</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FFFFFF" w:val="clear"/>
            <w:vAlign w:val="center"/>
          </w:tcPr>
          <w:p>
            <w:pPr>
              <w:pStyle w:val="TableContents"/>
              <w:bidi w:val="0"/>
              <w:spacing w:before="0" w:after="283"/>
              <w:jc w:val="center"/>
              <w:rPr/>
            </w:pPr>
            <w:r>
              <w:rPr/>
              <w:t> </w:t>
            </w:r>
          </w:p>
        </w:tc>
        <w:tc>
          <w:tcPr>
            <w:tcW w:w="10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FFFFFF" w:val="clear"/>
            <w:vAlign w:val="center"/>
          </w:tcPr>
          <w:p>
            <w:pPr>
              <w:pStyle w:val="TableContents"/>
              <w:bidi w:val="0"/>
              <w:spacing w:before="0" w:after="283"/>
              <w:jc w:val="center"/>
              <w:rPr/>
            </w:pPr>
            <w:r>
              <w:rPr/>
              <w:t> </w:t>
            </w:r>
          </w:p>
        </w:tc>
        <w:tc>
          <w:tcPr>
            <w:tcW w:w="13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1998</w:t>
            </w:r>
          </w:p>
        </w:tc>
        <w:tc>
          <w:tcPr>
            <w:tcW w:w="146" w:type="dxa"/>
            <w:tcBorders/>
            <w:shd w:fill="FFFFFF" w:val="clear"/>
            <w:vAlign w:val="center"/>
          </w:tcPr>
          <w:p>
            <w:pPr>
              <w:pStyle w:val="TableContents"/>
              <w:bidi w:val="0"/>
              <w:spacing w:before="0" w:after="283"/>
              <w:jc w:val="center"/>
              <w:rPr/>
            </w:pPr>
            <w:r>
              <w:rPr/>
              <w:t> </w:t>
            </w:r>
          </w:p>
        </w:tc>
        <w:tc>
          <w:tcPr>
            <w:tcW w:w="84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vAlign w:val="center"/>
          </w:tcPr>
          <w:p>
            <w:pPr>
              <w:pStyle w:val="TableContents"/>
              <w:bidi w:val="0"/>
              <w:spacing w:before="0" w:after="283"/>
              <w:jc w:val="center"/>
              <w:rPr/>
            </w:pPr>
            <w:r>
              <w:rPr/>
              <w:t> </w:t>
            </w:r>
          </w:p>
        </w:tc>
        <w:tc>
          <w:tcPr>
            <w:tcW w:w="109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Karnes County Immigration Processing Center, TX (2)</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9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IGA</w:t>
            </w:r>
          </w:p>
        </w:tc>
        <w:tc>
          <w:tcPr>
            <w:tcW w:w="146" w:type="dxa"/>
            <w:tcBorders/>
            <w:shd w:fill="CFF0FC" w:val="clear"/>
            <w:vAlign w:val="center"/>
          </w:tcPr>
          <w:p>
            <w:pPr>
              <w:pStyle w:val="TableContents"/>
              <w:bidi w:val="0"/>
              <w:spacing w:before="0" w:after="283"/>
              <w:jc w:val="center"/>
              <w:rPr/>
            </w:pPr>
            <w:r>
              <w:rPr/>
              <w:t> </w:t>
            </w:r>
          </w:p>
        </w:tc>
        <w:tc>
          <w:tcPr>
            <w:tcW w:w="10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CFF0FC" w:val="clear"/>
            <w:vAlign w:val="center"/>
          </w:tcPr>
          <w:p>
            <w:pPr>
              <w:pStyle w:val="TableContents"/>
              <w:bidi w:val="0"/>
              <w:spacing w:before="0" w:after="283"/>
              <w:jc w:val="center"/>
              <w:rPr/>
            </w:pPr>
            <w:r>
              <w:rPr/>
              <w:t> </w:t>
            </w:r>
          </w:p>
        </w:tc>
        <w:tc>
          <w:tcPr>
            <w:tcW w:w="13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2010</w:t>
            </w:r>
          </w:p>
        </w:tc>
        <w:tc>
          <w:tcPr>
            <w:tcW w:w="146" w:type="dxa"/>
            <w:tcBorders/>
            <w:shd w:fill="CFF0FC" w:val="clear"/>
            <w:vAlign w:val="center"/>
          </w:tcPr>
          <w:p>
            <w:pPr>
              <w:pStyle w:val="TableContents"/>
              <w:bidi w:val="0"/>
              <w:spacing w:before="0" w:after="283"/>
              <w:jc w:val="center"/>
              <w:rPr/>
            </w:pPr>
            <w:r>
              <w:rPr/>
              <w:t> </w:t>
            </w:r>
          </w:p>
        </w:tc>
        <w:tc>
          <w:tcPr>
            <w:tcW w:w="84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vAlign w:val="center"/>
          </w:tcPr>
          <w:p>
            <w:pPr>
              <w:pStyle w:val="TableContents"/>
              <w:bidi w:val="0"/>
              <w:spacing w:before="0" w:after="283"/>
              <w:jc w:val="center"/>
              <w:rPr/>
            </w:pPr>
            <w:r>
              <w:rPr/>
              <w:t> </w:t>
            </w:r>
          </w:p>
        </w:tc>
        <w:tc>
          <w:tcPr>
            <w:tcW w:w="109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Two, Five-Year</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Kinney County Detention Center, TX (2)</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FFFFFF" w:val="clear"/>
            <w:vAlign w:val="center"/>
          </w:tcPr>
          <w:p>
            <w:pPr>
              <w:pStyle w:val="TableContents"/>
              <w:bidi w:val="0"/>
              <w:spacing w:before="0" w:after="283"/>
              <w:jc w:val="center"/>
              <w:rPr/>
            </w:pPr>
            <w:r>
              <w:rPr/>
              <w:t> </w:t>
            </w:r>
          </w:p>
        </w:tc>
        <w:tc>
          <w:tcPr>
            <w:tcW w:w="10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vAlign w:val="center"/>
          </w:tcPr>
          <w:p>
            <w:pPr>
              <w:pStyle w:val="TableContents"/>
              <w:bidi w:val="0"/>
              <w:spacing w:before="0" w:after="283"/>
              <w:jc w:val="center"/>
              <w:rPr/>
            </w:pPr>
            <w:r>
              <w:rPr/>
              <w:t> </w:t>
            </w:r>
          </w:p>
        </w:tc>
        <w:tc>
          <w:tcPr>
            <w:tcW w:w="13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2013</w:t>
            </w:r>
          </w:p>
        </w:tc>
        <w:tc>
          <w:tcPr>
            <w:tcW w:w="146" w:type="dxa"/>
            <w:tcBorders/>
            <w:shd w:fill="FFFFFF" w:val="clear"/>
            <w:vAlign w:val="center"/>
          </w:tcPr>
          <w:p>
            <w:pPr>
              <w:pStyle w:val="TableContents"/>
              <w:bidi w:val="0"/>
              <w:spacing w:before="0" w:after="283"/>
              <w:jc w:val="center"/>
              <w:rPr/>
            </w:pPr>
            <w:r>
              <w:rPr/>
              <w:t> </w:t>
            </w:r>
          </w:p>
        </w:tc>
        <w:tc>
          <w:tcPr>
            <w:tcW w:w="84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vAlign w:val="center"/>
          </w:tcPr>
          <w:p>
            <w:pPr>
              <w:pStyle w:val="TableContents"/>
              <w:bidi w:val="0"/>
              <w:spacing w:before="0" w:after="283"/>
              <w:jc w:val="center"/>
              <w:rPr/>
            </w:pPr>
            <w:r>
              <w:rPr/>
              <w:t> </w:t>
            </w:r>
          </w:p>
        </w:tc>
        <w:tc>
          <w:tcPr>
            <w:tcW w:w="109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Lawton Correctional Facility Lawton, OK</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9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OK DOC</w:t>
            </w:r>
          </w:p>
        </w:tc>
        <w:tc>
          <w:tcPr>
            <w:tcW w:w="146" w:type="dxa"/>
            <w:tcBorders/>
            <w:shd w:fill="CFF0FC" w:val="clear"/>
            <w:vAlign w:val="center"/>
          </w:tcPr>
          <w:p>
            <w:pPr>
              <w:pStyle w:val="TableContents"/>
              <w:bidi w:val="0"/>
              <w:spacing w:before="0" w:after="283"/>
              <w:jc w:val="center"/>
              <w:rPr/>
            </w:pPr>
            <w:r>
              <w:rPr/>
              <w:t> </w:t>
            </w:r>
          </w:p>
        </w:tc>
        <w:tc>
          <w:tcPr>
            <w:tcW w:w="10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center"/>
              <w:rPr/>
            </w:pPr>
            <w:r>
              <w:rPr/>
              <w:t> </w:t>
            </w:r>
          </w:p>
        </w:tc>
        <w:tc>
          <w:tcPr>
            <w:tcW w:w="13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2023</w:t>
            </w:r>
          </w:p>
        </w:tc>
        <w:tc>
          <w:tcPr>
            <w:tcW w:w="146" w:type="dxa"/>
            <w:tcBorders/>
            <w:shd w:fill="CFF0FC" w:val="clear"/>
            <w:vAlign w:val="center"/>
          </w:tcPr>
          <w:p>
            <w:pPr>
              <w:pStyle w:val="TableContents"/>
              <w:bidi w:val="0"/>
              <w:spacing w:before="0" w:after="283"/>
              <w:jc w:val="center"/>
              <w:rPr/>
            </w:pPr>
            <w:r>
              <w:rPr/>
              <w:t> </w:t>
            </w:r>
          </w:p>
        </w:tc>
        <w:tc>
          <w:tcPr>
            <w:tcW w:w="84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center"/>
              <w:rPr/>
            </w:pPr>
            <w:r>
              <w:rPr/>
              <w:t> </w:t>
            </w:r>
          </w:p>
        </w:tc>
        <w:tc>
          <w:tcPr>
            <w:tcW w:w="109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Montgomery Processing Center Conroe, TX</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FFFFFF" w:val="clear"/>
            <w:vAlign w:val="center"/>
          </w:tcPr>
          <w:p>
            <w:pPr>
              <w:pStyle w:val="TableContents"/>
              <w:bidi w:val="0"/>
              <w:spacing w:before="0" w:after="283"/>
              <w:jc w:val="center"/>
              <w:rPr/>
            </w:pPr>
            <w:r>
              <w:rPr/>
              <w:t> </w:t>
            </w:r>
          </w:p>
        </w:tc>
        <w:tc>
          <w:tcPr>
            <w:tcW w:w="10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FFFFFF" w:val="clear"/>
            <w:vAlign w:val="center"/>
          </w:tcPr>
          <w:p>
            <w:pPr>
              <w:pStyle w:val="TableContents"/>
              <w:bidi w:val="0"/>
              <w:spacing w:before="0" w:after="283"/>
              <w:jc w:val="center"/>
              <w:rPr/>
            </w:pPr>
            <w:r>
              <w:rPr/>
              <w:t> </w:t>
            </w:r>
          </w:p>
        </w:tc>
        <w:tc>
          <w:tcPr>
            <w:tcW w:w="13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2018</w:t>
            </w:r>
          </w:p>
        </w:tc>
        <w:tc>
          <w:tcPr>
            <w:tcW w:w="146" w:type="dxa"/>
            <w:tcBorders/>
            <w:shd w:fill="FFFFFF" w:val="clear"/>
            <w:vAlign w:val="center"/>
          </w:tcPr>
          <w:p>
            <w:pPr>
              <w:pStyle w:val="TableContents"/>
              <w:bidi w:val="0"/>
              <w:spacing w:before="0" w:after="283"/>
              <w:jc w:val="center"/>
              <w:rPr/>
            </w:pPr>
            <w:r>
              <w:rPr/>
              <w:t> </w:t>
            </w:r>
          </w:p>
        </w:tc>
        <w:tc>
          <w:tcPr>
            <w:tcW w:w="84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months</w:t>
            </w:r>
          </w:p>
        </w:tc>
        <w:tc>
          <w:tcPr>
            <w:tcW w:w="146" w:type="dxa"/>
            <w:tcBorders/>
            <w:shd w:fill="FFFFFF" w:val="clear"/>
            <w:vAlign w:val="center"/>
          </w:tcPr>
          <w:p>
            <w:pPr>
              <w:pStyle w:val="TableContents"/>
              <w:bidi w:val="0"/>
              <w:spacing w:before="0" w:after="283"/>
              <w:jc w:val="center"/>
              <w:rPr/>
            </w:pPr>
            <w:r>
              <w:rPr/>
              <w:t> </w:t>
            </w:r>
          </w:p>
        </w:tc>
        <w:tc>
          <w:tcPr>
            <w:tcW w:w="109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 year</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11"/>
        <w:gridCol w:w="146"/>
        <w:gridCol w:w="185"/>
        <w:gridCol w:w="650"/>
        <w:gridCol w:w="146"/>
        <w:gridCol w:w="146"/>
        <w:gridCol w:w="822"/>
        <w:gridCol w:w="146"/>
        <w:gridCol w:w="1021"/>
        <w:gridCol w:w="146"/>
        <w:gridCol w:w="876"/>
        <w:gridCol w:w="146"/>
        <w:gridCol w:w="1261"/>
        <w:gridCol w:w="146"/>
        <w:gridCol w:w="751"/>
        <w:gridCol w:w="146"/>
        <w:gridCol w:w="1185"/>
        <w:gridCol w:w="146"/>
        <w:gridCol w:w="829"/>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Rio Grande Processing Center Laredo, TX</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2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w:t>
            </w:r>
          </w:p>
        </w:tc>
        <w:tc>
          <w:tcPr>
            <w:tcW w:w="146" w:type="dxa"/>
            <w:tcBorders/>
            <w:shd w:fill="CFF0FC" w:val="clear"/>
            <w:vAlign w:val="center"/>
          </w:tcPr>
          <w:p>
            <w:pPr>
              <w:pStyle w:val="TableContents"/>
              <w:bidi w:val="0"/>
              <w:spacing w:before="0" w:after="283"/>
              <w:jc w:val="center"/>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center"/>
              <w:rPr/>
            </w:pPr>
            <w:r>
              <w:rPr/>
              <w:t> </w:t>
            </w:r>
          </w:p>
        </w:tc>
        <w:tc>
          <w:tcPr>
            <w:tcW w:w="87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2008</w:t>
            </w:r>
          </w:p>
        </w:tc>
        <w:tc>
          <w:tcPr>
            <w:tcW w:w="146" w:type="dxa"/>
            <w:tcBorders/>
            <w:shd w:fill="CFF0FC" w:val="clear"/>
            <w:vAlign w:val="center"/>
          </w:tcPr>
          <w:p>
            <w:pPr>
              <w:pStyle w:val="TableContents"/>
              <w:bidi w:val="0"/>
              <w:spacing w:before="0" w:after="283"/>
              <w:jc w:val="center"/>
              <w:rPr/>
            </w:pPr>
            <w:r>
              <w:rPr/>
              <w:t> </w:t>
            </w:r>
          </w:p>
        </w:tc>
        <w:tc>
          <w:tcPr>
            <w:tcW w:w="7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vAlign w:val="center"/>
          </w:tcPr>
          <w:p>
            <w:pPr>
              <w:pStyle w:val="TableContents"/>
              <w:bidi w:val="0"/>
              <w:spacing w:before="0" w:after="283"/>
              <w:jc w:val="center"/>
              <w:rPr/>
            </w:pPr>
            <w:r>
              <w:rPr/>
              <w:t> </w:t>
            </w:r>
          </w:p>
        </w:tc>
        <w:tc>
          <w:tcPr>
            <w:tcW w:w="118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Five-year</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 Texas ICE Processing Center Pearsall, TX</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FFFFFF" w:val="clear"/>
            <w:vAlign w:val="center"/>
          </w:tcPr>
          <w:p>
            <w:pPr>
              <w:pStyle w:val="TableContents"/>
              <w:bidi w:val="0"/>
              <w:spacing w:before="0" w:after="283"/>
              <w:jc w:val="center"/>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vAlign w:val="center"/>
          </w:tcPr>
          <w:p>
            <w:pPr>
              <w:pStyle w:val="TableContents"/>
              <w:bidi w:val="0"/>
              <w:spacing w:before="0" w:after="283"/>
              <w:jc w:val="center"/>
              <w:rPr/>
            </w:pPr>
            <w:r>
              <w:rPr/>
              <w:t> </w:t>
            </w:r>
          </w:p>
        </w:tc>
        <w:tc>
          <w:tcPr>
            <w:tcW w:w="8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2020</w:t>
            </w:r>
          </w:p>
        </w:tc>
        <w:tc>
          <w:tcPr>
            <w:tcW w:w="146" w:type="dxa"/>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center"/>
              <w:rPr/>
            </w:pPr>
            <w:r>
              <w:rPr/>
              <w:t> </w:t>
            </w:r>
          </w:p>
        </w:tc>
        <w:tc>
          <w:tcPr>
            <w:tcW w:w="118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Val Verde County Detention Facility Del Rio, TX (2)</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2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 - IGA</w:t>
            </w:r>
          </w:p>
        </w:tc>
        <w:tc>
          <w:tcPr>
            <w:tcW w:w="146" w:type="dxa"/>
            <w:tcBorders/>
            <w:shd w:fill="CFF0FC" w:val="clear"/>
            <w:vAlign w:val="center"/>
          </w:tcPr>
          <w:p>
            <w:pPr>
              <w:pStyle w:val="TableContents"/>
              <w:bidi w:val="0"/>
              <w:spacing w:before="0" w:after="283"/>
              <w:jc w:val="center"/>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Local &amp; Federal Detention</w:t>
            </w:r>
          </w:p>
        </w:tc>
        <w:tc>
          <w:tcPr>
            <w:tcW w:w="146" w:type="dxa"/>
            <w:tcBorders/>
            <w:shd w:fill="CFF0FC" w:val="clear"/>
            <w:vAlign w:val="center"/>
          </w:tcPr>
          <w:p>
            <w:pPr>
              <w:pStyle w:val="TableContents"/>
              <w:bidi w:val="0"/>
              <w:spacing w:before="0" w:after="283"/>
              <w:jc w:val="center"/>
              <w:rPr/>
            </w:pPr>
            <w:r>
              <w:rPr/>
              <w:t> </w:t>
            </w:r>
          </w:p>
        </w:tc>
        <w:tc>
          <w:tcPr>
            <w:tcW w:w="87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2001</w:t>
            </w:r>
          </w:p>
        </w:tc>
        <w:tc>
          <w:tcPr>
            <w:tcW w:w="146" w:type="dxa"/>
            <w:tcBorders/>
            <w:shd w:fill="CFF0FC" w:val="clear"/>
            <w:vAlign w:val="center"/>
          </w:tcPr>
          <w:p>
            <w:pPr>
              <w:pStyle w:val="TableContents"/>
              <w:bidi w:val="0"/>
              <w:spacing w:before="0" w:after="283"/>
              <w:jc w:val="center"/>
              <w:rPr/>
            </w:pPr>
            <w:r>
              <w:rPr/>
              <w:t> </w:t>
            </w:r>
          </w:p>
        </w:tc>
        <w:tc>
          <w:tcPr>
            <w:tcW w:w="7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CFF0FC" w:val="clear"/>
            <w:vAlign w:val="center"/>
          </w:tcPr>
          <w:p>
            <w:pPr>
              <w:pStyle w:val="TableContents"/>
              <w:bidi w:val="0"/>
              <w:spacing w:before="0" w:after="283"/>
              <w:jc w:val="center"/>
              <w:rPr/>
            </w:pPr>
            <w:r>
              <w:rPr/>
              <w:t> </w:t>
            </w:r>
          </w:p>
        </w:tc>
        <w:tc>
          <w:tcPr>
            <w:tcW w:w="118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Secure Services — Eastern Region:</w:t>
            </w:r>
          </w:p>
        </w:tc>
        <w:tc>
          <w:tcPr>
            <w:tcW w:w="146" w:type="dxa"/>
            <w:tcBorders/>
            <w:shd w:fill="FFFFFF" w:val="clear"/>
            <w:vAlign w:val="center"/>
          </w:tcPr>
          <w:p>
            <w:pPr>
              <w:pStyle w:val="TableContents"/>
              <w:bidi w:val="0"/>
              <w:spacing w:before="0" w:after="283"/>
              <w:jc w:val="left"/>
              <w:rPr/>
            </w:pPr>
            <w:r>
              <w:rPr/>
              <w:t> </w:t>
            </w:r>
          </w:p>
        </w:tc>
        <w:tc>
          <w:tcPr>
            <w:tcW w:w="83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pPr>
            <w:r>
              <w:rPr/>
              <w:t> </w:t>
            </w:r>
          </w:p>
        </w:tc>
      </w:tr>
      <w:tr>
        <w:trPr/>
        <w:tc>
          <w:tcPr>
            <w:tcW w:w="1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Alexandria Staging Facility Alexandria, LA (2)</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2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IGA</w:t>
            </w:r>
          </w:p>
        </w:tc>
        <w:tc>
          <w:tcPr>
            <w:tcW w:w="146" w:type="dxa"/>
            <w:tcBorders/>
            <w:shd w:fill="CFF0FC" w:val="clear"/>
            <w:vAlign w:val="center"/>
          </w:tcPr>
          <w:p>
            <w:pPr>
              <w:pStyle w:val="TableContents"/>
              <w:bidi w:val="0"/>
              <w:spacing w:before="0" w:after="283"/>
              <w:jc w:val="center"/>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center"/>
              <w:rPr/>
            </w:pPr>
            <w:r>
              <w:rPr/>
              <w:t> </w:t>
            </w:r>
          </w:p>
        </w:tc>
        <w:tc>
          <w:tcPr>
            <w:tcW w:w="87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2013</w:t>
            </w:r>
          </w:p>
        </w:tc>
        <w:tc>
          <w:tcPr>
            <w:tcW w:w="146" w:type="dxa"/>
            <w:tcBorders/>
            <w:shd w:fill="CFF0FC" w:val="clear"/>
            <w:vAlign w:val="center"/>
          </w:tcPr>
          <w:p>
            <w:pPr>
              <w:pStyle w:val="TableContents"/>
              <w:bidi w:val="0"/>
              <w:spacing w:before="0" w:after="283"/>
              <w:jc w:val="center"/>
              <w:rPr/>
            </w:pPr>
            <w:r>
              <w:rPr/>
              <w:t> </w:t>
            </w:r>
          </w:p>
        </w:tc>
        <w:tc>
          <w:tcPr>
            <w:tcW w:w="7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CFF0FC" w:val="clear"/>
            <w:vAlign w:val="center"/>
          </w:tcPr>
          <w:p>
            <w:pPr>
              <w:pStyle w:val="TableContents"/>
              <w:bidi w:val="0"/>
              <w:spacing w:before="0" w:after="283"/>
              <w:jc w:val="center"/>
              <w:rPr/>
            </w:pPr>
            <w:r>
              <w:rPr/>
              <w:t> </w:t>
            </w:r>
          </w:p>
        </w:tc>
        <w:tc>
          <w:tcPr>
            <w:tcW w:w="118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Blackwater River Correctional and Rehabilitation Facility Milton, FL</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 DMS</w:t>
            </w:r>
          </w:p>
        </w:tc>
        <w:tc>
          <w:tcPr>
            <w:tcW w:w="146" w:type="dxa"/>
            <w:tcBorders/>
            <w:shd w:fill="FFFFFF" w:val="clear"/>
            <w:vAlign w:val="center"/>
          </w:tcPr>
          <w:p>
            <w:pPr>
              <w:pStyle w:val="TableContents"/>
              <w:bidi w:val="0"/>
              <w:spacing w:before="0" w:after="283"/>
              <w:jc w:val="center"/>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vAlign w:val="center"/>
          </w:tcPr>
          <w:p>
            <w:pPr>
              <w:pStyle w:val="TableContents"/>
              <w:bidi w:val="0"/>
              <w:spacing w:before="0" w:after="283"/>
              <w:jc w:val="center"/>
              <w:rPr/>
            </w:pPr>
            <w:r>
              <w:rPr/>
              <w:t> </w:t>
            </w:r>
          </w:p>
        </w:tc>
        <w:tc>
          <w:tcPr>
            <w:tcW w:w="8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Medium/close</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2010</w:t>
            </w:r>
          </w:p>
        </w:tc>
        <w:tc>
          <w:tcPr>
            <w:tcW w:w="146" w:type="dxa"/>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 years</w:t>
            </w:r>
          </w:p>
        </w:tc>
        <w:tc>
          <w:tcPr>
            <w:tcW w:w="146" w:type="dxa"/>
            <w:tcBorders/>
            <w:shd w:fill="FFFFFF" w:val="clear"/>
            <w:vAlign w:val="center"/>
          </w:tcPr>
          <w:p>
            <w:pPr>
              <w:pStyle w:val="TableContents"/>
              <w:bidi w:val="0"/>
              <w:spacing w:before="0" w:after="283"/>
              <w:jc w:val="center"/>
              <w:rPr/>
            </w:pPr>
            <w:r>
              <w:rPr/>
              <w:t> </w:t>
            </w:r>
          </w:p>
        </w:tc>
        <w:tc>
          <w:tcPr>
            <w:tcW w:w="118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Unlimited, Two-year</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Broward Transitional Center Deerfield Beach, FL</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2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w:t>
            </w:r>
          </w:p>
        </w:tc>
        <w:tc>
          <w:tcPr>
            <w:tcW w:w="146" w:type="dxa"/>
            <w:tcBorders/>
            <w:shd w:fill="CFF0FC" w:val="clear"/>
            <w:vAlign w:val="center"/>
          </w:tcPr>
          <w:p>
            <w:pPr>
              <w:pStyle w:val="TableContents"/>
              <w:bidi w:val="0"/>
              <w:spacing w:before="0" w:after="283"/>
              <w:jc w:val="center"/>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center"/>
              <w:rPr/>
            </w:pPr>
            <w:r>
              <w:rPr/>
              <w:t> </w:t>
            </w:r>
          </w:p>
        </w:tc>
        <w:tc>
          <w:tcPr>
            <w:tcW w:w="87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2021</w:t>
            </w:r>
          </w:p>
        </w:tc>
        <w:tc>
          <w:tcPr>
            <w:tcW w:w="146" w:type="dxa"/>
            <w:tcBorders/>
            <w:shd w:fill="CFF0FC" w:val="clear"/>
            <w:vAlign w:val="center"/>
          </w:tcPr>
          <w:p>
            <w:pPr>
              <w:pStyle w:val="TableContents"/>
              <w:bidi w:val="0"/>
              <w:spacing w:before="0" w:after="283"/>
              <w:jc w:val="center"/>
              <w:rPr/>
            </w:pPr>
            <w:r>
              <w:rPr/>
              <w:t> </w:t>
            </w:r>
          </w:p>
        </w:tc>
        <w:tc>
          <w:tcPr>
            <w:tcW w:w="7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center"/>
              <w:rPr/>
            </w:pPr>
            <w:r>
              <w:rPr/>
              <w:t> </w:t>
            </w:r>
          </w:p>
        </w:tc>
        <w:tc>
          <w:tcPr>
            <w:tcW w:w="118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Central Louisiana ICE Processing Center Jena, LA (2)</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IGA</w:t>
            </w:r>
          </w:p>
        </w:tc>
        <w:tc>
          <w:tcPr>
            <w:tcW w:w="146" w:type="dxa"/>
            <w:tcBorders/>
            <w:shd w:fill="FFFFFF" w:val="clear"/>
            <w:vAlign w:val="center"/>
          </w:tcPr>
          <w:p>
            <w:pPr>
              <w:pStyle w:val="TableContents"/>
              <w:bidi w:val="0"/>
              <w:spacing w:before="0" w:after="283"/>
              <w:jc w:val="center"/>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vAlign w:val="center"/>
          </w:tcPr>
          <w:p>
            <w:pPr>
              <w:pStyle w:val="TableContents"/>
              <w:bidi w:val="0"/>
              <w:spacing w:before="0" w:after="283"/>
              <w:jc w:val="center"/>
              <w:rPr/>
            </w:pPr>
            <w:r>
              <w:rPr/>
              <w:t> </w:t>
            </w:r>
          </w:p>
        </w:tc>
        <w:tc>
          <w:tcPr>
            <w:tcW w:w="8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2013</w:t>
            </w:r>
          </w:p>
        </w:tc>
        <w:tc>
          <w:tcPr>
            <w:tcW w:w="146" w:type="dxa"/>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FFFFFF" w:val="clear"/>
            <w:vAlign w:val="center"/>
          </w:tcPr>
          <w:p>
            <w:pPr>
              <w:pStyle w:val="TableContents"/>
              <w:bidi w:val="0"/>
              <w:spacing w:before="0" w:after="283"/>
              <w:jc w:val="center"/>
              <w:rPr/>
            </w:pPr>
            <w:r>
              <w:rPr/>
              <w:t> </w:t>
            </w:r>
          </w:p>
        </w:tc>
        <w:tc>
          <w:tcPr>
            <w:tcW w:w="118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 Ray James Correctional Facility Folkston, GA</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2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CFF0FC" w:val="clear"/>
            <w:vAlign w:val="center"/>
          </w:tcPr>
          <w:p>
            <w:pPr>
              <w:pStyle w:val="TableContents"/>
              <w:bidi w:val="0"/>
              <w:spacing w:before="0" w:after="283"/>
              <w:jc w:val="center"/>
              <w:rPr/>
            </w:pPr>
            <w:r>
              <w:rPr/>
              <w:t> </w:t>
            </w:r>
          </w:p>
        </w:tc>
        <w:tc>
          <w:tcPr>
            <w:tcW w:w="102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1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Folkston ICE Processing Center (2) Folkston, GA</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 - IGA</w:t>
            </w:r>
          </w:p>
        </w:tc>
        <w:tc>
          <w:tcPr>
            <w:tcW w:w="146" w:type="dxa"/>
            <w:tcBorders/>
            <w:shd w:fill="FFFFFF" w:val="clear"/>
            <w:vAlign w:val="center"/>
          </w:tcPr>
          <w:p>
            <w:pPr>
              <w:pStyle w:val="TableContents"/>
              <w:bidi w:val="0"/>
              <w:spacing w:before="0" w:after="283"/>
              <w:jc w:val="center"/>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FFFFFF" w:val="clear"/>
            <w:vAlign w:val="center"/>
          </w:tcPr>
          <w:p>
            <w:pPr>
              <w:pStyle w:val="TableContents"/>
              <w:bidi w:val="0"/>
              <w:spacing w:before="0" w:after="283"/>
              <w:jc w:val="center"/>
              <w:rPr/>
            </w:pPr>
            <w:r>
              <w:rPr/>
              <w:t> </w:t>
            </w:r>
          </w:p>
        </w:tc>
        <w:tc>
          <w:tcPr>
            <w:tcW w:w="8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2016</w:t>
            </w:r>
          </w:p>
        </w:tc>
        <w:tc>
          <w:tcPr>
            <w:tcW w:w="146" w:type="dxa"/>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center"/>
              <w:rPr/>
            </w:pPr>
            <w:r>
              <w:rPr/>
              <w:t> </w:t>
            </w:r>
          </w:p>
        </w:tc>
        <w:tc>
          <w:tcPr>
            <w:tcW w:w="118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 plus one, two-month, plus one, five year</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Heritage Trail Correctional Facility Plainfield, IN</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2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DOC</w:t>
            </w:r>
          </w:p>
        </w:tc>
        <w:tc>
          <w:tcPr>
            <w:tcW w:w="146" w:type="dxa"/>
            <w:tcBorders/>
            <w:shd w:fill="CFF0FC" w:val="clear"/>
            <w:vAlign w:val="center"/>
          </w:tcPr>
          <w:p>
            <w:pPr>
              <w:pStyle w:val="TableContents"/>
              <w:bidi w:val="0"/>
              <w:spacing w:before="0" w:after="283"/>
              <w:jc w:val="center"/>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CFF0FC" w:val="clear"/>
            <w:vAlign w:val="center"/>
          </w:tcPr>
          <w:p>
            <w:pPr>
              <w:pStyle w:val="TableContents"/>
              <w:bidi w:val="0"/>
              <w:spacing w:before="0" w:after="283"/>
              <w:jc w:val="center"/>
              <w:rPr/>
            </w:pPr>
            <w:r>
              <w:rPr/>
              <w:t> </w:t>
            </w:r>
          </w:p>
        </w:tc>
        <w:tc>
          <w:tcPr>
            <w:tcW w:w="87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2011</w:t>
            </w:r>
          </w:p>
        </w:tc>
        <w:tc>
          <w:tcPr>
            <w:tcW w:w="146" w:type="dxa"/>
            <w:tcBorders/>
            <w:shd w:fill="CFF0FC" w:val="clear"/>
            <w:vAlign w:val="center"/>
          </w:tcPr>
          <w:p>
            <w:pPr>
              <w:pStyle w:val="TableContents"/>
              <w:bidi w:val="0"/>
              <w:spacing w:before="0" w:after="283"/>
              <w:jc w:val="center"/>
              <w:rPr/>
            </w:pPr>
            <w:r>
              <w:rPr/>
              <w:t> </w:t>
            </w:r>
          </w:p>
        </w:tc>
        <w:tc>
          <w:tcPr>
            <w:tcW w:w="7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w:t>
            </w:r>
          </w:p>
        </w:tc>
        <w:tc>
          <w:tcPr>
            <w:tcW w:w="146" w:type="dxa"/>
            <w:tcBorders/>
            <w:shd w:fill="CFF0FC" w:val="clear"/>
            <w:vAlign w:val="center"/>
          </w:tcPr>
          <w:p>
            <w:pPr>
              <w:pStyle w:val="TableContents"/>
              <w:bidi w:val="0"/>
              <w:spacing w:before="0" w:after="283"/>
              <w:jc w:val="center"/>
              <w:rPr/>
            </w:pPr>
            <w:r>
              <w:rPr/>
              <w:t> </w:t>
            </w:r>
          </w:p>
        </w:tc>
        <w:tc>
          <w:tcPr>
            <w:tcW w:w="118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 Four-year, plus one, one year, four months and two days, plus one year, plus five year</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7"/>
        <w:gridCol w:w="146"/>
        <w:gridCol w:w="184"/>
        <w:gridCol w:w="647"/>
        <w:gridCol w:w="146"/>
        <w:gridCol w:w="146"/>
        <w:gridCol w:w="811"/>
        <w:gridCol w:w="146"/>
        <w:gridCol w:w="984"/>
        <w:gridCol w:w="146"/>
        <w:gridCol w:w="867"/>
        <w:gridCol w:w="146"/>
        <w:gridCol w:w="1261"/>
        <w:gridCol w:w="146"/>
        <w:gridCol w:w="662"/>
        <w:gridCol w:w="146"/>
        <w:gridCol w:w="1317"/>
        <w:gridCol w:w="146"/>
        <w:gridCol w:w="831"/>
      </w:tblGrid>
      <w:tr>
        <w:trPr/>
        <w:tc>
          <w:tcPr>
            <w:tcW w:w="1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Lawrenceville Correctional and Rehabilitation Facility Lawrenceville, VA</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 DOC</w:t>
            </w:r>
          </w:p>
        </w:tc>
        <w:tc>
          <w:tcPr>
            <w:tcW w:w="146" w:type="dxa"/>
            <w:tcBorders/>
            <w:shd w:fill="CFF0FC" w:val="clear"/>
            <w:vAlign w:val="center"/>
          </w:tcPr>
          <w:p>
            <w:pPr>
              <w:pStyle w:val="TableContents"/>
              <w:bidi w:val="0"/>
              <w:spacing w:before="0" w:after="283"/>
              <w:jc w:val="center"/>
              <w:rPr/>
            </w:pPr>
            <w:r>
              <w:rPr/>
              <w:t> </w:t>
            </w:r>
          </w:p>
        </w:tc>
        <w:tc>
          <w:tcPr>
            <w:tcW w:w="98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CFF0FC" w:val="clear"/>
            <w:vAlign w:val="center"/>
          </w:tcPr>
          <w:p>
            <w:pPr>
              <w:pStyle w:val="TableContents"/>
              <w:bidi w:val="0"/>
              <w:spacing w:before="0" w:after="283"/>
              <w:jc w:val="center"/>
              <w:rPr/>
            </w:pPr>
            <w:r>
              <w:rPr/>
              <w:t> </w:t>
            </w:r>
          </w:p>
        </w:tc>
        <w:tc>
          <w:tcPr>
            <w:tcW w:w="8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2018</w:t>
            </w:r>
          </w:p>
        </w:tc>
        <w:tc>
          <w:tcPr>
            <w:tcW w:w="146" w:type="dxa"/>
            <w:tcBorders/>
            <w:shd w:fill="CFF0FC" w:val="clear"/>
            <w:vAlign w:val="center"/>
          </w:tcPr>
          <w:p>
            <w:pPr>
              <w:pStyle w:val="TableContents"/>
              <w:bidi w:val="0"/>
              <w:spacing w:before="0" w:after="283"/>
              <w:jc w:val="center"/>
              <w:rPr/>
            </w:pPr>
            <w:r>
              <w:rPr/>
              <w:t> </w:t>
            </w:r>
          </w:p>
        </w:tc>
        <w:tc>
          <w:tcPr>
            <w:tcW w:w="66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vAlign w:val="center"/>
          </w:tcPr>
          <w:p>
            <w:pPr>
              <w:pStyle w:val="TableContents"/>
              <w:bidi w:val="0"/>
              <w:spacing w:before="0" w:after="283"/>
              <w:jc w:val="center"/>
              <w:rPr/>
            </w:pPr>
            <w:r>
              <w:rPr/>
              <w:t> </w:t>
            </w:r>
          </w:p>
        </w:tc>
        <w:tc>
          <w:tcPr>
            <w:tcW w:w="131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Ten, One-year</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3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Moshannon Valley Correctional Facility Philipsburg, PA</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ICE-IGA</w:t>
            </w:r>
          </w:p>
        </w:tc>
        <w:tc>
          <w:tcPr>
            <w:tcW w:w="146" w:type="dxa"/>
            <w:tcBorders/>
            <w:shd w:fill="FFFFFF" w:val="clear"/>
            <w:vAlign w:val="center"/>
          </w:tcPr>
          <w:p>
            <w:pPr>
              <w:pStyle w:val="TableContents"/>
              <w:bidi w:val="0"/>
              <w:spacing w:before="0" w:after="283"/>
              <w:jc w:val="center"/>
              <w:rPr/>
            </w:pPr>
            <w:r>
              <w:rPr/>
              <w:t> </w:t>
            </w:r>
          </w:p>
        </w:tc>
        <w:tc>
          <w:tcPr>
            <w:tcW w:w="98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Correctional</w:t>
            </w:r>
          </w:p>
        </w:tc>
        <w:tc>
          <w:tcPr>
            <w:tcW w:w="146" w:type="dxa"/>
            <w:tcBorders/>
            <w:shd w:fill="FFFFFF" w:val="clear"/>
            <w:vAlign w:val="center"/>
          </w:tcPr>
          <w:p>
            <w:pPr>
              <w:pStyle w:val="TableContents"/>
              <w:bidi w:val="0"/>
              <w:spacing w:before="0" w:after="283"/>
              <w:jc w:val="center"/>
              <w:rPr/>
            </w:pPr>
            <w:r>
              <w:rPr/>
              <w:t> </w:t>
            </w:r>
          </w:p>
        </w:tc>
        <w:tc>
          <w:tcPr>
            <w:tcW w:w="8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2021</w:t>
            </w:r>
          </w:p>
        </w:tc>
        <w:tc>
          <w:tcPr>
            <w:tcW w:w="146" w:type="dxa"/>
            <w:tcBorders/>
            <w:shd w:fill="FFFFFF" w:val="clear"/>
            <w:vAlign w:val="center"/>
          </w:tcPr>
          <w:p>
            <w:pPr>
              <w:pStyle w:val="TableContents"/>
              <w:bidi w:val="0"/>
              <w:spacing w:before="0" w:after="283"/>
              <w:jc w:val="center"/>
              <w:rPr/>
            </w:pPr>
            <w:r>
              <w:rPr/>
              <w:t> </w:t>
            </w:r>
          </w:p>
        </w:tc>
        <w:tc>
          <w:tcPr>
            <w:tcW w:w="66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w:t>
            </w:r>
          </w:p>
        </w:tc>
        <w:tc>
          <w:tcPr>
            <w:tcW w:w="146" w:type="dxa"/>
            <w:tcBorders/>
            <w:shd w:fill="FFFFFF" w:val="clear"/>
            <w:vAlign w:val="center"/>
          </w:tcPr>
          <w:p>
            <w:pPr>
              <w:pStyle w:val="TableContents"/>
              <w:bidi w:val="0"/>
              <w:spacing w:before="0" w:after="283"/>
              <w:jc w:val="center"/>
              <w:rPr/>
            </w:pPr>
            <w:r>
              <w:rPr/>
              <w:t> </w:t>
            </w:r>
          </w:p>
        </w:tc>
        <w:tc>
          <w:tcPr>
            <w:tcW w:w="131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Moore Haven Correctional and Rehabilitation Facility Moore Haven, FL</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 DMS</w:t>
            </w:r>
          </w:p>
        </w:tc>
        <w:tc>
          <w:tcPr>
            <w:tcW w:w="146" w:type="dxa"/>
            <w:tcBorders/>
            <w:shd w:fill="CFF0FC" w:val="clear"/>
            <w:vAlign w:val="center"/>
          </w:tcPr>
          <w:p>
            <w:pPr>
              <w:pStyle w:val="TableContents"/>
              <w:bidi w:val="0"/>
              <w:spacing w:before="0" w:after="283"/>
              <w:jc w:val="center"/>
              <w:rPr/>
            </w:pPr>
            <w:r>
              <w:rPr/>
              <w:t> </w:t>
            </w:r>
          </w:p>
        </w:tc>
        <w:tc>
          <w:tcPr>
            <w:tcW w:w="98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CFF0FC" w:val="clear"/>
            <w:vAlign w:val="center"/>
          </w:tcPr>
          <w:p>
            <w:pPr>
              <w:pStyle w:val="TableContents"/>
              <w:bidi w:val="0"/>
              <w:spacing w:before="0" w:after="283"/>
              <w:jc w:val="center"/>
              <w:rPr/>
            </w:pPr>
            <w:r>
              <w:rPr/>
              <w:t> </w:t>
            </w:r>
          </w:p>
        </w:tc>
        <w:tc>
          <w:tcPr>
            <w:tcW w:w="8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 Medium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2021</w:t>
            </w:r>
          </w:p>
        </w:tc>
        <w:tc>
          <w:tcPr>
            <w:tcW w:w="146" w:type="dxa"/>
            <w:tcBorders/>
            <w:shd w:fill="CFF0FC" w:val="clear"/>
            <w:vAlign w:val="center"/>
          </w:tcPr>
          <w:p>
            <w:pPr>
              <w:pStyle w:val="TableContents"/>
              <w:bidi w:val="0"/>
              <w:spacing w:before="0" w:after="283"/>
              <w:jc w:val="center"/>
              <w:rPr/>
            </w:pPr>
            <w:r>
              <w:rPr/>
              <w:t> </w:t>
            </w:r>
          </w:p>
        </w:tc>
        <w:tc>
          <w:tcPr>
            <w:tcW w:w="66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 years</w:t>
            </w:r>
          </w:p>
        </w:tc>
        <w:tc>
          <w:tcPr>
            <w:tcW w:w="146" w:type="dxa"/>
            <w:tcBorders/>
            <w:shd w:fill="CFF0FC" w:val="clear"/>
            <w:vAlign w:val="center"/>
          </w:tcPr>
          <w:p>
            <w:pPr>
              <w:pStyle w:val="TableContents"/>
              <w:bidi w:val="0"/>
              <w:spacing w:before="0" w:after="283"/>
              <w:jc w:val="center"/>
              <w:rPr/>
            </w:pPr>
            <w:r>
              <w:rPr/>
              <w:t> </w:t>
            </w:r>
          </w:p>
        </w:tc>
        <w:tc>
          <w:tcPr>
            <w:tcW w:w="131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Unlimited, Two-year</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3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Castle Correctional Facility New Castle, IN</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DOC</w:t>
            </w:r>
          </w:p>
        </w:tc>
        <w:tc>
          <w:tcPr>
            <w:tcW w:w="146" w:type="dxa"/>
            <w:tcBorders/>
            <w:shd w:fill="FFFFFF" w:val="clear"/>
            <w:vAlign w:val="center"/>
          </w:tcPr>
          <w:p>
            <w:pPr>
              <w:pStyle w:val="TableContents"/>
              <w:bidi w:val="0"/>
              <w:spacing w:before="0" w:after="283"/>
              <w:jc w:val="center"/>
              <w:rPr/>
            </w:pPr>
            <w:r>
              <w:rPr/>
              <w:t> </w:t>
            </w:r>
          </w:p>
        </w:tc>
        <w:tc>
          <w:tcPr>
            <w:tcW w:w="98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vAlign w:val="center"/>
          </w:tcPr>
          <w:p>
            <w:pPr>
              <w:pStyle w:val="TableContents"/>
              <w:bidi w:val="0"/>
              <w:spacing w:before="0" w:after="283"/>
              <w:jc w:val="center"/>
              <w:rPr/>
            </w:pPr>
            <w:r>
              <w:rPr/>
              <w:t> </w:t>
            </w:r>
          </w:p>
        </w:tc>
        <w:tc>
          <w:tcPr>
            <w:tcW w:w="8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Levels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2005</w:t>
            </w:r>
          </w:p>
        </w:tc>
        <w:tc>
          <w:tcPr>
            <w:tcW w:w="146" w:type="dxa"/>
            <w:tcBorders/>
            <w:shd w:fill="FFFFFF" w:val="clear"/>
            <w:vAlign w:val="center"/>
          </w:tcPr>
          <w:p>
            <w:pPr>
              <w:pStyle w:val="TableContents"/>
              <w:bidi w:val="0"/>
              <w:spacing w:before="0" w:after="283"/>
              <w:jc w:val="center"/>
              <w:rPr/>
            </w:pPr>
            <w:r>
              <w:rPr/>
              <w:t> </w:t>
            </w:r>
          </w:p>
        </w:tc>
        <w:tc>
          <w:tcPr>
            <w:tcW w:w="66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w:t>
            </w:r>
          </w:p>
        </w:tc>
        <w:tc>
          <w:tcPr>
            <w:tcW w:w="146" w:type="dxa"/>
            <w:tcBorders/>
            <w:shd w:fill="FFFFFF" w:val="clear"/>
            <w:vAlign w:val="center"/>
          </w:tcPr>
          <w:p>
            <w:pPr>
              <w:pStyle w:val="TableContents"/>
              <w:bidi w:val="0"/>
              <w:spacing w:before="0" w:after="283"/>
              <w:jc w:val="center"/>
              <w:rPr/>
            </w:pPr>
            <w:r>
              <w:rPr/>
              <w:t> </w:t>
            </w:r>
          </w:p>
        </w:tc>
        <w:tc>
          <w:tcPr>
            <w:tcW w:w="131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 year, one month and 20 days, Nine year Seven month 14 days, plus one ninety-day, plus one nine-month, Three, five-year</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 Lake Correctional Facility Baldwin, MI</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CFF0FC" w:val="clear"/>
            <w:vAlign w:val="center"/>
          </w:tcPr>
          <w:p>
            <w:pPr>
              <w:pStyle w:val="TableContents"/>
              <w:bidi w:val="0"/>
              <w:spacing w:before="0" w:after="283"/>
              <w:jc w:val="center"/>
              <w:rPr/>
            </w:pPr>
            <w:r>
              <w:rPr/>
              <w:t> </w:t>
            </w:r>
          </w:p>
        </w:tc>
        <w:tc>
          <w:tcPr>
            <w:tcW w:w="98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3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Pine Prairie ICE Processing Center, LA (2)</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ICE-IGA</w:t>
            </w:r>
          </w:p>
        </w:tc>
        <w:tc>
          <w:tcPr>
            <w:tcW w:w="146" w:type="dxa"/>
            <w:tcBorders/>
            <w:shd w:fill="FFFFFF" w:val="clear"/>
            <w:vAlign w:val="center"/>
          </w:tcPr>
          <w:p>
            <w:pPr>
              <w:pStyle w:val="TableContents"/>
              <w:bidi w:val="0"/>
              <w:spacing w:before="0" w:after="283"/>
              <w:jc w:val="center"/>
              <w:rPr/>
            </w:pPr>
            <w:r>
              <w:rPr/>
              <w:t> </w:t>
            </w:r>
          </w:p>
        </w:tc>
        <w:tc>
          <w:tcPr>
            <w:tcW w:w="98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vAlign w:val="center"/>
          </w:tcPr>
          <w:p>
            <w:pPr>
              <w:pStyle w:val="TableContents"/>
              <w:bidi w:val="0"/>
              <w:spacing w:before="0" w:after="283"/>
              <w:jc w:val="center"/>
              <w:rPr/>
            </w:pPr>
            <w:r>
              <w:rPr/>
              <w:t> </w:t>
            </w:r>
          </w:p>
        </w:tc>
        <w:tc>
          <w:tcPr>
            <w:tcW w:w="8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2015</w:t>
            </w:r>
          </w:p>
        </w:tc>
        <w:tc>
          <w:tcPr>
            <w:tcW w:w="146" w:type="dxa"/>
            <w:tcBorders/>
            <w:shd w:fill="FFFFFF" w:val="clear"/>
            <w:vAlign w:val="center"/>
          </w:tcPr>
          <w:p>
            <w:pPr>
              <w:pStyle w:val="TableContents"/>
              <w:bidi w:val="0"/>
              <w:spacing w:before="0" w:after="283"/>
              <w:jc w:val="center"/>
              <w:rPr/>
            </w:pPr>
            <w:r>
              <w:rPr/>
              <w:t> </w:t>
            </w:r>
          </w:p>
        </w:tc>
        <w:tc>
          <w:tcPr>
            <w:tcW w:w="66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vAlign w:val="center"/>
          </w:tcPr>
          <w:p>
            <w:pPr>
              <w:pStyle w:val="TableContents"/>
              <w:bidi w:val="0"/>
              <w:spacing w:before="0" w:after="283"/>
              <w:jc w:val="center"/>
              <w:rPr/>
            </w:pPr>
            <w:r>
              <w:rPr/>
              <w:t> </w:t>
            </w:r>
          </w:p>
        </w:tc>
        <w:tc>
          <w:tcPr>
            <w:tcW w:w="131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One-month, plus fifty nine-months</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Riverbend Correctional and Rehabilitation Facility Milledgeville, GA (5)</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GA DOC</w:t>
            </w:r>
          </w:p>
        </w:tc>
        <w:tc>
          <w:tcPr>
            <w:tcW w:w="146" w:type="dxa"/>
            <w:tcBorders/>
            <w:shd w:fill="CFF0FC" w:val="clear"/>
            <w:vAlign w:val="center"/>
          </w:tcPr>
          <w:p>
            <w:pPr>
              <w:pStyle w:val="TableContents"/>
              <w:bidi w:val="0"/>
              <w:spacing w:before="0" w:after="283"/>
              <w:jc w:val="center"/>
              <w:rPr/>
            </w:pPr>
            <w:r>
              <w:rPr/>
              <w:t> </w:t>
            </w:r>
          </w:p>
        </w:tc>
        <w:tc>
          <w:tcPr>
            <w:tcW w:w="98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CFF0FC" w:val="clear"/>
            <w:vAlign w:val="center"/>
          </w:tcPr>
          <w:p>
            <w:pPr>
              <w:pStyle w:val="TableContents"/>
              <w:bidi w:val="0"/>
              <w:spacing w:before="0" w:after="283"/>
              <w:jc w:val="center"/>
              <w:rPr/>
            </w:pPr>
            <w:r>
              <w:rPr/>
              <w:t> </w:t>
            </w:r>
          </w:p>
        </w:tc>
        <w:tc>
          <w:tcPr>
            <w:tcW w:w="8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2010</w:t>
            </w:r>
          </w:p>
        </w:tc>
        <w:tc>
          <w:tcPr>
            <w:tcW w:w="146" w:type="dxa"/>
            <w:tcBorders/>
            <w:shd w:fill="CFF0FC" w:val="clear"/>
            <w:vAlign w:val="center"/>
          </w:tcPr>
          <w:p>
            <w:pPr>
              <w:pStyle w:val="TableContents"/>
              <w:bidi w:val="0"/>
              <w:spacing w:before="0" w:after="283"/>
              <w:jc w:val="center"/>
              <w:rPr/>
            </w:pPr>
            <w:r>
              <w:rPr/>
              <w:t> </w:t>
            </w:r>
          </w:p>
        </w:tc>
        <w:tc>
          <w:tcPr>
            <w:tcW w:w="66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center"/>
              <w:rPr/>
            </w:pPr>
            <w:r>
              <w:rPr/>
              <w:t> </w:t>
            </w:r>
          </w:p>
        </w:tc>
        <w:tc>
          <w:tcPr>
            <w:tcW w:w="131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Forty, One-year</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Rivers Correctional Facility Winton, NC</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FFFFFF" w:val="clear"/>
            <w:vAlign w:val="center"/>
          </w:tcPr>
          <w:p>
            <w:pPr>
              <w:pStyle w:val="TableContents"/>
              <w:bidi w:val="0"/>
              <w:spacing w:before="0" w:after="283"/>
              <w:jc w:val="center"/>
              <w:rPr/>
            </w:pPr>
            <w:r>
              <w:rPr/>
              <w:t> </w:t>
            </w:r>
          </w:p>
        </w:tc>
        <w:tc>
          <w:tcPr>
            <w:tcW w:w="9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Robert A. Deyton Detention Facility Lovejoy, GA</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USMS</w:t>
            </w:r>
          </w:p>
        </w:tc>
        <w:tc>
          <w:tcPr>
            <w:tcW w:w="146" w:type="dxa"/>
            <w:tcBorders/>
            <w:shd w:fill="CFF0FC" w:val="clear"/>
            <w:vAlign w:val="center"/>
          </w:tcPr>
          <w:p>
            <w:pPr>
              <w:pStyle w:val="TableContents"/>
              <w:bidi w:val="0"/>
              <w:spacing w:before="0" w:after="283"/>
              <w:jc w:val="center"/>
              <w:rPr/>
            </w:pPr>
            <w:r>
              <w:rPr/>
              <w:t> </w:t>
            </w:r>
          </w:p>
        </w:tc>
        <w:tc>
          <w:tcPr>
            <w:tcW w:w="98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Federal Detention</w:t>
            </w:r>
          </w:p>
        </w:tc>
        <w:tc>
          <w:tcPr>
            <w:tcW w:w="146" w:type="dxa"/>
            <w:tcBorders/>
            <w:shd w:fill="CFF0FC" w:val="clear"/>
            <w:vAlign w:val="center"/>
          </w:tcPr>
          <w:p>
            <w:pPr>
              <w:pStyle w:val="TableContents"/>
              <w:bidi w:val="0"/>
              <w:spacing w:before="0" w:after="283"/>
              <w:jc w:val="center"/>
              <w:rPr/>
            </w:pPr>
            <w:r>
              <w:rPr/>
              <w:t> </w:t>
            </w:r>
          </w:p>
        </w:tc>
        <w:tc>
          <w:tcPr>
            <w:tcW w:w="8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2008</w:t>
            </w:r>
          </w:p>
        </w:tc>
        <w:tc>
          <w:tcPr>
            <w:tcW w:w="146" w:type="dxa"/>
            <w:tcBorders/>
            <w:shd w:fill="CFF0FC" w:val="clear"/>
            <w:vAlign w:val="center"/>
          </w:tcPr>
          <w:p>
            <w:pPr>
              <w:pStyle w:val="TableContents"/>
              <w:bidi w:val="0"/>
              <w:spacing w:before="0" w:after="283"/>
              <w:jc w:val="center"/>
              <w:rPr/>
            </w:pPr>
            <w:r>
              <w:rPr/>
              <w:t> </w:t>
            </w:r>
          </w:p>
        </w:tc>
        <w:tc>
          <w:tcPr>
            <w:tcW w:w="66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vAlign w:val="center"/>
          </w:tcPr>
          <w:p>
            <w:pPr>
              <w:pStyle w:val="TableContents"/>
              <w:bidi w:val="0"/>
              <w:spacing w:before="0" w:after="283"/>
              <w:jc w:val="center"/>
              <w:rPr/>
            </w:pPr>
            <w:r>
              <w:rPr/>
              <w:t> </w:t>
            </w:r>
          </w:p>
        </w:tc>
        <w:tc>
          <w:tcPr>
            <w:tcW w:w="131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five-year</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 Bay Correctional and Rehabilitation Facility South Bay, FL</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 DMS</w:t>
            </w:r>
          </w:p>
        </w:tc>
        <w:tc>
          <w:tcPr>
            <w:tcW w:w="146" w:type="dxa"/>
            <w:tcBorders/>
            <w:shd w:fill="FFFFFF" w:val="clear"/>
            <w:vAlign w:val="center"/>
          </w:tcPr>
          <w:p>
            <w:pPr>
              <w:pStyle w:val="TableContents"/>
              <w:bidi w:val="0"/>
              <w:spacing w:before="0" w:after="283"/>
              <w:jc w:val="center"/>
              <w:rPr/>
            </w:pPr>
            <w:r>
              <w:rPr/>
              <w:t> </w:t>
            </w:r>
          </w:p>
        </w:tc>
        <w:tc>
          <w:tcPr>
            <w:tcW w:w="98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FFFFFF" w:val="clear"/>
            <w:vAlign w:val="center"/>
          </w:tcPr>
          <w:p>
            <w:pPr>
              <w:pStyle w:val="TableContents"/>
              <w:bidi w:val="0"/>
              <w:spacing w:before="0" w:after="283"/>
              <w:jc w:val="center"/>
              <w:rPr/>
            </w:pPr>
            <w:r>
              <w:rPr/>
              <w:t> </w:t>
            </w:r>
          </w:p>
        </w:tc>
        <w:tc>
          <w:tcPr>
            <w:tcW w:w="8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Medium/Close</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2009</w:t>
            </w:r>
          </w:p>
        </w:tc>
        <w:tc>
          <w:tcPr>
            <w:tcW w:w="146" w:type="dxa"/>
            <w:tcBorders/>
            <w:shd w:fill="FFFFFF" w:val="clear"/>
            <w:vAlign w:val="center"/>
          </w:tcPr>
          <w:p>
            <w:pPr>
              <w:pStyle w:val="TableContents"/>
              <w:bidi w:val="0"/>
              <w:spacing w:before="0" w:after="283"/>
              <w:jc w:val="center"/>
              <w:rPr/>
            </w:pPr>
            <w:r>
              <w:rPr/>
              <w:t> </w:t>
            </w:r>
          </w:p>
        </w:tc>
        <w:tc>
          <w:tcPr>
            <w:tcW w:w="66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 years</w:t>
            </w:r>
          </w:p>
        </w:tc>
        <w:tc>
          <w:tcPr>
            <w:tcW w:w="146" w:type="dxa"/>
            <w:tcBorders/>
            <w:shd w:fill="FFFFFF" w:val="clear"/>
            <w:vAlign w:val="center"/>
          </w:tcPr>
          <w:p>
            <w:pPr>
              <w:pStyle w:val="TableContents"/>
              <w:bidi w:val="0"/>
              <w:spacing w:before="0" w:after="283"/>
              <w:jc w:val="center"/>
              <w:rPr/>
            </w:pPr>
            <w:r>
              <w:rPr/>
              <w:t> </w:t>
            </w:r>
          </w:p>
        </w:tc>
        <w:tc>
          <w:tcPr>
            <w:tcW w:w="131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Two-year, plus one six-month, plus two, two-year</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 Louisiana ICE Processing Center, LA(2)</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ICE-IGA</w:t>
            </w:r>
          </w:p>
        </w:tc>
        <w:tc>
          <w:tcPr>
            <w:tcW w:w="146" w:type="dxa"/>
            <w:tcBorders/>
            <w:shd w:fill="CFF0FC" w:val="clear"/>
            <w:vAlign w:val="center"/>
          </w:tcPr>
          <w:p>
            <w:pPr>
              <w:pStyle w:val="TableContents"/>
              <w:bidi w:val="0"/>
              <w:spacing w:before="0" w:after="283"/>
              <w:jc w:val="center"/>
              <w:rPr/>
            </w:pPr>
            <w:r>
              <w:rPr/>
              <w:t> </w:t>
            </w:r>
          </w:p>
        </w:tc>
        <w:tc>
          <w:tcPr>
            <w:tcW w:w="98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Correctional</w:t>
            </w:r>
          </w:p>
        </w:tc>
        <w:tc>
          <w:tcPr>
            <w:tcW w:w="146" w:type="dxa"/>
            <w:tcBorders/>
            <w:shd w:fill="CFF0FC" w:val="clear"/>
            <w:vAlign w:val="center"/>
          </w:tcPr>
          <w:p>
            <w:pPr>
              <w:pStyle w:val="TableContents"/>
              <w:bidi w:val="0"/>
              <w:spacing w:before="0" w:after="283"/>
              <w:jc w:val="center"/>
              <w:rPr/>
            </w:pPr>
            <w:r>
              <w:rPr/>
              <w:t> </w:t>
            </w:r>
          </w:p>
        </w:tc>
        <w:tc>
          <w:tcPr>
            <w:tcW w:w="8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2015</w:t>
            </w:r>
          </w:p>
        </w:tc>
        <w:tc>
          <w:tcPr>
            <w:tcW w:w="146" w:type="dxa"/>
            <w:tcBorders/>
            <w:shd w:fill="CFF0FC" w:val="clear"/>
            <w:vAlign w:val="center"/>
          </w:tcPr>
          <w:p>
            <w:pPr>
              <w:pStyle w:val="TableContents"/>
              <w:bidi w:val="0"/>
              <w:spacing w:before="0" w:after="283"/>
              <w:jc w:val="center"/>
              <w:rPr/>
            </w:pPr>
            <w:r>
              <w:rPr/>
              <w:t> </w:t>
            </w:r>
          </w:p>
        </w:tc>
        <w:tc>
          <w:tcPr>
            <w:tcW w:w="66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vAlign w:val="center"/>
          </w:tcPr>
          <w:p>
            <w:pPr>
              <w:pStyle w:val="TableContents"/>
              <w:bidi w:val="0"/>
              <w:spacing w:before="0" w:after="283"/>
              <w:jc w:val="center"/>
              <w:rPr/>
            </w:pPr>
            <w:r>
              <w:rPr/>
              <w:t> </w:t>
            </w:r>
          </w:p>
        </w:tc>
        <w:tc>
          <w:tcPr>
            <w:tcW w:w="131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One-month, plus fifty nine-month s</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27"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Secure Services — Australia:</w:t>
            </w:r>
          </w:p>
        </w:tc>
        <w:tc>
          <w:tcPr>
            <w:tcW w:w="146" w:type="dxa"/>
            <w:tcBorders/>
            <w:shd w:fill="FFFFFF" w:val="clear"/>
            <w:vAlign w:val="center"/>
          </w:tcPr>
          <w:p>
            <w:pPr>
              <w:pStyle w:val="TableContents"/>
              <w:bidi w:val="0"/>
              <w:spacing w:before="0" w:after="283"/>
              <w:jc w:val="left"/>
              <w:rPr/>
            </w:pPr>
            <w:r>
              <w:rPr/>
              <w:t> </w:t>
            </w:r>
          </w:p>
        </w:tc>
        <w:tc>
          <w:tcPr>
            <w:tcW w:w="8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pPr>
            <w:r>
              <w:rPr/>
              <w:t> </w:t>
            </w:r>
          </w:p>
        </w:tc>
      </w:tr>
      <w:tr>
        <w:trPr/>
        <w:tc>
          <w:tcPr>
            <w:tcW w:w="1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Fulham Correctional Centre &amp; Nalu Challenge Community Victoria, Australia</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VIC DOJ</w:t>
            </w:r>
          </w:p>
        </w:tc>
        <w:tc>
          <w:tcPr>
            <w:tcW w:w="146" w:type="dxa"/>
            <w:tcBorders/>
            <w:shd w:fill="CFF0FC" w:val="clear"/>
            <w:vAlign w:val="center"/>
          </w:tcPr>
          <w:p>
            <w:pPr>
              <w:pStyle w:val="TableContents"/>
              <w:bidi w:val="0"/>
              <w:spacing w:before="0" w:after="283"/>
              <w:jc w:val="center"/>
              <w:rPr/>
            </w:pPr>
            <w:r>
              <w:rPr/>
              <w:t> </w:t>
            </w:r>
          </w:p>
        </w:tc>
        <w:tc>
          <w:tcPr>
            <w:tcW w:w="98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Prison</w:t>
            </w:r>
          </w:p>
        </w:tc>
        <w:tc>
          <w:tcPr>
            <w:tcW w:w="146" w:type="dxa"/>
            <w:tcBorders/>
            <w:shd w:fill="CFF0FC" w:val="clear"/>
            <w:vAlign w:val="center"/>
          </w:tcPr>
          <w:p>
            <w:pPr>
              <w:pStyle w:val="TableContents"/>
              <w:bidi w:val="0"/>
              <w:spacing w:before="0" w:after="283"/>
              <w:jc w:val="center"/>
              <w:rPr/>
            </w:pPr>
            <w:r>
              <w:rPr/>
              <w:t> </w:t>
            </w:r>
          </w:p>
        </w:tc>
        <w:tc>
          <w:tcPr>
            <w:tcW w:w="8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2012</w:t>
            </w:r>
          </w:p>
        </w:tc>
        <w:tc>
          <w:tcPr>
            <w:tcW w:w="146" w:type="dxa"/>
            <w:tcBorders/>
            <w:shd w:fill="CFF0FC" w:val="clear"/>
            <w:vAlign w:val="center"/>
          </w:tcPr>
          <w:p>
            <w:pPr>
              <w:pStyle w:val="TableContents"/>
              <w:bidi w:val="0"/>
              <w:spacing w:before="0" w:after="283"/>
              <w:jc w:val="center"/>
              <w:rPr/>
            </w:pPr>
            <w:r>
              <w:rPr/>
              <w:t> </w:t>
            </w:r>
          </w:p>
        </w:tc>
        <w:tc>
          <w:tcPr>
            <w:tcW w:w="66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w:t>
            </w:r>
          </w:p>
        </w:tc>
        <w:tc>
          <w:tcPr>
            <w:tcW w:w="146" w:type="dxa"/>
            <w:tcBorders/>
            <w:shd w:fill="CFF0FC" w:val="clear"/>
            <w:vAlign w:val="center"/>
          </w:tcPr>
          <w:p>
            <w:pPr>
              <w:pStyle w:val="TableContents"/>
              <w:bidi w:val="0"/>
              <w:spacing w:before="0" w:after="283"/>
              <w:jc w:val="center"/>
              <w:rPr/>
            </w:pPr>
            <w:r>
              <w:rPr/>
              <w:t> </w:t>
            </w:r>
          </w:p>
        </w:tc>
        <w:tc>
          <w:tcPr>
            <w:tcW w:w="131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Nineteen years, Four months</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3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Junee Correctional Centre New South Wales, Australia</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NSW</w:t>
            </w:r>
          </w:p>
        </w:tc>
        <w:tc>
          <w:tcPr>
            <w:tcW w:w="146" w:type="dxa"/>
            <w:tcBorders/>
            <w:shd w:fill="FFFFFF" w:val="clear"/>
            <w:vAlign w:val="center"/>
          </w:tcPr>
          <w:p>
            <w:pPr>
              <w:pStyle w:val="TableContents"/>
              <w:bidi w:val="0"/>
              <w:spacing w:before="0" w:after="283"/>
              <w:jc w:val="center"/>
              <w:rPr/>
            </w:pPr>
            <w:r>
              <w:rPr/>
              <w:t> </w:t>
            </w:r>
          </w:p>
        </w:tc>
        <w:tc>
          <w:tcPr>
            <w:tcW w:w="98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Prison</w:t>
            </w:r>
          </w:p>
        </w:tc>
        <w:tc>
          <w:tcPr>
            <w:tcW w:w="146" w:type="dxa"/>
            <w:tcBorders/>
            <w:shd w:fill="FFFFFF" w:val="clear"/>
            <w:vAlign w:val="center"/>
          </w:tcPr>
          <w:p>
            <w:pPr>
              <w:pStyle w:val="TableContents"/>
              <w:bidi w:val="0"/>
              <w:spacing w:before="0" w:after="283"/>
              <w:jc w:val="center"/>
              <w:rPr/>
            </w:pPr>
            <w:r>
              <w:rPr/>
              <w:t> </w:t>
            </w:r>
          </w:p>
        </w:tc>
        <w:tc>
          <w:tcPr>
            <w:tcW w:w="8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Minimum/Medium</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2014</w:t>
            </w:r>
          </w:p>
        </w:tc>
        <w:tc>
          <w:tcPr>
            <w:tcW w:w="146" w:type="dxa"/>
            <w:tcBorders/>
            <w:shd w:fill="FFFFFF" w:val="clear"/>
            <w:vAlign w:val="center"/>
          </w:tcPr>
          <w:p>
            <w:pPr>
              <w:pStyle w:val="TableContents"/>
              <w:bidi w:val="0"/>
              <w:spacing w:before="0" w:after="283"/>
              <w:jc w:val="center"/>
              <w:rPr/>
            </w:pPr>
            <w:r>
              <w:rPr/>
              <w:t> </w:t>
            </w:r>
          </w:p>
        </w:tc>
        <w:tc>
          <w:tcPr>
            <w:tcW w:w="66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vAlign w:val="center"/>
          </w:tcPr>
          <w:p>
            <w:pPr>
              <w:pStyle w:val="TableContents"/>
              <w:bidi w:val="0"/>
              <w:spacing w:before="0" w:after="283"/>
              <w:jc w:val="center"/>
              <w:rPr/>
            </w:pPr>
            <w:r>
              <w:rPr/>
              <w:t> </w:t>
            </w:r>
          </w:p>
        </w:tc>
        <w:tc>
          <w:tcPr>
            <w:tcW w:w="131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One, six-year</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Ravenhall Correctional Centre Melbourne, Australia</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VIC DOJ</w:t>
            </w:r>
          </w:p>
        </w:tc>
        <w:tc>
          <w:tcPr>
            <w:tcW w:w="146" w:type="dxa"/>
            <w:tcBorders/>
            <w:shd w:fill="CFF0FC" w:val="clear"/>
            <w:vAlign w:val="center"/>
          </w:tcPr>
          <w:p>
            <w:pPr>
              <w:pStyle w:val="TableContents"/>
              <w:bidi w:val="0"/>
              <w:spacing w:before="0" w:after="283"/>
              <w:jc w:val="center"/>
              <w:rPr/>
            </w:pPr>
            <w:r>
              <w:rPr/>
              <w:t> </w:t>
            </w:r>
          </w:p>
        </w:tc>
        <w:tc>
          <w:tcPr>
            <w:tcW w:w="98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Prison</w:t>
            </w:r>
          </w:p>
        </w:tc>
        <w:tc>
          <w:tcPr>
            <w:tcW w:w="146" w:type="dxa"/>
            <w:tcBorders/>
            <w:shd w:fill="CFF0FC" w:val="clear"/>
            <w:vAlign w:val="center"/>
          </w:tcPr>
          <w:p>
            <w:pPr>
              <w:pStyle w:val="TableContents"/>
              <w:bidi w:val="0"/>
              <w:spacing w:before="0" w:after="283"/>
              <w:jc w:val="center"/>
              <w:rPr/>
            </w:pPr>
            <w:r>
              <w:rPr/>
              <w:t> </w:t>
            </w:r>
          </w:p>
        </w:tc>
        <w:tc>
          <w:tcPr>
            <w:tcW w:w="8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Medium</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2017</w:t>
            </w:r>
          </w:p>
        </w:tc>
        <w:tc>
          <w:tcPr>
            <w:tcW w:w="146" w:type="dxa"/>
            <w:tcBorders/>
            <w:shd w:fill="CFF0FC" w:val="clear"/>
            <w:vAlign w:val="center"/>
          </w:tcPr>
          <w:p>
            <w:pPr>
              <w:pStyle w:val="TableContents"/>
              <w:bidi w:val="0"/>
              <w:spacing w:before="0" w:after="283"/>
              <w:jc w:val="center"/>
              <w:rPr/>
            </w:pPr>
            <w:r>
              <w:rPr/>
              <w:t> </w:t>
            </w:r>
          </w:p>
        </w:tc>
        <w:tc>
          <w:tcPr>
            <w:tcW w:w="66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 years plus 5 months</w:t>
            </w:r>
          </w:p>
        </w:tc>
        <w:tc>
          <w:tcPr>
            <w:tcW w:w="146" w:type="dxa"/>
            <w:tcBorders/>
            <w:shd w:fill="CFF0FC" w:val="clear"/>
            <w:vAlign w:val="center"/>
          </w:tcPr>
          <w:p>
            <w:pPr>
              <w:pStyle w:val="TableContents"/>
              <w:bidi w:val="0"/>
              <w:spacing w:before="0" w:after="283"/>
              <w:jc w:val="center"/>
              <w:rPr/>
            </w:pPr>
            <w:r>
              <w:rPr/>
              <w:t> </w:t>
            </w:r>
          </w:p>
        </w:tc>
        <w:tc>
          <w:tcPr>
            <w:tcW w:w="131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7"/>
        <w:gridCol w:w="146"/>
        <w:gridCol w:w="184"/>
        <w:gridCol w:w="648"/>
        <w:gridCol w:w="146"/>
        <w:gridCol w:w="146"/>
        <w:gridCol w:w="836"/>
        <w:gridCol w:w="146"/>
        <w:gridCol w:w="971"/>
        <w:gridCol w:w="146"/>
        <w:gridCol w:w="931"/>
        <w:gridCol w:w="146"/>
        <w:gridCol w:w="1286"/>
        <w:gridCol w:w="146"/>
        <w:gridCol w:w="609"/>
        <w:gridCol w:w="146"/>
        <w:gridCol w:w="858"/>
        <w:gridCol w:w="146"/>
        <w:gridCol w:w="831"/>
      </w:tblGrid>
      <w:tr>
        <w:trPr/>
        <w:tc>
          <w:tcPr>
            <w:tcW w:w="1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1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737" w:type="dxa"/>
            <w:tcBorders/>
            <w:shd w:fill="CFF0FC"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Secure Services — South Africa:</w:t>
            </w:r>
          </w:p>
        </w:tc>
        <w:tc>
          <w:tcPr>
            <w:tcW w:w="146"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8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pPr>
            <w:r>
              <w:rPr/>
              <w:t> </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Kutama-Sinthumule Correctional Centre Limpopo Province, Republic of South Africa</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RSA DCS</w:t>
            </w:r>
          </w:p>
        </w:tc>
        <w:tc>
          <w:tcPr>
            <w:tcW w:w="146" w:type="dxa"/>
            <w:tcBorders/>
            <w:shd w:fill="FFFFFF" w:val="clear"/>
            <w:vAlign w:val="center"/>
          </w:tcPr>
          <w:p>
            <w:pPr>
              <w:pStyle w:val="TableContents"/>
              <w:bidi w:val="0"/>
              <w:spacing w:before="0" w:after="283"/>
              <w:jc w:val="center"/>
              <w:rPr/>
            </w:pPr>
            <w:r>
              <w:rPr/>
              <w:t> </w:t>
            </w:r>
          </w:p>
        </w:tc>
        <w:tc>
          <w:tcPr>
            <w:tcW w:w="97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National Prison</w:t>
            </w:r>
          </w:p>
        </w:tc>
        <w:tc>
          <w:tcPr>
            <w:tcW w:w="146"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Maximum</w:t>
            </w:r>
          </w:p>
        </w:tc>
        <w:tc>
          <w:tcPr>
            <w:tcW w:w="146" w:type="dxa"/>
            <w:tcBorders/>
            <w:shd w:fill="FFFFFF" w:val="clear"/>
            <w:vAlign w:val="center"/>
          </w:tcPr>
          <w:p>
            <w:pPr>
              <w:pStyle w:val="TableContents"/>
              <w:bidi w:val="0"/>
              <w:spacing w:before="0" w:after="283"/>
              <w:jc w:val="center"/>
              <w:rPr/>
            </w:pPr>
            <w:r>
              <w:rPr/>
              <w:t> </w:t>
            </w:r>
          </w:p>
        </w:tc>
        <w:tc>
          <w:tcPr>
            <w:tcW w:w="128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2002</w:t>
            </w:r>
          </w:p>
        </w:tc>
        <w:tc>
          <w:tcPr>
            <w:tcW w:w="146"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 years</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737" w:type="dxa"/>
            <w:tcBorders/>
            <w:shd w:fill="CFF0FC"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Reentry Services:</w:t>
            </w:r>
          </w:p>
        </w:tc>
        <w:tc>
          <w:tcPr>
            <w:tcW w:w="146"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8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pPr>
            <w:r>
              <w:rPr/>
              <w:t> </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ADAPPT, PA</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 DOC</w:t>
            </w:r>
          </w:p>
        </w:tc>
        <w:tc>
          <w:tcPr>
            <w:tcW w:w="146" w:type="dxa"/>
            <w:tcBorders/>
            <w:shd w:fill="FFFFFF" w:val="clear"/>
            <w:vAlign w:val="center"/>
          </w:tcPr>
          <w:p>
            <w:pPr>
              <w:pStyle w:val="TableContents"/>
              <w:bidi w:val="0"/>
              <w:spacing w:before="0" w:after="283"/>
              <w:jc w:val="center"/>
              <w:rPr/>
            </w:pPr>
            <w:r>
              <w:rPr/>
              <w:t> </w:t>
            </w:r>
          </w:p>
        </w:tc>
        <w:tc>
          <w:tcPr>
            <w:tcW w:w="97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center"/>
              <w:rPr/>
            </w:pPr>
            <w:r>
              <w:rPr/>
              <w:t> </w:t>
            </w:r>
          </w:p>
        </w:tc>
        <w:tc>
          <w:tcPr>
            <w:tcW w:w="128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2019</w:t>
            </w:r>
          </w:p>
        </w:tc>
        <w:tc>
          <w:tcPr>
            <w:tcW w:w="146"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Alabama Therapeutic Education Facility, AL</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 DOC</w:t>
            </w:r>
          </w:p>
        </w:tc>
        <w:tc>
          <w:tcPr>
            <w:tcW w:w="146" w:type="dxa"/>
            <w:tcBorders/>
            <w:shd w:fill="CFF0FC" w:val="clear"/>
            <w:vAlign w:val="center"/>
          </w:tcPr>
          <w:p>
            <w:pPr>
              <w:pStyle w:val="TableContents"/>
              <w:bidi w:val="0"/>
              <w:spacing w:before="0" w:after="283"/>
              <w:jc w:val="center"/>
              <w:rPr/>
            </w:pPr>
            <w:r>
              <w:rPr/>
              <w:t> </w:t>
            </w:r>
          </w:p>
        </w:tc>
        <w:tc>
          <w:tcPr>
            <w:tcW w:w="97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center"/>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center"/>
              <w:rPr/>
            </w:pPr>
            <w:r>
              <w:rPr/>
              <w:t> </w:t>
            </w:r>
          </w:p>
        </w:tc>
        <w:tc>
          <w:tcPr>
            <w:tcW w:w="128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2021</w:t>
            </w:r>
          </w:p>
        </w:tc>
        <w:tc>
          <w:tcPr>
            <w:tcW w:w="146" w:type="dxa"/>
            <w:tcBorders/>
            <w:shd w:fill="CFF0FC" w:val="clear"/>
            <w:vAlign w:val="center"/>
          </w:tcPr>
          <w:p>
            <w:pPr>
              <w:pStyle w:val="TableContents"/>
              <w:bidi w:val="0"/>
              <w:spacing w:before="0" w:after="283"/>
              <w:jc w:val="center"/>
              <w:rPr/>
            </w:pPr>
            <w:r>
              <w:rPr/>
              <w:t> </w:t>
            </w:r>
          </w:p>
        </w:tc>
        <w:tc>
          <w:tcPr>
            <w:tcW w:w="60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 years</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one-year</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Arapahoe County Residential Center, CO</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Arapahoe County</w:t>
            </w:r>
          </w:p>
        </w:tc>
        <w:tc>
          <w:tcPr>
            <w:tcW w:w="146" w:type="dxa"/>
            <w:tcBorders/>
            <w:shd w:fill="FFFFFF" w:val="clear"/>
            <w:vAlign w:val="center"/>
          </w:tcPr>
          <w:p>
            <w:pPr>
              <w:pStyle w:val="TableContents"/>
              <w:bidi w:val="0"/>
              <w:spacing w:before="0" w:after="283"/>
              <w:jc w:val="center"/>
              <w:rPr/>
            </w:pPr>
            <w:r>
              <w:rPr/>
              <w:t> </w:t>
            </w:r>
          </w:p>
        </w:tc>
        <w:tc>
          <w:tcPr>
            <w:tcW w:w="97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center"/>
              <w:rPr/>
            </w:pPr>
            <w:r>
              <w:rPr/>
              <w:t> </w:t>
            </w:r>
          </w:p>
        </w:tc>
        <w:tc>
          <w:tcPr>
            <w:tcW w:w="128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2023</w:t>
            </w:r>
          </w:p>
        </w:tc>
        <w:tc>
          <w:tcPr>
            <w:tcW w:w="146"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Beaumont Transitional Treatment Center Beaumont, TX</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TDCJ</w:t>
            </w:r>
          </w:p>
        </w:tc>
        <w:tc>
          <w:tcPr>
            <w:tcW w:w="146" w:type="dxa"/>
            <w:tcBorders/>
            <w:shd w:fill="CFF0FC" w:val="clear"/>
            <w:vAlign w:val="center"/>
          </w:tcPr>
          <w:p>
            <w:pPr>
              <w:pStyle w:val="TableContents"/>
              <w:bidi w:val="0"/>
              <w:spacing w:before="0" w:after="283"/>
              <w:jc w:val="center"/>
              <w:rPr/>
            </w:pPr>
            <w:r>
              <w:rPr/>
              <w:t> </w:t>
            </w:r>
          </w:p>
        </w:tc>
        <w:tc>
          <w:tcPr>
            <w:tcW w:w="97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center"/>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center"/>
              <w:rPr/>
            </w:pPr>
            <w:r>
              <w:rPr/>
              <w:t> </w:t>
            </w:r>
          </w:p>
        </w:tc>
        <w:tc>
          <w:tcPr>
            <w:tcW w:w="128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2020</w:t>
            </w:r>
          </w:p>
        </w:tc>
        <w:tc>
          <w:tcPr>
            <w:tcW w:w="146" w:type="dxa"/>
            <w:tcBorders/>
            <w:shd w:fill="CFF0FC" w:val="clear"/>
            <w:vAlign w:val="center"/>
          </w:tcPr>
          <w:p>
            <w:pPr>
              <w:pStyle w:val="TableContents"/>
              <w:bidi w:val="0"/>
              <w:spacing w:before="0" w:after="283"/>
              <w:jc w:val="center"/>
              <w:rPr/>
            </w:pPr>
            <w:r>
              <w:rPr/>
              <w:t> </w:t>
            </w:r>
          </w:p>
        </w:tc>
        <w:tc>
          <w:tcPr>
            <w:tcW w:w="60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 years</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One-year</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Bronx Community reentry Center Bronx, NY</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vAlign w:val="center"/>
          </w:tcPr>
          <w:p>
            <w:pPr>
              <w:pStyle w:val="TableContents"/>
              <w:bidi w:val="0"/>
              <w:spacing w:before="0" w:after="283"/>
              <w:jc w:val="center"/>
              <w:rPr/>
            </w:pPr>
            <w:r>
              <w:rPr/>
              <w:t> </w:t>
            </w:r>
          </w:p>
        </w:tc>
        <w:tc>
          <w:tcPr>
            <w:tcW w:w="97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center"/>
              <w:rPr/>
            </w:pPr>
            <w:r>
              <w:rPr/>
              <w:t> </w:t>
            </w:r>
          </w:p>
        </w:tc>
        <w:tc>
          <w:tcPr>
            <w:tcW w:w="128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2020</w:t>
            </w:r>
          </w:p>
        </w:tc>
        <w:tc>
          <w:tcPr>
            <w:tcW w:w="146"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FFFFFF" w:val="clear"/>
            <w:vAlign w:val="center"/>
          </w:tcPr>
          <w:p>
            <w:pPr>
              <w:pStyle w:val="TableContents"/>
              <w:bidi w:val="0"/>
              <w:spacing w:before="0" w:after="283"/>
              <w:jc w:val="center"/>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Casper Reentry Center, WY</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BOP/Natrona</w:t>
            </w:r>
          </w:p>
        </w:tc>
        <w:tc>
          <w:tcPr>
            <w:tcW w:w="146" w:type="dxa"/>
            <w:tcBorders/>
            <w:shd w:fill="CFF0FC" w:val="clear"/>
            <w:vAlign w:val="center"/>
          </w:tcPr>
          <w:p>
            <w:pPr>
              <w:pStyle w:val="TableContents"/>
              <w:bidi w:val="0"/>
              <w:spacing w:before="0" w:after="283"/>
              <w:jc w:val="center"/>
              <w:rPr/>
            </w:pPr>
            <w:r>
              <w:rPr/>
              <w:t> </w:t>
            </w:r>
          </w:p>
        </w:tc>
        <w:tc>
          <w:tcPr>
            <w:tcW w:w="97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center"/>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center"/>
              <w:rPr/>
            </w:pPr>
            <w:r>
              <w:rPr/>
              <w:t> </w:t>
            </w:r>
          </w:p>
        </w:tc>
        <w:tc>
          <w:tcPr>
            <w:tcW w:w="128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2022/July 2020</w:t>
            </w:r>
          </w:p>
        </w:tc>
        <w:tc>
          <w:tcPr>
            <w:tcW w:w="146" w:type="dxa"/>
            <w:tcBorders/>
            <w:shd w:fill="CFF0FC" w:val="clear"/>
            <w:vAlign w:val="center"/>
          </w:tcPr>
          <w:p>
            <w:pPr>
              <w:pStyle w:val="TableContents"/>
              <w:bidi w:val="0"/>
              <w:spacing w:before="0" w:after="283"/>
              <w:jc w:val="center"/>
              <w:rPr/>
            </w:pPr>
            <w:r>
              <w:rPr/>
              <w:t> </w:t>
            </w:r>
          </w:p>
        </w:tc>
        <w:tc>
          <w:tcPr>
            <w:tcW w:w="60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year/2 years</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one-year/One, two-year, plus one, one-year</w:t>
            </w:r>
          </w:p>
        </w:tc>
        <w:tc>
          <w:tcPr>
            <w:tcW w:w="146" w:type="dxa"/>
            <w:tcBorders/>
            <w:shd w:fill="CFF0FC" w:val="clear"/>
            <w:vAlign w:val="center"/>
          </w:tcPr>
          <w:p>
            <w:pPr>
              <w:pStyle w:val="TableContents"/>
              <w:bidi w:val="0"/>
              <w:spacing w:before="0" w:after="283"/>
              <w:jc w:val="center"/>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5"/>
        <w:gridCol w:w="146"/>
        <w:gridCol w:w="186"/>
        <w:gridCol w:w="655"/>
        <w:gridCol w:w="146"/>
        <w:gridCol w:w="146"/>
        <w:gridCol w:w="850"/>
        <w:gridCol w:w="146"/>
        <w:gridCol w:w="1019"/>
        <w:gridCol w:w="146"/>
        <w:gridCol w:w="931"/>
        <w:gridCol w:w="146"/>
        <w:gridCol w:w="1292"/>
        <w:gridCol w:w="146"/>
        <w:gridCol w:w="632"/>
        <w:gridCol w:w="146"/>
        <w:gridCol w:w="981"/>
        <w:gridCol w:w="146"/>
        <w:gridCol w:w="830"/>
      </w:tblGrid>
      <w:tr>
        <w:trPr/>
        <w:tc>
          <w:tcPr>
            <w:tcW w:w="1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5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Chester County, PA</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 DOC</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2019</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5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Cheyenne Mountain Recovery Center, CO</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5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Coleman Hall, PA</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5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Community Alternatives of El Paso County, CO</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El Paso County</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2019</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5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Community Alternatives of the Black Hills, SD</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2021</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5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Cordova Center Anchorage, AK</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 / AK DOC</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2019/July 2019</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year/1 year</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 renewals/Four, One-year</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5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Delaney Hall, NJ</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5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 Monte Center El Monte, CA</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2019</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5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Grossman Center Leavenworth, KS</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2019</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5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Las Vegas Community Correctional Center Las Vegas, NV</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2021</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5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Leidel Comprehensive Sanction Center Houston, TX</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7"/>
        <w:gridCol w:w="146"/>
        <w:gridCol w:w="237"/>
        <w:gridCol w:w="612"/>
        <w:gridCol w:w="146"/>
        <w:gridCol w:w="146"/>
        <w:gridCol w:w="908"/>
        <w:gridCol w:w="146"/>
        <w:gridCol w:w="1064"/>
        <w:gridCol w:w="146"/>
        <w:gridCol w:w="1064"/>
        <w:gridCol w:w="146"/>
        <w:gridCol w:w="1261"/>
        <w:gridCol w:w="146"/>
        <w:gridCol w:w="737"/>
        <w:gridCol w:w="146"/>
        <w:gridCol w:w="802"/>
        <w:gridCol w:w="146"/>
        <w:gridCol w:w="829"/>
      </w:tblGrid>
      <w:tr>
        <w:trPr/>
        <w:tc>
          <w:tcPr>
            <w:tcW w:w="1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3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Logan Hall, NJ</w:t>
            </w:r>
          </w:p>
        </w:tc>
        <w:tc>
          <w:tcPr>
            <w:tcW w:w="146" w:type="dxa"/>
            <w:tcBorders/>
            <w:shd w:fill="CFF0FC" w:val="clear"/>
            <w:vAlign w:val="center"/>
          </w:tcPr>
          <w:p>
            <w:pPr>
              <w:pStyle w:val="TableContents"/>
              <w:bidi w:val="0"/>
              <w:spacing w:before="0" w:after="283"/>
              <w:jc w:val="left"/>
              <w:rPr/>
            </w:pPr>
            <w:r>
              <w:rPr/>
              <w:t> </w:t>
            </w:r>
          </w:p>
        </w:tc>
        <w:tc>
          <w:tcPr>
            <w:tcW w:w="849" w:type="dxa"/>
            <w:gridSpan w:val="2"/>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0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73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8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 Beach Community Reentry Center, CA</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CDCR</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2019</w:t>
            </w:r>
          </w:p>
        </w:tc>
        <w:tc>
          <w:tcPr>
            <w:tcW w:w="146" w:type="dxa"/>
            <w:tcBorders/>
            <w:shd w:fill="FFFFFF" w:val="clear"/>
            <w:vAlign w:val="center"/>
          </w:tcPr>
          <w:p>
            <w:pPr>
              <w:pStyle w:val="TableContents"/>
              <w:bidi w:val="0"/>
              <w:spacing w:before="0" w:after="283"/>
              <w:jc w:val="center"/>
              <w:rPr/>
            </w:pPr>
            <w:r>
              <w:rPr/>
              <w:t> </w:t>
            </w:r>
          </w:p>
        </w:tc>
        <w:tc>
          <w:tcPr>
            <w:tcW w:w="73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 8 months,</w:t>
            </w:r>
          </w:p>
        </w:tc>
        <w:tc>
          <w:tcPr>
            <w:tcW w:w="146" w:type="dxa"/>
            <w:tcBorders/>
            <w:shd w:fill="FFFFFF" w:val="clear"/>
            <w:vAlign w:val="center"/>
          </w:tcPr>
          <w:p>
            <w:pPr>
              <w:pStyle w:val="TableContents"/>
              <w:bidi w:val="0"/>
              <w:spacing w:before="0" w:after="283"/>
              <w:jc w:val="center"/>
              <w:rPr/>
            </w:pPr>
            <w:r>
              <w:rPr/>
              <w:t> </w:t>
            </w:r>
          </w:p>
        </w:tc>
        <w:tc>
          <w:tcPr>
            <w:tcW w:w="8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Marvin Gardens Center Los Angeles, CA</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0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2023</w:t>
            </w:r>
          </w:p>
        </w:tc>
        <w:tc>
          <w:tcPr>
            <w:tcW w:w="146" w:type="dxa"/>
            <w:tcBorders/>
            <w:shd w:fill="CFF0FC" w:val="clear"/>
            <w:vAlign w:val="center"/>
          </w:tcPr>
          <w:p>
            <w:pPr>
              <w:pStyle w:val="TableContents"/>
              <w:bidi w:val="0"/>
              <w:spacing w:before="0" w:after="283"/>
              <w:jc w:val="center"/>
              <w:rPr/>
            </w:pPr>
            <w:r>
              <w:rPr/>
              <w:t> </w:t>
            </w:r>
          </w:p>
        </w:tc>
        <w:tc>
          <w:tcPr>
            <w:tcW w:w="73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center"/>
              <w:rPr/>
            </w:pPr>
            <w:r>
              <w:rPr/>
              <w:t> </w:t>
            </w:r>
          </w:p>
        </w:tc>
        <w:tc>
          <w:tcPr>
            <w:tcW w:w="8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 year</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Mid Valley House Edinburg, TX</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2020</w:t>
            </w:r>
          </w:p>
        </w:tc>
        <w:tc>
          <w:tcPr>
            <w:tcW w:w="146" w:type="dxa"/>
            <w:tcBorders/>
            <w:shd w:fill="FFFFFF" w:val="clear"/>
            <w:vAlign w:val="center"/>
          </w:tcPr>
          <w:p>
            <w:pPr>
              <w:pStyle w:val="TableContents"/>
              <w:bidi w:val="0"/>
              <w:spacing w:before="0" w:after="283"/>
              <w:jc w:val="center"/>
              <w:rPr/>
            </w:pPr>
            <w:r>
              <w:rPr/>
              <w:t> </w:t>
            </w:r>
          </w:p>
        </w:tc>
        <w:tc>
          <w:tcPr>
            <w:tcW w:w="73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center"/>
              <w:rPr/>
            </w:pPr>
            <w:r>
              <w:rPr/>
              <w:t> </w:t>
            </w:r>
          </w:p>
        </w:tc>
        <w:tc>
          <w:tcPr>
            <w:tcW w:w="8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 year</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Midtown Center Anchorage, AK</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0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 DOC</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2019</w:t>
            </w:r>
          </w:p>
        </w:tc>
        <w:tc>
          <w:tcPr>
            <w:tcW w:w="146" w:type="dxa"/>
            <w:tcBorders/>
            <w:shd w:fill="CFF0FC" w:val="clear"/>
            <w:vAlign w:val="center"/>
          </w:tcPr>
          <w:p>
            <w:pPr>
              <w:pStyle w:val="TableContents"/>
              <w:bidi w:val="0"/>
              <w:spacing w:before="0" w:after="283"/>
              <w:jc w:val="center"/>
              <w:rPr/>
            </w:pPr>
            <w:r>
              <w:rPr/>
              <w:t> </w:t>
            </w:r>
          </w:p>
        </w:tc>
        <w:tc>
          <w:tcPr>
            <w:tcW w:w="73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center"/>
              <w:rPr/>
            </w:pPr>
            <w:r>
              <w:rPr/>
              <w:t> </w:t>
            </w:r>
          </w:p>
        </w:tc>
        <w:tc>
          <w:tcPr>
            <w:tcW w:w="8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 year</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Mexico Mens Recovery Academy, NM</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DOC</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2023</w:t>
            </w:r>
          </w:p>
        </w:tc>
        <w:tc>
          <w:tcPr>
            <w:tcW w:w="146" w:type="dxa"/>
            <w:tcBorders/>
            <w:shd w:fill="FFFFFF" w:val="clear"/>
            <w:vAlign w:val="center"/>
          </w:tcPr>
          <w:p>
            <w:pPr>
              <w:pStyle w:val="TableContents"/>
              <w:bidi w:val="0"/>
              <w:spacing w:before="0" w:after="283"/>
              <w:jc w:val="center"/>
              <w:rPr/>
            </w:pPr>
            <w:r>
              <w:rPr/>
              <w:t> </w:t>
            </w:r>
          </w:p>
        </w:tc>
        <w:tc>
          <w:tcPr>
            <w:tcW w:w="73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w:t>
            </w:r>
          </w:p>
        </w:tc>
        <w:tc>
          <w:tcPr>
            <w:tcW w:w="146" w:type="dxa"/>
            <w:tcBorders/>
            <w:shd w:fill="FFFFFF" w:val="clear"/>
            <w:vAlign w:val="center"/>
          </w:tcPr>
          <w:p>
            <w:pPr>
              <w:pStyle w:val="TableContents"/>
              <w:bidi w:val="0"/>
              <w:spacing w:before="0" w:after="283"/>
              <w:jc w:val="center"/>
              <w:rPr/>
            </w:pPr>
            <w:r>
              <w:rPr/>
              <w:t> </w:t>
            </w:r>
          </w:p>
        </w:tc>
        <w:tc>
          <w:tcPr>
            <w:tcW w:w="8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3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Mexico Womens Recovery Academy, NM</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0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DOC</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2023</w:t>
            </w:r>
          </w:p>
        </w:tc>
        <w:tc>
          <w:tcPr>
            <w:tcW w:w="146" w:type="dxa"/>
            <w:tcBorders/>
            <w:shd w:fill="CFF0FC" w:val="clear"/>
            <w:vAlign w:val="center"/>
          </w:tcPr>
          <w:p>
            <w:pPr>
              <w:pStyle w:val="TableContents"/>
              <w:bidi w:val="0"/>
              <w:spacing w:before="0" w:after="283"/>
              <w:jc w:val="center"/>
              <w:rPr/>
            </w:pPr>
            <w:r>
              <w:rPr/>
              <w:t> </w:t>
            </w:r>
          </w:p>
        </w:tc>
        <w:tc>
          <w:tcPr>
            <w:tcW w:w="73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 years</w:t>
            </w:r>
          </w:p>
        </w:tc>
        <w:tc>
          <w:tcPr>
            <w:tcW w:w="146" w:type="dxa"/>
            <w:tcBorders/>
            <w:shd w:fill="CFF0FC" w:val="clear"/>
            <w:vAlign w:val="center"/>
          </w:tcPr>
          <w:p>
            <w:pPr>
              <w:pStyle w:val="TableContents"/>
              <w:bidi w:val="0"/>
              <w:spacing w:before="0" w:after="283"/>
              <w:jc w:val="center"/>
              <w:rPr/>
            </w:pPr>
            <w:r>
              <w:rPr/>
              <w:t> </w:t>
            </w:r>
          </w:p>
        </w:tc>
        <w:tc>
          <w:tcPr>
            <w:tcW w:w="8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Managed</w:t>
            </w:r>
          </w:p>
        </w:tc>
      </w:tr>
      <w:tr>
        <w:trPr/>
        <w:tc>
          <w:tcPr>
            <w:tcW w:w="13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Northstar Center Fairbanks, AK</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 DOC</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2022</w:t>
            </w:r>
          </w:p>
        </w:tc>
        <w:tc>
          <w:tcPr>
            <w:tcW w:w="146" w:type="dxa"/>
            <w:tcBorders/>
            <w:shd w:fill="FFFFFF" w:val="clear"/>
            <w:vAlign w:val="center"/>
          </w:tcPr>
          <w:p>
            <w:pPr>
              <w:pStyle w:val="TableContents"/>
              <w:bidi w:val="0"/>
              <w:spacing w:before="0" w:after="283"/>
              <w:jc w:val="center"/>
              <w:rPr/>
            </w:pPr>
            <w:r>
              <w:rPr/>
              <w:t> </w:t>
            </w:r>
          </w:p>
        </w:tc>
        <w:tc>
          <w:tcPr>
            <w:tcW w:w="73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center"/>
              <w:rPr/>
            </w:pPr>
            <w:r>
              <w:rPr/>
              <w:t> </w:t>
            </w:r>
          </w:p>
        </w:tc>
        <w:tc>
          <w:tcPr>
            <w:tcW w:w="8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One year</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Oakland Center Oakland, CA</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0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2020</w:t>
            </w:r>
          </w:p>
        </w:tc>
        <w:tc>
          <w:tcPr>
            <w:tcW w:w="146" w:type="dxa"/>
            <w:tcBorders/>
            <w:shd w:fill="CFF0FC" w:val="clear"/>
            <w:vAlign w:val="center"/>
          </w:tcPr>
          <w:p>
            <w:pPr>
              <w:pStyle w:val="TableContents"/>
              <w:bidi w:val="0"/>
              <w:spacing w:before="0" w:after="283"/>
              <w:jc w:val="center"/>
              <w:rPr/>
            </w:pPr>
            <w:r>
              <w:rPr/>
              <w:t> </w:t>
            </w:r>
          </w:p>
        </w:tc>
        <w:tc>
          <w:tcPr>
            <w:tcW w:w="73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center"/>
              <w:rPr/>
            </w:pPr>
            <w:r>
              <w:rPr/>
              <w:t> </w:t>
            </w:r>
          </w:p>
        </w:tc>
        <w:tc>
          <w:tcPr>
            <w:tcW w:w="8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 year</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Parkview Center Anchorage, AK</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 DOC</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2020</w:t>
            </w:r>
          </w:p>
        </w:tc>
        <w:tc>
          <w:tcPr>
            <w:tcW w:w="146" w:type="dxa"/>
            <w:tcBorders/>
            <w:shd w:fill="FFFFFF" w:val="clear"/>
            <w:vAlign w:val="center"/>
          </w:tcPr>
          <w:p>
            <w:pPr>
              <w:pStyle w:val="TableContents"/>
              <w:bidi w:val="0"/>
              <w:spacing w:before="0" w:after="283"/>
              <w:jc w:val="center"/>
              <w:rPr/>
            </w:pPr>
            <w:r>
              <w:rPr/>
              <w:t> </w:t>
            </w:r>
          </w:p>
        </w:tc>
        <w:tc>
          <w:tcPr>
            <w:tcW w:w="73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center"/>
              <w:rPr/>
            </w:pPr>
            <w:r>
              <w:rPr/>
              <w:t> </w:t>
            </w:r>
          </w:p>
        </w:tc>
        <w:tc>
          <w:tcPr>
            <w:tcW w:w="8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One year</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Philadelphia Residential Reentry Center</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08"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center"/>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2019</w:t>
            </w:r>
          </w:p>
        </w:tc>
        <w:tc>
          <w:tcPr>
            <w:tcW w:w="146" w:type="dxa"/>
            <w:tcBorders/>
            <w:shd w:fill="CFF0FC" w:val="clear"/>
            <w:vAlign w:val="center"/>
          </w:tcPr>
          <w:p>
            <w:pPr>
              <w:pStyle w:val="TableContents"/>
              <w:bidi w:val="0"/>
              <w:spacing w:before="0" w:after="283"/>
              <w:jc w:val="center"/>
              <w:rPr/>
            </w:pPr>
            <w:r>
              <w:rPr/>
              <w:t> </w:t>
            </w:r>
          </w:p>
        </w:tc>
        <w:tc>
          <w:tcPr>
            <w:tcW w:w="73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center"/>
              <w:rPr/>
            </w:pPr>
            <w:r>
              <w:rPr/>
              <w:t> </w:t>
            </w:r>
          </w:p>
        </w:tc>
        <w:tc>
          <w:tcPr>
            <w:tcW w:w="80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 year</w:t>
            </w:r>
          </w:p>
        </w:tc>
        <w:tc>
          <w:tcPr>
            <w:tcW w:w="146" w:type="dxa"/>
            <w:tcBorders/>
            <w:shd w:fill="CFF0FC" w:val="clear"/>
            <w:vAlign w:val="center"/>
          </w:tcPr>
          <w:p>
            <w:pPr>
              <w:pStyle w:val="TableContents"/>
              <w:bidi w:val="0"/>
              <w:spacing w:before="0" w:after="283"/>
              <w:jc w:val="center"/>
              <w:rPr/>
            </w:pPr>
            <w:r>
              <w:rPr/>
              <w:t> </w:t>
            </w:r>
          </w:p>
        </w:tc>
        <w:tc>
          <w:tcPr>
            <w:tcW w:w="829"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7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Reality House Brownsville, TX</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2019</w:t>
            </w:r>
          </w:p>
        </w:tc>
        <w:tc>
          <w:tcPr>
            <w:tcW w:w="146" w:type="dxa"/>
            <w:tcBorders/>
            <w:shd w:fill="FFFFFF" w:val="clear"/>
            <w:vAlign w:val="center"/>
          </w:tcPr>
          <w:p>
            <w:pPr>
              <w:pStyle w:val="TableContents"/>
              <w:bidi w:val="0"/>
              <w:spacing w:before="0" w:after="283"/>
              <w:jc w:val="center"/>
              <w:rPr/>
            </w:pPr>
            <w:r>
              <w:rPr/>
              <w:t> </w:t>
            </w:r>
          </w:p>
        </w:tc>
        <w:tc>
          <w:tcPr>
            <w:tcW w:w="73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center"/>
              <w:rPr/>
            </w:pPr>
            <w:r>
              <w:rPr/>
              <w:t> </w:t>
            </w:r>
          </w:p>
        </w:tc>
        <w:tc>
          <w:tcPr>
            <w:tcW w:w="80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 year</w:t>
            </w:r>
          </w:p>
        </w:tc>
        <w:tc>
          <w:tcPr>
            <w:tcW w:w="146" w:type="dxa"/>
            <w:tcBorders/>
            <w:shd w:fill="FFFFFF" w:val="clear"/>
            <w:vAlign w:val="center"/>
          </w:tcPr>
          <w:p>
            <w:pPr>
              <w:pStyle w:val="TableContents"/>
              <w:bidi w:val="0"/>
              <w:spacing w:before="0" w:after="283"/>
              <w:jc w:val="center"/>
              <w:rPr/>
            </w:pPr>
            <w:r>
              <w:rPr/>
              <w:t> </w:t>
            </w:r>
          </w:p>
        </w:tc>
        <w:tc>
          <w:tcPr>
            <w:tcW w:w="82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0"/>
        <w:gridCol w:w="146"/>
        <w:gridCol w:w="237"/>
        <w:gridCol w:w="611"/>
        <w:gridCol w:w="146"/>
        <w:gridCol w:w="146"/>
        <w:gridCol w:w="906"/>
        <w:gridCol w:w="146"/>
        <w:gridCol w:w="1061"/>
        <w:gridCol w:w="146"/>
        <w:gridCol w:w="931"/>
        <w:gridCol w:w="146"/>
        <w:gridCol w:w="1314"/>
        <w:gridCol w:w="146"/>
        <w:gridCol w:w="663"/>
        <w:gridCol w:w="146"/>
        <w:gridCol w:w="987"/>
        <w:gridCol w:w="146"/>
        <w:gridCol w:w="831"/>
      </w:tblGrid>
      <w:tr>
        <w:trPr/>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 Name &amp;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Capacity(1)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w:t>
              <w:b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Managed</w:t>
              <w:br/>
              <w:t>Leased/</w:t>
              <w:br/>
              <w:t>Owned</w:t>
            </w:r>
          </w:p>
        </w:tc>
      </w:tr>
      <w:tr>
        <w:trPr/>
        <w:tc>
          <w:tcPr>
            <w:tcW w:w="13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Salt Lake City Center Salt Lake City, UT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vAlign w:val="center"/>
          </w:tcPr>
          <w:p>
            <w:pPr>
              <w:pStyle w:val="TableContents"/>
              <w:bidi w:val="0"/>
              <w:spacing w:before="0" w:after="283"/>
              <w:jc w:val="left"/>
              <w:rPr/>
            </w:pPr>
            <w:r>
              <w:rPr/>
              <w:t> </w:t>
            </w:r>
          </w:p>
        </w:tc>
        <w:tc>
          <w:tcPr>
            <w:tcW w:w="10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2019</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Nine, One-year</w:t>
            </w:r>
          </w:p>
        </w:tc>
        <w:tc>
          <w:tcPr>
            <w:tcW w:w="146"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Scranton Facility, PA</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 DOC</w:t>
            </w:r>
          </w:p>
        </w:tc>
        <w:tc>
          <w:tcPr>
            <w:tcW w:w="146"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2019</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Seaside Center Nome, AK</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 DOC</w:t>
            </w:r>
          </w:p>
        </w:tc>
        <w:tc>
          <w:tcPr>
            <w:tcW w:w="146" w:type="dxa"/>
            <w:tcBorders/>
            <w:shd w:fill="CFF0FC" w:val="clear"/>
            <w:vAlign w:val="center"/>
          </w:tcPr>
          <w:p>
            <w:pPr>
              <w:pStyle w:val="TableContents"/>
              <w:bidi w:val="0"/>
              <w:spacing w:before="0" w:after="283"/>
              <w:jc w:val="left"/>
              <w:rPr/>
            </w:pPr>
            <w:r>
              <w:rPr/>
              <w:t> </w:t>
            </w:r>
          </w:p>
        </w:tc>
        <w:tc>
          <w:tcPr>
            <w:tcW w:w="10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2019</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Southeast Texas Transitional Center Houston, TX</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TDCJ</w:t>
            </w:r>
          </w:p>
        </w:tc>
        <w:tc>
          <w:tcPr>
            <w:tcW w:w="146"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2020</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 years</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One-year</w:t>
            </w:r>
          </w:p>
        </w:tc>
        <w:tc>
          <w:tcPr>
            <w:tcW w:w="146"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Harbor, NJ</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NJ DOC</w:t>
            </w:r>
          </w:p>
        </w:tc>
        <w:tc>
          <w:tcPr>
            <w:tcW w:w="146" w:type="dxa"/>
            <w:tcBorders/>
            <w:shd w:fill="CFF0FC" w:val="clear"/>
            <w:vAlign w:val="center"/>
          </w:tcPr>
          <w:p>
            <w:pPr>
              <w:pStyle w:val="TableContents"/>
              <w:bidi w:val="0"/>
              <w:spacing w:before="0" w:after="283"/>
              <w:jc w:val="left"/>
              <w:rPr/>
            </w:pPr>
            <w:r>
              <w:rPr/>
              <w:t> </w:t>
            </w:r>
          </w:p>
        </w:tc>
        <w:tc>
          <w:tcPr>
            <w:tcW w:w="10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2022</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 years</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Toler Hall, NJ</w:t>
            </w:r>
          </w:p>
        </w:tc>
        <w:tc>
          <w:tcPr>
            <w:tcW w:w="146" w:type="dxa"/>
            <w:tcBorders/>
            <w:shd w:fill="FFFFFF" w:val="clear"/>
            <w:vAlign w:val="center"/>
          </w:tcPr>
          <w:p>
            <w:pPr>
              <w:pStyle w:val="TableContents"/>
              <w:bidi w:val="0"/>
              <w:spacing w:before="0" w:after="283"/>
              <w:jc w:val="left"/>
              <w:rPr/>
            </w:pPr>
            <w:r>
              <w:rPr/>
              <w:t> </w:t>
            </w:r>
          </w:p>
        </w:tc>
        <w:tc>
          <w:tcPr>
            <w:tcW w:w="848"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Leased</w:t>
            </w:r>
          </w:p>
        </w:tc>
      </w:tr>
      <w:tr>
        <w:trPr/>
        <w:tc>
          <w:tcPr>
            <w:tcW w:w="13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Tully House, NJ</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NJ DOC</w:t>
            </w:r>
          </w:p>
        </w:tc>
        <w:tc>
          <w:tcPr>
            <w:tcW w:w="146" w:type="dxa"/>
            <w:tcBorders/>
            <w:shd w:fill="CFF0FC" w:val="clear"/>
            <w:vAlign w:val="center"/>
          </w:tcPr>
          <w:p>
            <w:pPr>
              <w:pStyle w:val="TableContents"/>
              <w:bidi w:val="0"/>
              <w:spacing w:before="0" w:after="283"/>
              <w:jc w:val="left"/>
              <w:rPr/>
            </w:pPr>
            <w:r>
              <w:rPr/>
              <w:t> </w:t>
            </w:r>
          </w:p>
        </w:tc>
        <w:tc>
          <w:tcPr>
            <w:tcW w:w="10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2022</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 years</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w:t>
            </w:r>
          </w:p>
        </w:tc>
        <w:tc>
          <w:tcPr>
            <w:tcW w:w="146"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Taylor Street Center San Francisco, CA</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 / CDCR</w:t>
            </w:r>
          </w:p>
        </w:tc>
        <w:tc>
          <w:tcPr>
            <w:tcW w:w="146"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2021/July 2022</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year/3 years</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One-year/Two, One-year</w:t>
            </w:r>
          </w:p>
        </w:tc>
        <w:tc>
          <w:tcPr>
            <w:tcW w:w="146"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Tampa Residential Reentry Center Tampa, FL</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BOP</w:t>
            </w:r>
          </w:p>
        </w:tc>
        <w:tc>
          <w:tcPr>
            <w:tcW w:w="146" w:type="dxa"/>
            <w:tcBorders/>
            <w:shd w:fill="CFF0FC" w:val="clear"/>
            <w:vAlign w:val="center"/>
          </w:tcPr>
          <w:p>
            <w:pPr>
              <w:pStyle w:val="TableContents"/>
              <w:bidi w:val="0"/>
              <w:spacing w:before="0" w:after="283"/>
              <w:jc w:val="left"/>
              <w:rPr/>
            </w:pPr>
            <w:r>
              <w:rPr/>
              <w:t> </w:t>
            </w:r>
          </w:p>
        </w:tc>
        <w:tc>
          <w:tcPr>
            <w:tcW w:w="106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2021</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Tundra Center Bethel, AK</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AK DOC</w:t>
            </w:r>
          </w:p>
        </w:tc>
        <w:tc>
          <w:tcPr>
            <w:tcW w:w="146"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 Corrections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Community</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2019</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 year</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Four, One-year</w:t>
            </w:r>
          </w:p>
        </w:tc>
        <w:tc>
          <w:tcPr>
            <w:tcW w:w="146"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13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tbl>
      <w:tblPr>
        <w:tblW w:w="10094" w:type="dxa"/>
        <w:jc w:val="left"/>
        <w:tblInd w:w="0" w:type="dxa"/>
        <w:tblLayout w:type="fixed"/>
        <w:tblCellMar>
          <w:top w:w="28" w:type="dxa"/>
          <w:left w:w="28" w:type="dxa"/>
          <w:bottom w:w="28" w:type="dxa"/>
          <w:right w:w="28" w:type="dxa"/>
        </w:tblCellMar>
      </w:tblPr>
      <w:tblGrid>
        <w:gridCol w:w="4231"/>
        <w:gridCol w:w="146"/>
        <w:gridCol w:w="146"/>
        <w:gridCol w:w="376"/>
        <w:gridCol w:w="146"/>
        <w:gridCol w:w="146"/>
        <w:gridCol w:w="1426"/>
        <w:gridCol w:w="146"/>
        <w:gridCol w:w="391"/>
        <w:gridCol w:w="146"/>
        <w:gridCol w:w="391"/>
        <w:gridCol w:w="146"/>
        <w:gridCol w:w="391"/>
        <w:gridCol w:w="146"/>
        <w:gridCol w:w="391"/>
        <w:gridCol w:w="146"/>
        <w:gridCol w:w="391"/>
        <w:gridCol w:w="146"/>
        <w:gridCol w:w="64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Abraxas Academy Morgantown, PA</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6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Abraxas I Marienville, PA</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Abraxas Ohio Shelby, OH</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2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64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Hector Garza Center San Antonio, TX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Idle</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Southern Peaks Regional Treatment Center Canon City, CO</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2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64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Southwood Interventions Chicago, IL</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Woodridge Interventions Woodridge, IL</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2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Third Party Tenant</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64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Owned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certain information with respect to our reentry Day Reporting Centers, which we refer to as DRCs. The information in the table includes the DRCs that we (or a subsidiary or joint venture of GEO) operated under a management contract or had an agreement to provide services as of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6"/>
        <w:gridCol w:w="146"/>
        <w:gridCol w:w="264"/>
        <w:gridCol w:w="573"/>
        <w:gridCol w:w="146"/>
        <w:gridCol w:w="146"/>
        <w:gridCol w:w="1298"/>
        <w:gridCol w:w="146"/>
        <w:gridCol w:w="1261"/>
        <w:gridCol w:w="146"/>
        <w:gridCol w:w="791"/>
        <w:gridCol w:w="146"/>
        <w:gridCol w:w="2424"/>
        <w:gridCol w:w="146"/>
        <w:gridCol w:w="1356"/>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DRC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reporting</w:t>
              <w:br/>
              <w:t>centers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w:t>
              <w:br/>
              <w:t>Customers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br/>
              <w:t>of current</w:t>
              <w:br/>
              <w:t>contract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 only/</w:t>
              <w:br/>
              <w:t>lease</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Colorado (4)</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County, Local</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Various,</w:t>
              <w:br/>
              <w:t>2021 – 2024</w:t>
            </w:r>
          </w:p>
        </w:tc>
        <w:tc>
          <w:tcPr>
            <w:tcW w:w="146"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w:t>
            </w:r>
          </w:p>
        </w:tc>
        <w:tc>
          <w:tcPr>
            <w:tcW w:w="146" w:type="dxa"/>
            <w:tcBorders/>
            <w:shd w:fill="CFF0FC" w:val="clear"/>
            <w:vAlign w:val="center"/>
          </w:tcPr>
          <w:p>
            <w:pPr>
              <w:pStyle w:val="TableContents"/>
              <w:bidi w:val="0"/>
              <w:spacing w:before="0" w:after="283"/>
              <w:jc w:val="left"/>
              <w:rPr/>
            </w:pPr>
            <w:r>
              <w:rPr/>
              <w:t> </w:t>
            </w:r>
          </w:p>
        </w:tc>
        <w:tc>
          <w:tcPr>
            <w:tcW w:w="242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c>
          <w:tcPr>
            <w:tcW w:w="146"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County</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Various,</w:t>
              <w:br/>
              <w:t>2018 – 2026</w:t>
            </w:r>
          </w:p>
        </w:tc>
        <w:tc>
          <w:tcPr>
            <w:tcW w:w="146"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One, One-year or Two One-Year</w:t>
            </w:r>
          </w:p>
        </w:tc>
        <w:tc>
          <w:tcPr>
            <w:tcW w:w="146"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 or Manage only</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Jersey</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County</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years</w:t>
            </w:r>
          </w:p>
        </w:tc>
        <w:tc>
          <w:tcPr>
            <w:tcW w:w="146" w:type="dxa"/>
            <w:tcBorders/>
            <w:shd w:fill="CFF0FC" w:val="clear"/>
            <w:vAlign w:val="center"/>
          </w:tcPr>
          <w:p>
            <w:pPr>
              <w:pStyle w:val="TableContents"/>
              <w:bidi w:val="0"/>
              <w:spacing w:before="0" w:after="283"/>
              <w:jc w:val="left"/>
              <w:rPr/>
            </w:pPr>
            <w:r>
              <w:rPr/>
              <w:t> </w:t>
            </w:r>
          </w:p>
        </w:tc>
        <w:tc>
          <w:tcPr>
            <w:tcW w:w="242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One, One-year</w:t>
            </w:r>
          </w:p>
        </w:tc>
        <w:tc>
          <w:tcPr>
            <w:tcW w:w="146"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County</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Various,</w:t>
              <w:br/>
              <w:t>2018 – 2025</w:t>
            </w:r>
          </w:p>
        </w:tc>
        <w:tc>
          <w:tcPr>
            <w:tcW w:w="146"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to 5 years</w:t>
            </w:r>
          </w:p>
        </w:tc>
        <w:tc>
          <w:tcPr>
            <w:tcW w:w="146"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c>
          <w:tcPr>
            <w:tcW w:w="146"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County</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2018-2023</w:t>
            </w:r>
          </w:p>
        </w:tc>
        <w:tc>
          <w:tcPr>
            <w:tcW w:w="146"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vAlign w:val="center"/>
          </w:tcPr>
          <w:p>
            <w:pPr>
              <w:pStyle w:val="TableContents"/>
              <w:bidi w:val="0"/>
              <w:spacing w:before="0" w:after="283"/>
              <w:jc w:val="left"/>
              <w:rPr/>
            </w:pPr>
            <w:r>
              <w:rPr/>
              <w:t> </w:t>
            </w:r>
          </w:p>
        </w:tc>
        <w:tc>
          <w:tcPr>
            <w:tcW w:w="242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One, Five-year</w:t>
            </w:r>
          </w:p>
        </w:tc>
        <w:tc>
          <w:tcPr>
            <w:tcW w:w="146"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 or Manage</w:t>
              <w:br/>
              <w:t>only</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Kansas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County</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w:t>
            </w:r>
          </w:p>
        </w:tc>
        <w:tc>
          <w:tcPr>
            <w:tcW w:w="146"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Four, One-year</w:t>
            </w:r>
          </w:p>
        </w:tc>
        <w:tc>
          <w:tcPr>
            <w:tcW w:w="146"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Louisiana</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2021-2022</w:t>
            </w:r>
          </w:p>
        </w:tc>
        <w:tc>
          <w:tcPr>
            <w:tcW w:w="146"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vAlign w:val="center"/>
          </w:tcPr>
          <w:p>
            <w:pPr>
              <w:pStyle w:val="TableContents"/>
              <w:bidi w:val="0"/>
              <w:spacing w:before="0" w:after="283"/>
              <w:jc w:val="left"/>
              <w:rPr/>
            </w:pPr>
            <w:r>
              <w:rPr/>
              <w:t> </w:t>
            </w:r>
          </w:p>
        </w:tc>
        <w:tc>
          <w:tcPr>
            <w:tcW w:w="242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Tennessee</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46"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Five, One-year</w:t>
            </w:r>
          </w:p>
        </w:tc>
        <w:tc>
          <w:tcPr>
            <w:tcW w:w="146"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Idaho</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vAlign w:val="center"/>
          </w:tcPr>
          <w:p>
            <w:pPr>
              <w:pStyle w:val="TableContents"/>
              <w:bidi w:val="0"/>
              <w:spacing w:before="0" w:after="283"/>
              <w:jc w:val="left"/>
              <w:rPr/>
            </w:pPr>
            <w:r>
              <w:rPr/>
              <w:t> </w:t>
            </w:r>
          </w:p>
        </w:tc>
        <w:tc>
          <w:tcPr>
            <w:tcW w:w="242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After base, may be renewed, extended or amended</w:t>
            </w:r>
          </w:p>
        </w:tc>
        <w:tc>
          <w:tcPr>
            <w:tcW w:w="146" w:type="dxa"/>
            <w:tcBorders/>
            <w:shd w:fill="CFF0FC" w:val="clear"/>
            <w:vAlign w:val="center"/>
          </w:tcPr>
          <w:p>
            <w:pPr>
              <w:pStyle w:val="TableContents"/>
              <w:bidi w:val="0"/>
              <w:spacing w:before="0" w:after="283"/>
              <w:jc w:val="left"/>
              <w:rPr/>
            </w:pPr>
            <w:r>
              <w:rPr/>
              <w:t> </w:t>
            </w:r>
          </w:p>
        </w:tc>
        <w:tc>
          <w:tcPr>
            <w:tcW w:w="13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Kentucky</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County</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46"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w:t>
            </w:r>
          </w:p>
        </w:tc>
        <w:tc>
          <w:tcPr>
            <w:tcW w:w="146"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Four, One-year</w:t>
            </w:r>
          </w:p>
        </w:tc>
        <w:tc>
          <w:tcPr>
            <w:tcW w:w="146"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w:t>
            </w:r>
          </w:p>
        </w:tc>
      </w:tr>
    </w:tbl>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Customer Legend:</w:t>
      </w:r>
    </w:p>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1111"/>
        <w:gridCol w:w="116"/>
        <w:gridCol w:w="5746"/>
      </w:tblGrid>
      <w:tr>
        <w:trPr/>
        <w:tc>
          <w:tcPr>
            <w:tcW w:w="11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1111" w:type="dxa"/>
            <w:tcBorders/>
            <w:vAlign w:val="center"/>
          </w:tcPr>
          <w:p>
            <w:pPr>
              <w:pStyle w:val="TableContents"/>
              <w:bidi w:val="0"/>
              <w:spacing w:before="0" w:after="283"/>
              <w:ind w:left="0" w:right="0" w:firstLine="30"/>
              <w:jc w:val="left"/>
              <w:rPr>
                <w:rFonts w:ascii="Times New Roman" w:hAnsi="Times New Roman"/>
                <w:b/>
                <w:color w:val="000000"/>
                <w:sz w:val="16"/>
                <w:u w:val="single"/>
              </w:rPr>
            </w:pPr>
            <w:r>
              <w:rPr>
                <w:rFonts w:ascii="Times New Roman" w:hAnsi="Times New Roman"/>
                <w:b/>
                <w:color w:val="000000"/>
                <w:sz w:val="16"/>
                <w:u w:val="single"/>
              </w:rPr>
              <w:t>Abbreviation</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rFonts w:ascii="Times New Roman" w:hAnsi="Times New Roman"/>
                <w:b/>
                <w:color w:val="000000"/>
                <w:sz w:val="16"/>
              </w:rPr>
            </w:pPr>
            <w:r>
              <w:rPr>
                <w:rFonts w:ascii="Times New Roman" w:hAnsi="Times New Roman"/>
                <w:b/>
                <w:color w:val="000000"/>
                <w:sz w:val="16"/>
              </w:rPr>
              <w:t>Customer</w:t>
            </w:r>
          </w:p>
        </w:tc>
      </w:tr>
      <w:tr>
        <w:trPr/>
        <w:tc>
          <w:tcPr>
            <w:tcW w:w="1111"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AL DOC</w:t>
            </w:r>
          </w:p>
        </w:tc>
        <w:tc>
          <w:tcPr>
            <w:tcW w:w="116" w:type="dxa"/>
            <w:tcBorders/>
            <w:shd w:fill="CFF0FC" w:val="cle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Alabama Department of Corrections</w:t>
            </w:r>
          </w:p>
        </w:tc>
      </w:tr>
      <w:tr>
        <w:trPr/>
        <w:tc>
          <w:tcPr>
            <w:tcW w:w="111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AK DOC</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Alaska Department of Corrections</w:t>
            </w:r>
          </w:p>
        </w:tc>
      </w:tr>
      <w:tr>
        <w:trPr/>
        <w:tc>
          <w:tcPr>
            <w:tcW w:w="1111"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AZ DOC</w:t>
            </w:r>
          </w:p>
        </w:tc>
        <w:tc>
          <w:tcPr>
            <w:tcW w:w="116" w:type="dxa"/>
            <w:tcBorders/>
            <w:shd w:fill="CFF0FC" w:val="cle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Arizona Department of Corrections</w:t>
            </w:r>
          </w:p>
        </w:tc>
      </w:tr>
      <w:tr>
        <w:trPr/>
        <w:tc>
          <w:tcPr>
            <w:tcW w:w="111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BOP</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Federal Bureau of Prisons</w:t>
            </w:r>
          </w:p>
        </w:tc>
      </w:tr>
      <w:tr>
        <w:trPr/>
        <w:tc>
          <w:tcPr>
            <w:tcW w:w="1111"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CDCR</w:t>
            </w:r>
          </w:p>
        </w:tc>
        <w:tc>
          <w:tcPr>
            <w:tcW w:w="116" w:type="dxa"/>
            <w:tcBorders/>
            <w:shd w:fill="CFF0FC" w:val="cle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California Department of Corrections &amp; Rehabilitation</w:t>
            </w:r>
          </w:p>
        </w:tc>
      </w:tr>
      <w:tr>
        <w:trPr/>
        <w:tc>
          <w:tcPr>
            <w:tcW w:w="111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FL DMS</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Florida Department of Management Services</w:t>
            </w:r>
          </w:p>
        </w:tc>
      </w:tr>
      <w:tr>
        <w:trPr/>
        <w:tc>
          <w:tcPr>
            <w:tcW w:w="1111"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GA DOC</w:t>
            </w:r>
          </w:p>
        </w:tc>
        <w:tc>
          <w:tcPr>
            <w:tcW w:w="116" w:type="dxa"/>
            <w:tcBorders/>
            <w:shd w:fill="CFF0FC" w:val="cle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Georgia Department of Corrections</w:t>
            </w:r>
          </w:p>
        </w:tc>
      </w:tr>
      <w:tr>
        <w:trPr/>
        <w:tc>
          <w:tcPr>
            <w:tcW w:w="111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ICE</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U.S. Immigration &amp; Customs Enforcement</w:t>
            </w:r>
          </w:p>
        </w:tc>
      </w:tr>
      <w:tr>
        <w:trPr/>
        <w:tc>
          <w:tcPr>
            <w:tcW w:w="1111"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IN DOC</w:t>
            </w:r>
          </w:p>
        </w:tc>
        <w:tc>
          <w:tcPr>
            <w:tcW w:w="116" w:type="dxa"/>
            <w:tcBorders/>
            <w:shd w:fill="CFF0FC" w:val="cle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Indiana Department of Correction</w:t>
            </w:r>
          </w:p>
        </w:tc>
      </w:tr>
      <w:tr>
        <w:trPr/>
        <w:tc>
          <w:tcPr>
            <w:tcW w:w="111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IGA</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Inter-governmental Agreement</w:t>
            </w:r>
          </w:p>
        </w:tc>
      </w:tr>
      <w:tr>
        <w:trPr/>
        <w:tc>
          <w:tcPr>
            <w:tcW w:w="1111"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NJ DOC</w:t>
            </w:r>
          </w:p>
        </w:tc>
        <w:tc>
          <w:tcPr>
            <w:tcW w:w="116" w:type="dxa"/>
            <w:tcBorders/>
            <w:shd w:fill="CFF0FC" w:val="cle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New Jersey Department of Corrections</w:t>
            </w:r>
          </w:p>
        </w:tc>
      </w:tr>
      <w:tr>
        <w:trPr/>
        <w:tc>
          <w:tcPr>
            <w:tcW w:w="111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NM DOC</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New Mexico Department of Corrections</w:t>
            </w:r>
          </w:p>
        </w:tc>
      </w:tr>
      <w:tr>
        <w:trPr/>
        <w:tc>
          <w:tcPr>
            <w:tcW w:w="1111"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NSW</w:t>
            </w:r>
          </w:p>
        </w:tc>
        <w:tc>
          <w:tcPr>
            <w:tcW w:w="116" w:type="dxa"/>
            <w:tcBorders/>
            <w:shd w:fill="CFF0FC" w:val="cle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Commissioner of Corrective Services for New South Wales, Australia</w:t>
            </w:r>
          </w:p>
        </w:tc>
      </w:tr>
      <w:tr>
        <w:trPr/>
        <w:tc>
          <w:tcPr>
            <w:tcW w:w="111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OK DOC</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Oklahoma Department of Corrections</w:t>
            </w:r>
          </w:p>
        </w:tc>
      </w:tr>
      <w:tr>
        <w:trPr/>
        <w:tc>
          <w:tcPr>
            <w:tcW w:w="1111"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PA DOC</w:t>
            </w:r>
          </w:p>
        </w:tc>
        <w:tc>
          <w:tcPr>
            <w:tcW w:w="116" w:type="dxa"/>
            <w:tcBorders/>
            <w:shd w:fill="CFF0FC" w:val="cle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Pennsylvania Department of Corrections</w:t>
            </w:r>
          </w:p>
        </w:tc>
      </w:tr>
      <w:tr>
        <w:trPr/>
        <w:tc>
          <w:tcPr>
            <w:tcW w:w="111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RSA DCS</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Republic of South Africa Department of Correctional Services</w:t>
            </w:r>
          </w:p>
        </w:tc>
      </w:tr>
      <w:tr>
        <w:trPr/>
        <w:tc>
          <w:tcPr>
            <w:tcW w:w="1111"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TDCJ</w:t>
            </w:r>
          </w:p>
        </w:tc>
        <w:tc>
          <w:tcPr>
            <w:tcW w:w="116" w:type="dxa"/>
            <w:tcBorders/>
            <w:shd w:fill="CFF0FC" w:val="cle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Texas Department of Criminal Justice</w:t>
            </w:r>
          </w:p>
        </w:tc>
      </w:tr>
      <w:tr>
        <w:trPr/>
        <w:tc>
          <w:tcPr>
            <w:tcW w:w="111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USMS</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United States Marshals Service</w:t>
            </w:r>
          </w:p>
        </w:tc>
      </w:tr>
      <w:tr>
        <w:trPr/>
        <w:tc>
          <w:tcPr>
            <w:tcW w:w="1111"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VA DOC</w:t>
            </w:r>
          </w:p>
        </w:tc>
        <w:tc>
          <w:tcPr>
            <w:tcW w:w="116" w:type="dxa"/>
            <w:tcBorders/>
            <w:shd w:fill="CFF0FC" w:val="clear"/>
            <w:vAlign w:val="center"/>
          </w:tcPr>
          <w:p>
            <w:pPr>
              <w:pStyle w:val="TableContents"/>
              <w:bidi w:val="0"/>
              <w:spacing w:before="0" w:after="283"/>
              <w:ind w:left="0" w:right="0" w:firstLine="30"/>
              <w:jc w:val="left"/>
              <w:rPr>
                <w:sz w:val="4"/>
                <w:szCs w:val="4"/>
              </w:rPr>
            </w:pPr>
            <w:r>
              <w:rPr>
                <w:sz w:val="4"/>
                <w:szCs w:val="4"/>
              </w:rPr>
            </w:r>
          </w:p>
        </w:tc>
        <w:tc>
          <w:tcPr>
            <w:tcW w:w="5746" w:type="dxa"/>
            <w:tcBorders/>
            <w:shd w:fill="CFF0FC" w:val="cle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Virginia Department of Corrections</w:t>
            </w:r>
          </w:p>
        </w:tc>
      </w:tr>
      <w:tr>
        <w:trPr/>
        <w:tc>
          <w:tcPr>
            <w:tcW w:w="1111"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VIC DOJ</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5746" w:type="dxa"/>
            <w:tcBorders/>
            <w:vAlign w:val="center"/>
          </w:tcPr>
          <w:p>
            <w:pPr>
              <w:pStyle w:val="TableContents"/>
              <w:bidi w:val="0"/>
              <w:spacing w:before="0" w:after="283"/>
              <w:ind w:left="30" w:right="0" w:firstLine="30"/>
              <w:jc w:val="left"/>
              <w:rPr>
                <w:rFonts w:ascii="Times New Roman" w:hAnsi="Times New Roman"/>
                <w:color w:val="000000"/>
                <w:sz w:val="20"/>
              </w:rPr>
            </w:pPr>
            <w:r>
              <w:rPr>
                <w:rFonts w:ascii="Times New Roman" w:hAnsi="Times New Roman"/>
                <w:color w:val="000000"/>
                <w:sz w:val="20"/>
              </w:rPr>
              <w:t>Department of Justice of the State of Victoria, Australia</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Capacity as used in the table refers to operational capacity consisting of total beds for all facilities.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GEO provides services at these facilities through various Inter-Governmental Agreements, or IGAs, through the various counties and other jurisdictions.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contract for this facility only required GEO to provide maintenance services and was terminated towards the end of 2022.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Colorado Day Reporting Centers provide many of the same services as the full-service Day Reporting Centers, but rather than providing these services through comprehensive treatment plans dictated by the governing authority, these services are provided on a fee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service basis. Such services may be connected to government agency contracts and would be reimbursed by those agencies. Other services are offered directly to offenders allowing them to meet court-ordered requirements and are paid by the offender as the service is provided.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GEO treats these facilities as owned due to GEO’s ownership of the facilities and improvements and the long-term ground leases GEO has in place for these facilities.</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Government Contracts — Terminations, Renewals and Competitive Re-bids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Generally, we may lose our facility management contracts due to one of three reasons: the termination by a government customer with or without cause at any time; the failure by a customer to renew a contract with us upon the expiration of the then current term; or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 See “Risk Factors — “We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Aside from our customers’ unilateral right to terminate our facility management contracts with them at any time for any reason, there are two points during the typical lifecycle of a contract which may result in the loss by us of a facility management contract with our customers. We refer to these points as contract “renewals” and contract “re-bids.” Many of our facility management contracts with our government customers have an initial fixed term and subsequent renewal rights for one or more additional periods at the unilateral option of the customer. We count each government customer’s right to renew a particular facility management contract for an additional period as a separate “renewal.” For example, a five-year initial fixed term contract with customer options to renew for five separate additional one-year periods would, if fully exercised, be counted as five separate renewals, with one renewal coming in each of the five years following the initial term. As of December 31, 2023, 30 of our facility management contracts representing approximately 16,000 beds are scheduled to expire on or before December 31, 2024, unless renewed by the customer at its sole option in certain cases, or unless renewed by mutual agreement in other cases. These contracts represented approximately 18% of our consolidated revenues for the year ended December 31, 2023. We undertake substantial efforts to renew our facility management contracts. On January 26, 2021, President Biden signed an executive order directing the United States Attorney General not to renew DOJ contracts with privately operated criminal detention facilities, as consistent with applicable law. Our average historical facility management contract renewal rate prior to President Biden’s executive order was approximately 90%. The executive order has led to several contract non-renewals as previously discussed. We cannot assure you that our customers will in fact exercise their renewal options under existing contracts. In addition, in connection with contract renewals, either we or the contracting government agency have typically requested changes or adjustments to contractual terms. As a result, contract renewals may be made on terms that are more or less favorable to us than those in existence prior to the renewals.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competitive re-bids as contracts currently under our management which we believe, based on our experience with the customer and the facility involved, will be re-bid to us and other potential service providers in a competitive procurement process upon the expiration or termination of our contract, assuming all renewal options are exercised. Our determination of which contracts we believe will be competitively re-bid may in some cases be subjective and judgmental, based largely on our knowledge of the dynamics involving a particular contract, the customer and the facility involved. Competitive re-bids may result from the expiration of the term of a contract, including the initial fixed term plus any renewal periods, or the early termination of a contract by a customer. Competitive re-bids are often required by applicable federal or state procurement laws periodically in order to encourage competitive pricing and other terms for the government customer. Potential bidders in competitive re-bid situations include us, other private operators and other government entities. While we are pleased with our historical win rate on competitive re-bids and are committed to continuing to bid competitively on appropriate future competitive re-bid opportunities, we cannot in fact assure you that we will prevail in future competitive re-bid situations. Also, we cannot assure you that any competitive re-bids we win will be on terms more favorable to us than those in existence with respect to the expiring contract.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26 of our facility management contracts may be subject to competitive re-bid in 2024. These contracts in the aggregate represented approximately 9% and approximately $200 million of our 2023 consolidated revenues. The following table sets forth the number of facility management contracts that we currently believe will be subject to competitive re-bid in each of the next five years and thereafter, and the total number of beds relating to those potential competitive re-bid situations during each period:</w:t>
      </w:r>
    </w:p>
    <w:p>
      <w:pPr>
        <w:pStyle w:val="TextBody"/>
        <w:bidi w:val="0"/>
        <w:jc w:val="left"/>
        <w:rPr/>
      </w:pPr>
      <w:r>
        <w:rPr/>
        <w:t> </w:t>
      </w:r>
    </w:p>
    <w:tbl>
      <w:tblPr>
        <w:tblW w:w="3091" w:type="dxa"/>
        <w:jc w:val="left"/>
        <w:tblInd w:w="0" w:type="dxa"/>
        <w:tblLayout w:type="fixed"/>
        <w:tblCellMar>
          <w:top w:w="28" w:type="dxa"/>
          <w:left w:w="28" w:type="dxa"/>
          <w:bottom w:w="28" w:type="dxa"/>
          <w:right w:w="28" w:type="dxa"/>
        </w:tblCellMar>
      </w:tblPr>
      <w:tblGrid>
        <w:gridCol w:w="946"/>
        <w:gridCol w:w="146"/>
        <w:gridCol w:w="185"/>
        <w:gridCol w:w="401"/>
        <w:gridCol w:w="146"/>
        <w:gridCol w:w="146"/>
        <w:gridCol w:w="165"/>
        <w:gridCol w:w="765"/>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Re-bid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 of</w:t>
              <w:br/>
              <w:t>Beds up for</w:t>
              <w:br/>
              <w:t>Re-bid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11,955</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compete primarily on the basis of the quality and range of services we offer; our experience domestically and internationally in the design, construction, and management of public-private partnerships for secure service facilities; our reputation; and our pricing. We compete directly with the public sector, where governmental agencies responsible for the operation of secure services, processing services, community-based services and reentry facilities are often seeking to retain projects that might otherwise become a public-private partnership. In the private sector, our U.S. Secure Services and International Services business segments compete with a number of companies, including, but not limited to: Core Civic; Management and Training Corporation; Emerald Companies; LaSalle Southwest Corrections; Group 4 Securicor; Sodexo Justice Services (formerly Kaylx); and Serco. Our Reentry Services and Electronic Monitoring and Supervision Services business segments compete with a number of different small-to-medium sized companies, reflecting the highly fragmented nature of the community-based services industry. BI’s electronic monitoring business competes with a number of companies, including, but not limited to: G4 Justice Services, LLC and 3M Electronic Monitoring, a 3M Company. Some of our competitors are larger and have more resources than we do. We also compete in some markets with small local companies that may have a better knowledge of the local conditions and may be better able to gain political and public acceptance.</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key human capital management objectives are to attract, retain and develop the highest quality talent. To support these objectives, the Company’s human resources programs are designed to develop talent to prepare them for critical roles and leadership positions for the future; reward and support employees through competitive pay, benefit, and perquisite programs; enhance the Company’s culture through efforts aimed at making the workplace more engaging and inclusive; acquire talent and facilitate internal talent mobility to create a high-performing, diverse workforce; and evolve and invest in technology, tools, and resources to enable employees at work.</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At December 31, 2023, we had approximately 16,400 full-time employees. Of our full-time employees, approximately 400 were employed at our corporate headquarters and regional offices and approximately 16,000 were employed at facilities and international offices. We employ personnel in positions of management, administrative and clerical, security, educational services, human resource services, health services and general maintenance at our various locations.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Approximately 6,600 and 1,500 employees are covered by collective bargaining agreements in the United States and at international offices, respectively. GEO welcomes the participation of labor unions in our facilities and respects the rights of individual employees to choose whether or not to join labor organizations. We actively participate in the collective bargaining process, negotiate in good faith and maintain excellent working relationships with each of the unions representing our employees. As a result, over the years, GEO has not experienced any significant or major labor actions, such as strikes or work stoppages.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Training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GEO has a robust training program for staff at all levels of the organization. Our training of managerial, administrative, and security staff is based on the standards set by the American Correctional Association. Training includes classroom learning, practical exercises, course examinations, and on-the-job training. GEO’s corporate policy also mandates that every new employee receive orientation training prior to undertaking any assignments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laws applicable to most of our operations, and internal company policies, our correctional officers are required to complete a minimum amount of training. We generally require at least 40 hours of pre-service training before an employee is allowed to assume their duties plus an additional 120 hours of training during their first year of employment in our domestic facilities, consistent with ACA standards and/or applicable state laws. In addition to the usual 160 hours of training in the first year, most states require 40 or 80 hours of on-the-job training. Florida law requires that correctional officers receive 520 hours of training. We believe that our training programs meet or exceed all applicable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training program for domestic facilities typically begins with approximately 40 hours of instruction regarding our policies, operational procedures and management philosophy. Training continues with an additional 120 hours of instruction covering legal issues, rights of individuals within our care, techniques of communication and supervision, interpersonal skills and job training relating to the particular position to be held. Each of our employees who has contact with individuals within our care receives a minimum of 40 hours of additional training each year, and each manager receives at least 24 hours of training each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least 160 hours of training are required for our employees in Australia and South Africa before such employees are allowed to work in positions that will bring them into contact with individuals within our care. Our employees in Australia and South Africa receive a minimum of 40 hours of refresher training each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respect to BI and the Intensive Supervision and Appearance Program (“ISAP”) services contract, new employees are required to complete training requirements as outlined in the contract within 14 days of hire and prior to being assigned autonomous ISAP related duties. These employees receive 25 hours of refresher training annually thereafter. Program managers for our ISAP contract must receive 24 hours of additional initial training. BI’s monitoring services maintains its own comprehensive certification and training program for all monitoring service specialists. We require all new personnel hired for a position in monitoring operations to complete a seven-week training program. Successful completion of our training program and a final certification is required of all of our personnel performing monitoring operations. We require that certification is achieved prior to being permitted to work independently in the call center.</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Health, wellness and employee resources</w:t>
      </w:r>
    </w:p>
    <w:p>
      <w:pPr>
        <w:pStyle w:val="TextBody"/>
        <w:bidi w:val="0"/>
        <w:jc w:val="left"/>
        <w:rPr>
          <w:rFonts w:ascii="Times New Roman" w:hAnsi="Times New Roman"/>
          <w:color w:val="000000"/>
          <w:sz w:val="20"/>
        </w:rPr>
      </w:pPr>
      <w:r>
        <w:rPr>
          <w:rFonts w:ascii="Times New Roman" w:hAnsi="Times New Roman"/>
          <w:color w:val="000000"/>
          <w:sz w:val="20"/>
        </w:rPr>
        <w:t xml:space="preserve">GEO’s benefit offerings are designed to meet the varied and evolving needs of a diverse workforce across businesses and geographies. GEO offers a comprehensive employee benefits program that is competitive for each of the various locations in which we operate across the United States which are designed to develop, attract and retain personnel. The variety of our benefit offerings is designed to provide individual employees with the flexibility to choose coverage options and benefits that best meet their needs and address their priorities.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Career Growth and Development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GEO employees and their family members (parent, spouse and child) are eligible to further pursue their educational goals by receiving reduced tuition rates on a variety of accredited on-line degree programs in business, education, healthcare and other disciplines provided at 14 different higher education institutions. A tuition reimbursement program is also available for GEO employees pursuing their education as they work to develop their skills and enhance their job performance. Tuition reimbursement is provided to eligible employees for courses offered by accredited colleges, universities, and secretarial and trade schools. Separately, GEO’s subsidiary, BI, offers an education assistance program to its full-time employees with at least one year of service. Employees who enroll in the program are eligible to receive up to $3,500 a year in tuition reimbursement.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Diversity and Inclusion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all areas of our business, GEO strives to achieve wider racial and ethnic diversity. Across our organization, under-represented minorities of the United States of America – including African Americans, Hispanic and Latino, Asian, Pacific Islander, Native Hawaiian and Native American/Alaskan – account for approximately 68% of our U.S. employees. Minorities comprise 43% of GEO’s corporate workforce, 73% of our facility security staff, and 32% of those serving in management positions as directors or above.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women comprise an equal portion of GEO’s U.S. workforce and play a significant role in our leadership and management. Women are also involved at the highest levels of our organization. Of the seven members of GEO’s Board of Directors in 2023, two are women.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Regulations and Legal Considerations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Many governmental agencies are required to enter into a competitive bidding procedure before awarding contracts for products or services. The laws of certain jurisdictions may also require us to award subcontracts on a competitive basis or to subcontract or partner with businesses owned by women or members of minority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states, such as Florida, deem correctional officers to be peace officers and require our personnel to be licensed and subject to background investigation. State law also typically requires correctional officers to meet certain training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failure to comply with any applicable laws, rules or regulations or the loss of any required license could have a material adverse effect on our business, financial condition and results of operations. Furthermore, our current and future operations may be subject to additional regulations as a result of, among other factors, new statutes and regulations and changes in the manner in which existing statutes and regulations are or may be interpreted or applied. Any such additional regulations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know of any existing environmental law, regulation nor condition that reasonably would be expected to have a material adverse effect on our business, capital expenditures or operating results. However, future changes to environmental laws and regulations may impact our operations and could result in increased costs.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Insurance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nature of our business exposes us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an escape of an individual in our care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 2021, GEO formed a wholly owned captive insurance subsidiary, Florina Insurance Company, Inc. (“Florina”), to enhance our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procuring insurance policies for its excess liability, directors’ and officers’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maintain a general liability policy and excess liability policies with total limits of $75.0 million per occurrence and $95.0 million total general liability annual aggregate limits covering the operations of U.S. Secure Services, Reentry Services and Electronic and Supervision Services. We have an occurrence based insurance program with a specific loss limit of $40.0 million per occurrence and in the aggregate related to medical professional liability claims arising out of correctional healthcare services. We are uninsured for any claims in excess of these limits. We also maintain insurance to cover property and other casualty risks including, workers’ compensation, environmental liability, cybersecurity liability and automobile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most casualty insurance policies, we carry substantial deductibles or self-insured retentions of $4.0 million per occurrence for general liability and $5 million per occurrence for medical professional liability, $2.0 million per occurrence for workers’ compensation, $2.5 million per occurrence for directors' and officers’ liability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its facilities to full replacement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operations in South Africa and Australia, we utilize a combination of locally-procured insurance and global policies to meet contractual insurance requirements and protect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Of the insurance policies discussed above, our most significant insurance reserves relate to workers’ compensation, general liability and auto claims. These reserves, which include Florina’s reserves and GEO’s legacy reserves, are undiscounted and were $65.6 million and $79.0 million as of December 31, 2023 and 2022, respectively, and are included in Accrued Expenses in the accompanying Consolidated Balance Sheets.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 related to insurance claims significantly differ from our estimates, our financial condition, results of operations and cash flows could be materially adversely impacted.</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International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international operations for fiscal years 2023, 2022 and 2021 consisted of the operations of our wholly-owned Australian subsidiary and South African Custodial Management Pty. Limited which we refer to as SACM and our consolidated joint venture in South Africa, which we refer to as SACS. In Australia, our wholly owned subsidiary, GEO Australia, currently manages three facilities. We operate one facility in South Africa through SACM. We also provide secure transportation services through our joint venture GEOAmey. See Item 7 for more discussion related to the results of our international operations. Financial information about our operations in different geographic regions appears in Note-14 Business Segments and Geographic Information in the notes to our audited consolidated financial statements included in Part II, Item 8 of this annual report on Form 10-K.</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Concentration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Except for the major customers noted in the following table, no other single customer made up greater than 10% of our consolidated revenues for these years.</w:t>
      </w:r>
    </w:p>
    <w:p>
      <w:pPr>
        <w:pStyle w:val="TextBody"/>
        <w:bidi w:val="0"/>
        <w:jc w:val="left"/>
        <w:rPr/>
      </w:pPr>
      <w:r>
        <w:rPr/>
        <w:t> </w:t>
      </w:r>
    </w:p>
    <w:tbl>
      <w:tblPr>
        <w:tblW w:w="6835" w:type="dxa"/>
        <w:jc w:val="left"/>
        <w:tblInd w:w="0" w:type="dxa"/>
        <w:tblLayout w:type="fixed"/>
        <w:tblCellMar>
          <w:top w:w="28" w:type="dxa"/>
          <w:left w:w="28" w:type="dxa"/>
          <w:bottom w:w="28" w:type="dxa"/>
          <w:right w:w="28" w:type="dxa"/>
        </w:tblCellMar>
      </w:tblPr>
      <w:tblGrid>
        <w:gridCol w:w="4141"/>
        <w:gridCol w:w="146"/>
        <w:gridCol w:w="147"/>
        <w:gridCol w:w="319"/>
        <w:gridCol w:w="271"/>
        <w:gridCol w:w="146"/>
        <w:gridCol w:w="147"/>
        <w:gridCol w:w="319"/>
        <w:gridCol w:w="271"/>
        <w:gridCol w:w="146"/>
        <w:gridCol w:w="147"/>
        <w:gridCol w:w="319"/>
        <w:gridCol w:w="31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agencies of the U.S. Federal Government: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Concentration of credit risk related to the major customer above for accounts receivable is as follows:</w:t>
      </w:r>
    </w:p>
    <w:p>
      <w:pPr>
        <w:pStyle w:val="TextBody"/>
        <w:bidi w:val="0"/>
        <w:spacing w:before="240" w:after="283"/>
        <w:jc w:val="left"/>
        <w:rPr/>
      </w:pPr>
      <w:r>
        <w:rPr/>
        <w:t> </w:t>
      </w:r>
    </w:p>
    <w:tbl>
      <w:tblPr>
        <w:tblW w:w="5907" w:type="dxa"/>
        <w:jc w:val="left"/>
        <w:tblInd w:w="0" w:type="dxa"/>
        <w:tblLayout w:type="fixed"/>
        <w:tblCellMar>
          <w:top w:w="28" w:type="dxa"/>
          <w:left w:w="28" w:type="dxa"/>
          <w:bottom w:w="28" w:type="dxa"/>
          <w:right w:w="28" w:type="dxa"/>
        </w:tblCellMar>
      </w:tblPr>
      <w:tblGrid>
        <w:gridCol w:w="4096"/>
        <w:gridCol w:w="146"/>
        <w:gridCol w:w="147"/>
        <w:gridCol w:w="319"/>
        <w:gridCol w:w="271"/>
        <w:gridCol w:w="146"/>
        <w:gridCol w:w="147"/>
        <w:gridCol w:w="319"/>
        <w:gridCol w:w="31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agencies of the U.S Federal Government: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concentrations above relate primarily to the Company's U.S. Secure Services and its Electronic Monitoring Supervision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our ISAP contract accounted for 14%, 17% and 8% of our consolidated revenues for the years ended December 31, 2023, 2022 and 2021, respectively.</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Additional information about us can be found at </w:t>
      </w:r>
      <w:r>
        <w:rPr>
          <w:rFonts w:ascii="Times New Roman" w:hAnsi="Times New Roman"/>
          <w:i/>
          <w:color w:val="000000"/>
          <w:sz w:val="20"/>
        </w:rPr>
        <w:t>www.geogroup.com.</w:t>
      </w:r>
      <w:r>
        <w:rPr>
          <w:rFonts w:ascii="Times New Roman" w:hAnsi="Times New Roman"/>
          <w:color w:val="000000"/>
          <w:sz w:val="20"/>
        </w:rPr>
        <w:t xml:space="preserve"> We make available on our website, free of charge, access to our Annual Report on Form 10-K, Quarterly Reports on Form 10-Q, Current Reports on Form 8-K, our annual proxy statement on Schedule 14A and amendments to those materials filed or furnished pursuant to Section 13(a) or 15(d) of the Securities Exchange Act of 1934, as amended, as soon as reasonably practicable after we electronically submit such materials to the Securities and Exchange Commission, or the SEC. In addition, the SEC makes available on its website, free of charge, reports, proxy and information statements, and other information regarding issuers that file electronically with the SEC, including GEO. The SEC’s website is located at http://www.sec.gov. Information provided on our website or on the SEC’s website is not part of this Annual Report on Form 10-K.</w:t>
      </w:r>
    </w:p>
    <w:p>
      <w:pPr>
        <w:pStyle w:val="TextBody"/>
        <w:bidi w:val="0"/>
        <w:jc w:val="left"/>
        <w:rPr/>
      </w:pPr>
      <w:r>
        <w:rPr/>
        <w:t> </w:t>
      </w:r>
    </w:p>
    <w:p>
      <w:pPr>
        <w:pStyle w:val="TextBody"/>
        <w:bidi w:val="0"/>
        <w:jc w:val="left"/>
        <w:rPr/>
      </w:pPr>
      <w:r>
        <w:rPr/>
        <w:t> </w:t>
      </w:r>
    </w:p>
    <w:p>
      <w:pPr>
        <w:pStyle w:val="TextBody"/>
        <w:bidi w:val="0"/>
        <w:spacing w:before="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5" w:name="item_1a_risk_factors"/>
      <w:bookmarkEnd w:id="5"/>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p>
    <w:p>
      <w:pPr>
        <w:pStyle w:val="TextBody"/>
        <w:bidi w:val="0"/>
        <w:spacing w:before="270" w:after="283"/>
        <w:jc w:val="left"/>
        <w:rPr>
          <w:rFonts w:ascii="Times New Roman" w:hAnsi="Times New Roman"/>
          <w:sz w:val="20"/>
        </w:rPr>
      </w:pPr>
      <w:r>
        <w:rPr>
          <w:rFonts w:ascii="Times New Roman" w:hAnsi="Times New Roman"/>
          <w:b/>
          <w:i/>
          <w:color w:val="000000"/>
          <w:sz w:val="20"/>
        </w:rPr>
        <w:t>Summary of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risk factors summarized and detailed below could materially adversely affect our business, financial condition, or results of operations, impair our future prospects and/or cause the price of our common stock to decline. Additional risks not currently known to us or those we currently deem to be immaterial may also materially and adversely affect our business operations. Material risks that may affect our business, operating results and financial condition include, but are not necessarily limited to, those relating to:</w:t>
      </w:r>
    </w:p>
    <w:p>
      <w:pPr>
        <w:pStyle w:val="TextBody"/>
        <w:bidi w:val="0"/>
        <w:spacing w:before="270" w:after="283"/>
        <w:jc w:val="left"/>
        <w:rPr>
          <w:rFonts w:ascii="Times New Roman" w:hAnsi="Times New Roman"/>
          <w:sz w:val="20"/>
        </w:rPr>
      </w:pPr>
      <w:r>
        <w:rPr>
          <w:rFonts w:ascii="Times New Roman" w:hAnsi="Times New Roman"/>
          <w:b/>
          <w:i/>
          <w:color w:val="000000"/>
          <w:sz w:val="20"/>
        </w:rPr>
        <w:t>Risks Related to Public-Private Partnerships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and political opposition to the use of public-private partnerships could have a material adverse effect on our business.</w:t>
      </w:r>
    </w:p>
    <w:p>
      <w:pPr>
        <w:pStyle w:val="TextBody"/>
        <w:bidi w:val="0"/>
        <w:spacing w:before="270" w:after="283"/>
        <w:jc w:val="left"/>
        <w:rPr>
          <w:rFonts w:ascii="Times New Roman" w:hAnsi="Times New Roman"/>
          <w:sz w:val="20"/>
        </w:rPr>
      </w:pPr>
      <w:r>
        <w:rPr>
          <w:rFonts w:ascii="Times New Roman" w:hAnsi="Times New Roman"/>
          <w:b/>
          <w:i/>
          <w:color w:val="000000"/>
          <w:sz w:val="20"/>
        </w:rPr>
        <w:t>Risks Related to Our High Level of Indebtedness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level of indebtedness could adversely affect our financial condition and prevent us from fulfilling our debt service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still incur more indebtedness which could further exacerbate the risks we face.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borrowing costs and access to capital and credit markets could be adversely affected by a downgrade or potential downgrade of our credit ratings.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covenants in the indentures governing our outstanding second lien notes, senior notes and our exchange credit agreement impose significant operating and financial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Servicing our indebtedness will require a significant amount of cash.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interest rates would adversely affect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distributions from our subsidiaries to make payments on our indebtedness.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Our Business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or a significant decrease in revenues from, our limited number of customers could seriously harm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occupancy levels or participation in ISAP could cause a decrease in revenues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budgetary constraints may have a material adverse impact on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our facility management contracts could adversely affect our results of operations and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growth depends on our ability to secure contracts to develop and manage new secure facilities, processing centers, and community based facilities and to secure contracts to provide electronic monitoring services, community based reentry services and monitoring and supervisions services, the demand for which is outside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for contracts may adversely affect the profitability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government appropriations.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may negatively impact our ability to retain existing contracts and obtain new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significant start-up and operating costs on new contracts before receiving related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Catastrophic events could disrupt operations and otherwise materially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operations expose us to risks that could materially adversely affect our financial conditions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our senior management and our ability to attract and retain sufficient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in our relationship with our employees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profitability may be adversely affected by inflation.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Taxes and our Corporate Tax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obligations to pay income taxes have increased beginning with our income taxes for the year ended December 31, 2021.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realize the anticipated benefits of terminating our REIT election and becoming a taxable C Corporation for our fiscal year ended December 31, 2021 or those benefits may take longer to realize than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and local tax rules can adversely impact our results of operations and financial position.</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Real Estate and Construction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risks associated with the ownership of real estate may adversely affect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facility construction and development activities may increase our costs.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the Capital Markets and its Impact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conditions in the capital markets could prevent us from obtaining financing.</w:t>
      </w:r>
    </w:p>
    <w:p>
      <w:pPr>
        <w:pStyle w:val="TextBody"/>
        <w:bidi w:val="0"/>
        <w:spacing w:before="270" w:after="283"/>
        <w:jc w:val="left"/>
        <w:rPr>
          <w:rFonts w:ascii="Times New Roman" w:hAnsi="Times New Roman"/>
          <w:sz w:val="20"/>
        </w:rPr>
      </w:pPr>
      <w:r>
        <w:rPr>
          <w:rFonts w:ascii="Times New Roman" w:hAnsi="Times New Roman"/>
          <w:b/>
          <w:i/>
          <w:color w:val="000000"/>
          <w:sz w:val="20"/>
        </w:rPr>
        <w:t>Risks Related to our Electronic Monitoring Products and Technology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changes could cause our electronic monitoring products and technology to become obsolete or require a redesign.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negative changes in the level of acceptance of or resistance to the use of electronic monitoring products and services by government customers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electronic monitoring products and services could be harmed due to our dependence on a limited number of third-party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acquire, protect or maintain our intellectual property could harm our ability to compete or grow.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electronic monitoring products could infringe on the intellectual property rights of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costly product liability claims from the use of our electronic monitoring products.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Information Technology and Cybersecurity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delay or failure of the provision of our services or information systems could adversely affect our business.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Acquisitions and Dispositions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successfully identify or consummate acquisitions or dispositions.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goodwill or other intangible assets may become impaired.</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Legal, Regulatory and Compliance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regulations and contractual requirements could have a material adverse effect.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expose us to various liabilities for which we may not have adequate insurance, including legal claims and proceedings, and may have a material adverse effect on our business, financial condition or results of operations.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Corporate Social Responsibility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risks related to corporate social responsibility.</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vary substantially.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or issuances of shares of our common stock could adversely affect the market price of our common stock and may be dilutive to current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maintain effective internal controls in accordance with Section 404 of the Sarbanes-Oxley Act of 2002 could have an adverse effect on our business and the trading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could be negatively affected as a result of the actions of activist or hostile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“short squeeze” due to a sudden increase in demand for shares of our common stock that largely exceeds supply has led to, and may continue to lead to, extreme price volatility in shares of our common stock.</w:t>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The following are certain risks to which our business operations are subject. Any of these risks could materially adversely affect our business, financial condition, or results of operations. These risks could also cause our actual results to differ materially from those indicated in the forward-looking statements contained herein and elsewhere. </w:t>
      </w:r>
      <w:r>
        <w:rPr>
          <w:rFonts w:ascii="Times New Roman" w:hAnsi="Times New Roman"/>
          <w:i/>
          <w:color w:val="000000"/>
          <w:sz w:val="20"/>
        </w:rPr>
        <w:t>The risks described below are not the only risks we face. Additional risks not currently known to us or those we currently deem to be immaterial may also materially and adversely affect our business operations.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Risks Relating to Public-Private Partnerships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Public and political opposition to the use of public-private partnerships for secure facilities,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management and operation of secure facilities, processing centers and community reentry centers under public-private partnerships has not achieved complete acceptance by either government agencies or the public. Some governmental agencies have limitations on their ability to delegate their traditional management responsibilities for such facilities and centers to private sector companies or they may be instructed by a governmental agency or authority overseeing them to reduce their utilization or scope of public-private partnerships or undertake additional reviews of their public-private partnerships. Any report prepared by or requested by a governmental agency or public official, investigation or inquiry, public statement by any governmental agency or public official, policy or legislative change by any federal, state or local government, or other similar occurrence or action, that seeks to, or purports to, prohibit, eliminate, or otherwise restrict or limit in any way, the federal government’s (or any state or local government’s) ability to contract with private sector companies for the operation of these facilities and centers, could adversely impact our ability to maintain or renew existing contracts or to obtain new contracts.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26, 2021, President Biden signed an Executive Order directing the United States Attorney General not to renew Department of Justice contracts with privately operated criminal detention facilities. Two agencies of the DOJ, the BOP and USMS, utilize our services. The BOP houses inmates who have been convicted, and the USMS is generally responsible for detainees who are awaiting trial. As a result of the Executive Order, the majority of our contracts with the BOP have not been renewed. With respect to the USMS, it may determine to conduct a review of the possible application of the Executive Order on their facilities acquired primarily through intergovernmental agreements, and to a lesser extent, direct contracts. President Biden’s administration or a future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w:t>
      </w:r>
    </w:p>
    <w:p>
      <w:pPr>
        <w:pStyle w:val="TextBody"/>
        <w:bidi w:val="0"/>
        <w:jc w:val="left"/>
        <w:rPr>
          <w:rFonts w:ascii="Times New Roman" w:hAnsi="Times New Roman"/>
          <w:color w:val="000000"/>
          <w:sz w:val="20"/>
        </w:rPr>
      </w:pPr>
      <w:r>
        <w:rPr>
          <w:rFonts w:ascii="Times New Roman" w:hAnsi="Times New Roman"/>
          <w:color w:val="000000"/>
          <w:sz w:val="20"/>
        </w:rPr>
        <w:t xml:space="preserve">Various state partners have or may choose in the future to undertake a review of their utilization of public-private partnerships. For </w:t>
      </w:r>
    </w:p>
    <w:p>
      <w:pPr>
        <w:pStyle w:val="TextBody"/>
        <w:bidi w:val="0"/>
        <w:jc w:val="left"/>
        <w:rPr>
          <w:rFonts w:ascii="Times New Roman" w:hAnsi="Times New Roman"/>
          <w:color w:val="000000"/>
          <w:sz w:val="20"/>
        </w:rPr>
      </w:pPr>
      <w:r>
        <w:rPr>
          <w:rFonts w:ascii="Times New Roman" w:hAnsi="Times New Roman"/>
          <w:color w:val="000000"/>
          <w:sz w:val="20"/>
        </w:rPr>
        <w:t>example, California enacted legislation aimed at phasing out public-private partnership contracts for the operation of secure facilities within California and facilities outside of the state of California housing state of California inmates. We have public-private partnership contracts in place with ICE and the U.S. Marshals Service relating to facilities located in California. Also, the State of Washington has enacted legislation similar to the California law. Although GEO was able to prevail in legal actions challenging the constitutionality of such laws in California and Washington, these or other states may propose or adopt similar laws in the future.</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the movement toward using public-private partnerships for such facilities and centers has encountered resistance from groups which believe that such facilities and centers should only be operated by governmental agencies. For example, several financial institutions, including some of our lenders, had announced that they will not be renewing existing agreements or entering into new agreements with companies that operate such facilities and centers pursuant to public-private partnerships. Some of these same institutions have ceased their equity analyst coverage of our company. Proposed and future legislation could indirectly impose additional financial restrictions with respect to our business. As an example, the New York State Legislation is considering a proposed bill that prohibits New York state chartered banking institutions from investing in and providing financing for privately operated secure facilities. If this bill is ultimately signed into law by the New York governor, certain banks may be restricted from conducting financing activities with us and the secure services sector generally. This bill or any similar bills, regulations and laws that may be proposed in the future may be subject to legal actions and the resolution of such legal actions may take several years, making it difficult to anticipate the overall financial impact on us, our business, financial condition or results of operations. If other financial institutions or third parties that currently provide us with financing or that we do business with decide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future to cease providing us with financing or doing business with us, such determinations could have a material adverse effect on our business, financial condition and results of operations.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Increased public and political opposition to the use of public-private partnerships for our facilities and centers in any of the markets in which we operate, as a result of these or other factors, could have a material adverse effect on our business, financial condition, results of operations and the market price of our securities.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Risks Related to Our High Level of Indebtedness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level of indebtedness could adversely affect our financial condition and prevent us from fulfilling our debt service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significant amount of indebtedness. Our total consolidated indebtedness as of December 31, 2023 and 2022 was approximately $1.8 billion and $2.0 billion, respectively, excluding finance lease obligations of $1.3 million and $2.0 million, for the years ended December 31, 2023 and 2022, respectively. As of December 31, 2023 and 2022, we had $75.8 million and $77.6 million, respectively, outstanding in letters of credit and zero and $30.0 million, respectively, in borrowings outstanding under our revolver. As of December 31, 2023, we had the ability to borrow $189.2 million under our revolver, after applying the limitations and restrictions in our debt covenants and subject to our satisfying the relevant borrowing conditions under our senior credit facility with respect to the incurrence of additional indebtedness. At December 31, 2023, we also had approximately AUD 53 million (or $36.1 million based on exchange rates at December 31, 2023) in letters of credit outstanding under our Australian letter of credit facility in connection with certain performance guarantees related to the Ravenhall Prison Project.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substantial indebtedness could have important consequences. For example, it could: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make it more difficult for us to satisfy our obligations with respect to our senior notes and our other debt and liabilities;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require us to dedicate a substantial portion of our cash flow from operations to payments on our indebtedness, thereby reducing the availability of our cash flow to fund working capital, capital expenditures, and other general corporate purposes;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the industry in which we operate;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increase our vulnerability to adverse economic and industry conditions;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place us at a competitive disadvantage compared to competitors that may be less leveraged;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restrict us from pursuing strategic acquisitions or exploiting certain business opportunities;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 our ability to borrow additional funds or refinance existing indebtedness on favorable terms;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require us to sell assets or take other actions to service our debt obligations.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are unable to meet our debt service obligations, we may need to reduce capital expenditures, restructure or refinance our indebtedness, obtain additional equity financing or sell assets. The term loans and revolving credit commitments under our exchange credit agreement mature in March 2027. Our 10.500% Public Second Lien Notes and our 9.500% Private Second Lien Notes mature in June 2028 and December 2028, respectively. Additionally, our outstanding three series of senior notes mature in October 2024 (these notes will be redeemed in March 2024), February 2026 and April 2026. Beginning in 2019, several financial institutions, including some of our lenders under our senior credit facility, announced that they will not be renewing existing agreements or entering into new agreements with companies that operate secure services facilities and centers pursuant to public-private partnerships. We may not continue to have access to the debt and capital markets on a cost-effective basis, or at all. Certain lenders also have publicly disclosed that they will no longer loan money to one of our key competitors. Although we successfully closed on a debt restructuring transaction that resulted in entering into our exchange credit agreement and the issuance of the second lien notes, financial institutions may be unwilling to engage with us in the future and this may restrict our access to the debt and capital markets to support our operations or refinance our indebtedness, including by obtaining debt financing, equity financing or selling assets on satisfactory terms, or at all. This could materially increase the cost of capital and as a result have a material adverse effect on our business, financial condition and results of operations. In addition, our ability to incur additional indebtedness will be restricted by the terms of our exchange credit agreement, and the indentures governing our 10.500% Public Second Lien Notes due 2028, 9.500% Private Second Lien Notes, 6.50% Exchangeable Senior Notes and the 6.00% Senior Notes.</w:t>
      </w:r>
    </w:p>
    <w:p>
      <w:pPr>
        <w:pStyle w:val="TextBody"/>
        <w:bidi w:val="0"/>
        <w:jc w:val="left"/>
        <w:rPr>
          <w:rFonts w:ascii="Times New Roman" w:hAnsi="Times New Roman"/>
          <w:b/>
          <w:i/>
          <w:color w:val="000000"/>
          <w:sz w:val="20"/>
        </w:rPr>
      </w:pPr>
      <w:r>
        <w:rPr>
          <w:rFonts w:ascii="Times New Roman" w:hAnsi="Times New Roman"/>
          <w:b/>
          <w:i/>
          <w:color w:val="000000"/>
          <w:sz w:val="20"/>
        </w:rPr>
        <w:t>We are incurring significant indebtedness in connection with substantial ongoing capital expenditures. Capital expenditures for existing and future projects may materially strain our liquidity.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have several active projects that we anticipate spending approximately $70 to $80 million on capital expenditures in 2024. Included in these projects are planned expenditures in our Electronic Monitoring and Supervision Services segment related to technology. Of these projects, we estimate that $48 to $52 million are related to facility maintenance costs. We intend to finance these and future projects using our own funds, including cash on hand, cash flow from operations and borrowings under the revolver. In addition to these current estimated capital requirements for 2024, we are currently in the process of bidding on, or evaluating potential bids for the design, construction and management of a number of new projects. In the event that we win bids for these projects and decide to self-finance their construction, our capital requirements in 2024 could materially increase. As of December 31, 2023, we had the ability to borrow $189.2 million under the revolver after applying the limitations and restrictions in our debt covenants and subject to our satisfying the relevant borrowing conditions under the senior credit facility. In addition, we have the ability to increase the senior credit facility by an additional $450 million, subject to lender demand and prevailing market conditions and satisfying the relevant borrowing conditions thereunder. While we believe we currently have adequate borrowing capacity under our senior credit facility to fund our operations and all of our committed capital expenditure projects, we may need additional borrowings or financing from other sources in order to complete potential capital expenditures related to new projects in the future. We cannot assure you that such borrowings or financing will be made available to us on satisfactory terms, or at all. In addition, the large capital commitments that these projects will require over the next 12-18 month period may materially strain our liquidity and our borrowing capacity for other purposes. Capital constraints caused by these projects may also cause us to have to entirely refinance our existing indebtedness or incur more indebtedness. Such financing may have terms less favorable than those we currently have in place, or not be available to us at all. In addition, the concurrent development of these and other large capital projects exposes us to material risks. For example, we may not complete some or all of the projects on time or on budget, which could cause us to absorb any losses associated with any delays.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Despite current indebtedness levels, we may still incur more indebtedness, which could further exacerbate the risks described above.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terms of the indentures governing the 10.500% Public Second Lien Notes, 9.500% Private Second Lien Notes, 6.50% Exchangeable Senior Notes and the 6.00% Senior Notes, and our exchange credit agreement restricts our ability to incur, but do not prohibit us from incurring, significant additional indebtedness in the future. As of December 31, 2023, we had the ability to borrow an additional $189.2 million under the revolver portion of our exchange credit agreement after applying the limitations and restrictions in our debt covenants and subject to our satisfying the relevant borrowing conditions under the senior credit facility. Also, we may refinance all or a portion of our indebtedness, including borrowings under our exchange credit agreement, the 10.500% Public Second Lien Notes, 9.500% Private Second Lien Notes, 6.50% Exchangeable Senior Notes and the 6.00% Senior Notes. The terms of such refinancing may be less restrictive and permit us to incur more indebtedness than we can now. If new indebtedness is added to our and our subsidiaries’ current debt levels, the related risks that we and they now face related to our significant level of indebtedness could intensify.</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Our borrowing costs and access to capital and credit markets could be adversely affected by a downgrade or potential downgrade of our credit ratings.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Rating agencies routinely evaluate us, and their ratings of our long-term and short-term debt are based upon a number of factors, including our cash generating capability, levels of indebtedness, policies with respect to shareholder distributions and financial strength generally, as well as factors beyond our control, such as the then-current state of the economy and our industry generally. Any downgrade of our credit ratings by a credit rating agency, whether as a result of our actions or factors which are beyond our control, can increase our future borrowing costs, impair our ability to access capital and credit markets on 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pStyle w:val="TextBody"/>
        <w:bidi w:val="0"/>
        <w:spacing w:before="0" w:after="24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The covenants in the indentures governing the 10.500% Public Second Lien Notes, 9.500% Private Second Lien Notes, 6.50% Exchangeable Senior Notes, and the 6.00% Senior Notes and the covenants in our Exchange Credit Agreement impose significant operating and financial restrictions which may adversely affect our ability to operate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indentures governing the 10.500% Public Second Lien Notes, 9.500% Private Second Lien Notes, 6.50% Exchangeable Senior Notes, and the 6.00% Senior Notes and our Exchange Credit Agreement impose significant operating and financial restrictions on us and certain of our subsidiaries, which we refer to as restricted subsidiaries. These restrictions limit our ability to, among other things:</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pay dividends and or distributions on our capital stock, repurchase, redeem or retire our capital stock, prepay subordinated indebtedness, make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issue preferred stock of subsidiaries;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guarantee other indebtedness;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create liens on our assets;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transfer and sell assets;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make capital expenditures above certain limits;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create or permit restrictions on the ability of our restricted subsidiaries to pay dividends or make other distributions to us;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enter into sale/leaseback transactions;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enter into transactions with affiliates;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merge or consolidate with another company or sell all or substantially all of our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restrictions could limit our ability to finance our future operations or capital needs, make acquisitions or pursue available business opportunities. In addition, our Exchange Credit Agreement requires us to maintain specified financial ratios and satisfy certain financial covenants, including maintaining a maximum total leverage ratio, a maximum first lien coverage ratio, a minimum interest coverage ratio and a cap on the amount of unrestricted cash that our foreign subsidiaries may hold as of the last day of any fiscal quarter. We may be required to take action to reduce our indebtedness or to act in a manner contrary to our business objectives to meet these ratios and satisfy these covenants. We could also incur additional indebtedness having even more restrictive covenants. Our failure to comply with any of the covenants under our Exchange Credit Agreement, our senior credit facility, the 10.500% Public Second Lien Notes, 9.500% Private Second Lien Notes, 6.50% Exchangeable Senior Notes, the 6.00% Senior Notes, the 5.875% Senior Notes, or any other indebtedness could prevent us from being able to draw on the Revolver, cause an event of default under such documents and result in an acceleration of all of our outstanding indebtedness. If all of our outstanding indebtedness were to be accelerated, we likely would not be able to simultaneously satisfy all of our obligations under such indebtedness, which would materially adversely affect our financial condition and results of operations.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Servicing our indebtedness will require a significant amount of cash. Our ability to generate cash depends on many factors beyond our control and we may not be able to generate the cash required to service our indebtedness.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make payments on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may not be able to generate sufficient cash flow from operations or future borrowings may not be available to us under our Exchange Credit Agreement or senior credit facility or otherwise in an amount sufficient to enable us to pay our indebtedness or debt securities, including the 10.500% Public Second Lien Notes, 9.500% Private Second Lien Notes, 6.50% Exchangeable Senior Notes and the 6.00% Senior Notes, or to fund our other liquidity needs. As a result, we may need to refinance all or a portion of our indebtedness on or before maturity. However, we may not be able to complete such refinancing on commercially reasonable terms or at all. If for any reason we are unable to meet our debt service obligations, we would be in default under the terms of the agreements governing our outstanding debt. If such a default were to occur, the lenders under the Exchange Credit Agreement, and holders of the 10.500% Public Second Lien Notes, 9.500% Private Second Lien Notes, 6.50% Exchangeable Senior Notes and the 6.00% Senior Notes could elect to declare all amounts outstanding immediately due and payable, and the lenders would not be obligated to continue to advance funds under the Exchange Credit Agreement or senior credit facility. If the amounts outstanding under the Exchange Credit Agreement, the senior credit facility or other agreements governing our outstanding debt, were accelerated, our assets may not be sufficient to repay in full the money owed to our lenders and holders of the 10.500% Public Second Lien Notes, 9.500% Private Second Lien Notes, 6.50% Exchangeable Senior Notes and the 6.00% Senior Notes and any other debt holders.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Because portions of our senior indebtedness have floating interest rates, an increase in interest rates would adversely affect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Borrowings under our Exchange Credit Agreement bear interest at a variable rate using a spread over SOFR. As a result, to the extent our exposure to increases in interest rates is not eliminated through interest rate protection agreements, such increases will result in higher debt service costs which will adversely affect our cash flows. We currently do not have interest rate protection agreements in place to protect against interest rate fluctuations on borrowings under our Exchange Credit Agreement. As of December 31, 2023, we had $906.7 million of indebtedness outstanding under our Exchange Credit Agreement, and a one percent increase in the interest rate applicable to our Exchange Credit Agreement would increase our annual interest expense by approximately $9 million.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We depend on distributions from our subsidiaries to make payments on our indebtedness. These distributions may not be made.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substantial portion of our business is conducted by our subsidiaries. Therefore, our ability to meet our payment obligations on our indebtedness is substantially dependent on the earnings of certain of our subsidiaries and the payment of funds to us by our subsidiaries as dividends, loans, advances or other payments. Our subsidiaries are separate and distinct legal entities and, unless they expressly guarantee any indebtedness of ours, they are not obligated to make funds available for payment of our indebtedness in the form of loans, distributions or otherwise. Our subsidiaries’ ability to make any such loans, distributions or other payments to us will depend on their earnings, business results, the terms of their existing and any future indebtedness, tax considerations and legal or contractual restrictions to which they may be subject. If our subsidiaries do not make such payments to us, our ability to repay our indebtedness may be materially adversely affected. For the year ended December 31, 2023, our subsidiaries accounted for 57.3% of our consolidated revenues, and as of December 31, 2023, our subsidiaries accounted for 92.5 % of our total assets.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We may not be able to satisfy our repurchase obligations in the event of a change of control or fundamental change because the terms of our indebtedness or lack of funds may prevent us from doing so.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a change of control as specified in the indentures governing the terms of our second lien notes and senior notes, each holder of the 10.500% Public Second Lien Notes, 9.500% Private Second Lien Notes, 6.50% Exchangeable Senior Notes and the 6.00% Senior Notes will have the right to require us to repurchase their notes at 101% of their principal amount, plus accrued and unpaid interest, and liquidated damages, if any, to the date of repurchase. Upon a fundamental change as specified in the indenture governing the terms of the 6.50% Exchangeable Senior Notes, each holder of the 6.50% Exchangeable Senior Notes will have the right to require us to purchase for cash any or all of their notes at a purchase price equal to 100% of the principal amount of the notes to be purchased, plus accrued and unpaid interest. In addition, upon exchange of the 6.50% Exchangeable Senior Notes, we may be required to make cash payments in respect of the notes being exchanged. The terms of the Exchange Credit Agreement limit our ability to repurchase the notes in the event of a change of control or fundamental change. Any future agreement governing any of our indebtedness may contain similar restrictions and provisions. Accordingly, it is possible that restrictions in the Exchange Credit Agreement and senior credit facility or other indebtedness that may be incurred in the future will not allow the required repurchase of the 10.500% Public Second Lien Notes, 9.500% Second Lien Notes, 6.50% Exchangeable Senior Notes and the 6.00% Senior Notes upon a change of control or fundamental change. Even if such repurchase is permitted by the terms of our then existing indebtedness, we may not have sufficient funds available to satisfy our repurchase obligations. Our failure to purchase any of the second lien notes and senior notes would be a default under the indenture governing such notes, which in turn would trigger a default under the Exchange Credit Agreement and the indentures governing the other second lien notes and senior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conditional exchange features of the 6.50% Exchangeable Senior Notes, if triggered, may adversely affect our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one of the exchange contingencies of the 6.50% Exchangeable Senior Notes is triggered, holders of the 6.50% Exchangeable Senior Notes will be entitled to exchange the 6.50% Exchangeable Senior Notes at any time during specified periods. If one or more holders elect to exchange their 6.50% Exchangeable Senior Notes, we would be required to settle a portion of or all of our exchange obligation through the payment of cash, which could adversely affect our liquidity and various aspects of our business (including our credit ratings and the trading price of the 6.50% Exchangeable Senior Notes). In addition, even if holders do not elect to exchange their 6.50% Exchangeable Senior Notes , we could be required under applicable accounting rules to reclassify all or a portion of the outstanding principal of the 6.50% Exchangeable Senior Notes as a current rather than long-term liability, which would result in a material reduction of our net working capital.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second lien notes and the related guarantees are effectively subordinated to our and our subsidiary guarantors’ current senior secured indebtedness that is secured by a first-priority lien on the collateral to the extent of the value of the collateral and structurally subordinated to the indebtedness of our subsidiaries that do not guarantee the second lien notes.</w:t>
      </w:r>
    </w:p>
    <w:p>
      <w:pPr>
        <w:pStyle w:val="TextBody"/>
        <w:bidi w:val="0"/>
        <w:jc w:val="left"/>
        <w:rPr>
          <w:rFonts w:ascii="Times New Roman" w:hAnsi="Times New Roman"/>
          <w:color w:val="000000"/>
          <w:sz w:val="20"/>
        </w:rPr>
      </w:pPr>
      <w:r>
        <w:rPr>
          <w:rFonts w:ascii="Times New Roman" w:hAnsi="Times New Roman"/>
          <w:color w:val="000000"/>
          <w:sz w:val="20"/>
        </w:rPr>
        <w:t xml:space="preserve">The second lien notes and the related guarantees are secured on a second-priority basis by the collateral and therefore will be </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effectively subordinated to our current secured indebtedness that is secured by first-priority liens on the collateral to the extent of the value of the collateral. Such indebtedness includes the loans and other obligations incurred under the Exchange Credit Agreement, which are secured by first-priority liens on the same collateral that secures the second lien notes. In addition, a portion of the collateral that secures the second lien notes also secures the loans and other obligations under the senior credit facility on a first-priority basis. As such, the second lien notes are effectively subordinated to the loans and other obligations under the senior credit facility to the extent of the value of that portion of the collateral. As of December 31, 2023, the Company and the Initial Guarantors would have had total consolidated indebtedness of approximately $1,782 million, (excluding $75.8 million of existing letters of credit, but including Capital Lease Obligations of $1.3 million and other debt of $39.7 million) primarily consisting of $906.7 million of secured indebtedness under the Exchange Credit Agreement with $189.2 million of additional availability, no secured indebtedness under the senior credit facility, $23.2 million of the 5.875% Senior Notes, $110.9 million of the 6.00% Senior Notes, $230.0 million of the 6.5% Exchangeable Senior Notes, $239.1 million of the 9.500% Private Second Lien Notes, and $286.5 million of the 10.500% Public Second Lien Notes. In addition, the indentures governing the outstanding notes, the Exchange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Agreement and the senior credit facility will allow us and our subsidiary guarantors to incur a significant amount of additional indebtedness, including indebtedness secured by a first-priority lien on the collateral. In the event we or the guarantors become the subject of a bankruptcy, liquidation, dissolution, reorganization or similar proceeding, our assets and the assets of the guarantors securing indebtedness on a first-priority basis could not be used to pay you until after all such first-lien secured claims against us and the guarantors have been fully paid.</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second lien notes and the related guarantees are structurally subordinated to all existing and future liabilities of our </w:t>
      </w:r>
    </w:p>
    <w:p>
      <w:pPr>
        <w:pStyle w:val="TextBody"/>
        <w:bidi w:val="0"/>
        <w:jc w:val="left"/>
        <w:rPr>
          <w:rFonts w:ascii="Times New Roman" w:hAnsi="Times New Roman"/>
          <w:color w:val="000000"/>
          <w:sz w:val="20"/>
        </w:rPr>
      </w:pPr>
      <w:r>
        <w:rPr>
          <w:rFonts w:ascii="Times New Roman" w:hAnsi="Times New Roman"/>
          <w:color w:val="000000"/>
          <w:sz w:val="20"/>
        </w:rPr>
        <w:t xml:space="preserve">subsidiaries that do not guarantee the second lien notes, including the trade payables of such subsidiaries.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It may be difficult to realize the value of the collateral securing the second lien notes and related guarantees.</w:t>
      </w:r>
    </w:p>
    <w:p>
      <w:pPr>
        <w:pStyle w:val="TextBody"/>
        <w:bidi w:val="0"/>
        <w:jc w:val="left"/>
        <w:rPr>
          <w:rFonts w:ascii="Times New Roman" w:hAnsi="Times New Roman"/>
          <w:color w:val="000000"/>
          <w:sz w:val="20"/>
        </w:rPr>
      </w:pPr>
      <w:r>
        <w:rPr>
          <w:rFonts w:ascii="Times New Roman" w:hAnsi="Times New Roman"/>
          <w:color w:val="000000"/>
          <w:sz w:val="20"/>
        </w:rPr>
        <w:t xml:space="preserve">No appraisal of the value of the collateral securing the second lien notes and the related guarantees was made in connection with the </w:t>
      </w:r>
    </w:p>
    <w:p>
      <w:pPr>
        <w:pStyle w:val="TextBody"/>
        <w:bidi w:val="0"/>
        <w:jc w:val="left"/>
        <w:rPr>
          <w:rFonts w:ascii="Times New Roman" w:hAnsi="Times New Roman"/>
          <w:color w:val="000000"/>
          <w:sz w:val="20"/>
        </w:rPr>
      </w:pPr>
      <w:r>
        <w:rPr>
          <w:rFonts w:ascii="Times New Roman" w:hAnsi="Times New Roman"/>
          <w:color w:val="000000"/>
          <w:sz w:val="20"/>
        </w:rPr>
        <w:t>exchange offers the Company completed in August 2022 and the fair market value of the collateral is subject to fluctuations based on factors that include, among others, market and other economic conditions, including the availability of suitable buyers. By its nature, some or all of the collateral may be illiquid and may have no readily ascertainable market value. We cannot assure you that the fair market value of the collateral as of December 31, 2023, exceeds, or at any other point in time will exceed, the principal amount of the debt secured thereby. The value of the collateral and the guarantees could be impaired in the future as a result of changing economic conditions, our failure to implement our business strategy, competition, liabilities and other future events. Accordingly, there may not be sufficient collateral to pay all or any of the amounts due on the second lien notes or the other debt secured by the collateral, including the obligations under the Exchange Credit Agreement and senior credit facility. Any claim for the difference between the amount, if any, realized by holders of first-priority liens or holders of the second lien notes from the sale of the collateral and the obligations of the Company and guarantors under the second lien notes will rank equally in right of payment with all of our other unsecured unsubordinated indebtedness and other obligations, including trade payables, the 5.875% Senior Notes and the 6.00% Senior Notes. Additionally, in the event that a bankruptcy or insolvency proceeding is commenced by or against us, if the value of the collateral is less than the amount of principal and accrued and unpaid interest on the applicable second lien notes and all other obligations secured by a lien of equal or higher priority to the lien securing the second lien notes, interest may cease to accrue on such second lien notes from and after the date such proceedings are commenced or initiated. Also, any disposition of the collateral during a bankruptcy or insolvency proceeding outside of the ordinary course of our business would require approval from the bankruptcy court (which may not be given under certain circumstances).</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third parties enjoy prior liens on any of the collateral or are able to attach liens to any of the collateral, such third </w:t>
      </w:r>
    </w:p>
    <w:p>
      <w:pPr>
        <w:pStyle w:val="TextBody"/>
        <w:bidi w:val="0"/>
        <w:jc w:val="left"/>
        <w:rPr>
          <w:rFonts w:ascii="Times New Roman" w:hAnsi="Times New Roman"/>
          <w:color w:val="000000"/>
          <w:sz w:val="20"/>
        </w:rPr>
      </w:pPr>
      <w:r>
        <w:rPr>
          <w:rFonts w:ascii="Times New Roman" w:hAnsi="Times New Roman"/>
          <w:color w:val="000000"/>
          <w:sz w:val="20"/>
        </w:rPr>
        <w:t xml:space="preserve">parties may have rights and remedies with respect to the collateral that, if exercised, could adversely affect the value of the collateral. Additionally, the terms of the indentures governing the second lien notes allow us to (i) issue additional secured indebtedness, including additional debt that may rank pari passu in right of payment with and secured on an equal and ratable basis with the Company’s first lien secured obligations or pari passu in right of payment with and secured on an equal and ratable basis with the second lien notes, and (ii) to incur refinancing indebtedness in certain circumstances. The indentures governing the second lien notes do not require that we maintain the current level of collateral value or maintain a specific ratio of indebtedness to asset values. Thus, the issuance of any such additional debt and refinancing indebtedness may have the effect of significantly diluting the ability of noteholders to recover payment in full of the second lien notes from the then-existing pool of collateral. Releases of collateral from the liens securing the second lien notes will be permitted under certain circumstances.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future, the obligation to grant additional security over assets, or a particular type or class of assets, whether as a result of the </w:t>
      </w:r>
    </w:p>
    <w:p>
      <w:pPr>
        <w:pStyle w:val="TextBody"/>
        <w:bidi w:val="0"/>
        <w:jc w:val="left"/>
        <w:rPr>
          <w:rFonts w:ascii="Times New Roman" w:hAnsi="Times New Roman"/>
          <w:color w:val="000000"/>
          <w:sz w:val="20"/>
        </w:rPr>
      </w:pPr>
      <w:r>
        <w:rPr>
          <w:rFonts w:ascii="Times New Roman" w:hAnsi="Times New Roman"/>
          <w:color w:val="000000"/>
          <w:sz w:val="20"/>
        </w:rPr>
        <w:t>acquisition or creation of future assets or subsidiaries, the designation of a previously unrestricted subsidiary or otherwise, will be subject to the provisions of the applicable indentures governing the second lien notes and related security documents. Furthermore, upon enforcement against any collateral or during a bankruptcy insolvency proceeding, the claims of the holders of the second lien notes, to the proceeds thereof will rank junior to any first-priority liens on such collateral, including those securing the obligations under the Exchange Credit Agreement and the senior credit facility. Enforcement of the security interests in the collateral is subject to practical problems generally associated with the realization of security interests in collateral. For example, the consent of a third party may be necessary to obtain or enforce a security interest in a contract and such consent may not be provided. Also, the consents of any third parties may not necessarily be given when required to facilitate a foreclosure or realization on the collateral. Accordingly, the Second Lien Collateral Trustee may not have the ability to foreclose or realize upon those assets and the value of the collateral may significantly decrease.</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Risks Related to Our Business and Services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derive, and expect to continue to derive, a significant portion of our revenues from a limited number of governmental agencies. Of our governmental partners, three federal governmental agencies with correctional and detention responsibilities, the BOP, ICE, and the U.S. Marshals Service, accounted for 62.2% and 63.9% of our total consolidated revenues for the year ended December 31, 2023 and 2022, respectively, through multiple individual contracts, with the BOP accounting for 2.9% and 3.8% of our total consolidated revenues for 2023 and 2022, respectively, ICE accounting for 42.7% and 43.9% of our total consolidated revenues for 2023 and 2022, respectively, and the U.S. Marshals Service accounting for 16.7% and 16.2% of our total consolidated revenues for 2023 and 2022, respectively. However, no individual contract with these clients accounted for more than 10.0% of our total consolidated revenues for 2023 and 2022 except for our ISAP contract that accounted for 14.0% and 17% of our consolidated revenues, respectively. Our ISAP contract may be subject to competitive re-bid in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GEO has no company-owned facilities under direct contract with the BOP for secure services. GEO has three company-owned/company leased facilities under direct contracts with USMS, which have current contract option periods that expire between September 2025 and September 2028. These facilities combined represented approximately 6% of our revenues for the year ended December 31,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revenues depend on our governmental customers receiving sufficient funding and providing us with timely payment under the terms of our contracts. If the applicable governmental customers do not receive sufficient appropriations to cover their contractual obligations, they may delay or reduce payment to us or terminate their contracts with us. With respect to our federal government customers, any future impasse or struggle impacting the federal government’s ability to reach agreement on the federal budget, debt ceiling or any future federal government shut-downs could result in material payment delays, payment reductions or contract terminations. Additionally, our governmental customers may request in the future that we reduce our per diem contract rates or forego increases to those rates as a way for those governmental customers to control their spending and address their budgetary shortfalls.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governmental customers may also from time to time adopt, implement or modify certain policies or directives that may adversely affect our business. Our federal, state or local governmental partners may in the future choose to undertake a review of their utilization of public-private partnerships, or may re-negotiate, cancel or decide not to renew our existing contracts with them. For example, on January 26, 2021, President Biden signed an Executive Order directing the United States Attorney General not to renew Department of Justice contracts with privately operated criminal detention facilities. President Biden’s administration or a future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 Various state partners have or may choose in the future to undertake a review of their utilization of public-private partnerships.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loss of, or a significant decrease in, our current contracts with the ICE, the U.S. Marshals Service or any other significant customers could seriously harm our financial condition and results of operations. We expect these federal and state agencies and a relatively small group of other governmental customers to continue to account for a significant percentage of our revenues.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Fluctuations in occupancy levels or participation in ISAP could cause a decrease in revenues and profitability.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a substantial portion of our cost structure is generally fixed, most of our revenues are generated under facility management contracts which provide for per diem payments based upon daily occupancy. Several of these contracts provide fixed-price payments that cover a portion, or all of our fixed costs based on a guaranteed minimum level of occupancy regardless of the actual level of occupancy. During the pandemic, we received these fixed-price payments at a number of our facilities where the actual level of occupancy was below the guaranteed minimum level of occupancy and as a result those facilities experienced a greater amount of profitability. If the levels of occupancy at the facilities subject to a guaranteed minimum level of occupancy were to increase, our costs may increase and therefore result in a decreased amount of profitability at these facilities. However, many of our contracts have no fixed-price payments and simply provide for a per diem payment based on actual occupancy. As a result, with respect to our contracts that have no fixed-price payments, we are highly dependent upon the governmental agencies with which we have contracts to utilize our facilities. Under a per diem rate structure, a decrease in our utilization rates could cause a decrease in revenues and profitability. When combined with relatively fixed costs for operating each facility, regardless of the occupancy level, material fluctuations in occupancy levels at one or more of our facilities could have a material adverse effect on our revenues and profitability, and consequently, on our financial condition and/or results of operations. In addition material fluctuations in participation in ISAP could have a material adverse effect on our revenues and profitability, and consequently, on our financial condition and/or results of operations.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State budgetary constraints may have a material adverse impact on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Long-running pressure on state budgets had eased in prior years amid widespread economic growth and tax revenue gains that resulted in the first budget surpluses in years for many states. The COVID-19 pandemic adversely impacted the economic expansion and budget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surpluses enjoyed by numerous states. Still, some states were in a stronger position than others as they began to experience a public health emergency and their greatest fiscal and economic tests since the Great Recession of 2007-09. As of December 31, 2023, GEO had the following state clients: Florida, Georgia, Virginia, Indiana, Oklahoma, Alabama, New Jersey, New Mexico, Alaska, Arizona, Pennsylvania, Wyoming, California, Idaho, Illinois, Tennessee, Louisiana, Maryland, North Carolina and Texas. If state budgetary conditions deteriorate, our 20 state customers’ ability to pay us may be impaired and/or we may be forced to renegotiate our management contracts with those customers on less favorable terms and our financial condition, results of operations or cash flows could be materially adversely impacted. In addition, budgetary constraints in states that are not our current customers could prevent those states from using public-private partnerships for secure facilities, processing centers or community based service opportunities that we otherwise could have pursued.</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not have a management contract with a customer to operate existing beds or new beds at facilities that we are currently in the process of renovating and expanding. While we will always strive to work diligently with a number of different customers for the use of these beds, we cannot assure you that a contract for the beds will be secured on a timely basis, or at all. While a facility or new beds at a facility are vacant, we incur carrying costs. In our U.S. Secure Services segment, as of December 31, 2023, we were marketing 9,732 vacant beds with a net book value of approximately $251.2 million at seven of our idle facilities to potential customers. In our Reentry Services segment, as of December 31, 2023, we were marketing 1,689 vacant beds with a net book value of approximately $37.2 million at three of our idle facilities to potential customers. The combined annual carrying cost of these idle facilities in 2024 is estimated to be $26.2 million, including depreciation expense of $17.9 million. Failure to secure a management contract for a facility or expansion project could have a material adverse impact on our financial condition, results of operations and/or cash flows. We review our facilities for impairment whenever events or changes in circumstances indicate the net book value of the facility may not be recoverable. Impairment charges taken on our facilities could require material charges to our results of operations. In addition, in order to secure a management contract for these beds, we may need to incur significant capital expenditures to renovate or further expand the facility to meet potential clients’ needs.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are subject to the loss of our facility management contracts, due to terminations, non-renewals or competitive re-bids, which could adversely affect our results of operations and liquidity, including our ability to secure new facility management contracts from other government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the risk that we may lose our facility management contracts primarily due to one of three reasons: (i) the termination by a government customer with or without cause at any time; (ii) the failure by a customer to exercise its unilateral option to renew a contract with us upon the expiration of the then current term; or (iii) our failure to win the right to continue to operate under a contract that has been competitively re-bid in a procurement process upon its termination or expiration. Our facility management contracts typically allow a contracting governmental agency to terminate a contract with or without cause at any time by giving us written notice ranging from 30 to 180 days. If government agencies were to use these provisions to terminate, or renegotiate the terms of their agreements with us, our financial condition and results of operations could be materially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26 of our facility management contracts may be subject to competitive re-bid in 2024. These contracts in the aggregate represented 9% and approximately $200 million of our 2023 consolidated revenues. We cannot in fact assure you that we will prevail in future re-bid situations or that any competitive re-bids we win will be on terms more favorable to us than those in existence with respect to the applicable expiring contract.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federal, state or local governmental partners may in the future choose to undertake a review of their utilization of public-private partnerships, or may re-negotiate, cancel or decide not to renew our existing contracts with them. For example, on January 26, 2021, President Biden signed an Executive Order directing the United States Attorney General not to renew Department of Justice contracts with privately operated criminal detention facilities. President Biden’s administration or a future administration may implement further executive orders or directives relating to federal criminal justice policies and immigration policies which may impact the federal government’s use of public-private partnerships with respect to correctional and detention needs, including with respect to our contracts, and/or may impact the budget and spending priorities of federal agencies, including 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additional information on facility management contracts that we currently believe will be competitively re-bid during each of the next five years and thereafter, please see “Business — Government Contracts — Terminations, Renewals and Competitive Re-bids”. The loss by us of facility management contracts due to terminations, non-renewals or competitive re-bids could materially adversely affect our financial condition, results of operations and/or liquidity, including our ability to secure new facility management contracts from other government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Our growth depends on our ability to secure contracts to develop and manage new secure facilities, processing centers and community based facilities and to secure contracts to provide electronic monitoring services, community-based reentry services and monitoring and supervision services, the demand for which is outside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growth is primarily dependent upon our ability to obtain new contracts to develop and/or manage secure, processing, and community based facilities under public-private partnerships. Additionally, our growth is generally dependent upon our ability to obtain new contracts to offer electronic monitoring services, provide community-based reentry services and provide monitoring and supervision services. Demand for new public-private partnership facilities in our areas of operation may decrease and our potential for growth will depend on a number of factors we cannot control, including overall economic conditions, governmental and public acceptance of public-private partnerships, government budgetary constraints, and the number of facilities available for public-private partnerships.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particular, the demand for our secure facility and processing center services, electronic monitoring services, community-based reentry services and monitoring and supervision services could be affected by changes in existing policies which adversely impact the need for and acceptance of public-private partnerships across the spectrum of services we provide. Various factors outside our control could adversely impact the growth of our Reentry Services business, including government customer resistance to the public-private partnerships for residential community based facilities, and changes to Medicaid and similar reimbursement programs.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may not be able to meet state requirements for capital investment or locate land for the development of new facilities, which could adversely affect our results of operations and future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jurisdictions have in the past required successful bidders to make a significant capital investment in connection with the financing of a particular project. If this trend were to continue in the future, we may not be able to obtain sufficient capital resources when needed to compete effectively for facility management contracts. Additionally, our success in obtaining new awards and contracts may depend, in part, upon our ability to locate land that can be leased or acquired under favorable terms. Our inability to secure financing and desirable locations for new facilities could adversely affect our results of operations and future growth.</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Competition for contracts may adversely affect the profitability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compete with government entities and other public-private partnership operators on the basis of cost, bed availability, location of facility, quality and range of services offered, experience in managing facilities, and reputation of management and personnel. Barriers to entering the market for the management of secure and processing facilities and the provision of community reentry programs may not be sufficient to limit additional competition in our industry. In addition, some of our government customers may assume the management of a facility currently managed by us upon the termination of the corresponding management contract or, if such customers have capacity at the facilities which they operate, they may choose to use less capacity at our facilities. Since we are paid on a per diem basis based on actual occupancy under some of our contracts, a decrease in occupancy could cause a decrease in both our revenues and our profitability.</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are dependent on government appropriations, which may not be made on a timely basis or at all and may be adversely impacted by budgetary constraints at the federal, state, local and foreign government levels.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cash flow is subject to the receipt of sufficient funding of and timely payment by contracting governmental entities. If the contracting governmental agency does not receive sufficient appropriations to cover its contractual obligations, it may terminate our contract or delay or reduce payment to us. Any delays in payment, or the termination of a contract, could have a material adverse effect on our cash flow and financial condition, which may make it difficult to satisfy our payment obligations on our indebtedness, including the 10.500% Public Second Lien Notes, 9.500% Private Second Lien Notes, 6.50% Exchangeable Senior Notes, and the 6.00% Senior Notes and the Exchange Credit Agreement, in a timely manner. In addition, as a result of, among other things, recent economic developments caused by the COVID-19 pandemic, domestically, federal, state and local governments have encountered, and may continue to encounter, unusual budgetary constraints. As a result, a number of state and local governments may be under pressure to control additional spending or reduce current levels of spending which could limit or eliminate appropriations for the facilities that we operate. Additionally, as a result of these factors, we may be requested in the future to reduce our existing per diem contract rates or forego prospective increases to those rates. Budgetary limitations may also make it more difficult for us to renew our existing contracts on favorable terms or at all. Further, a number of states and foreign governments in which we operate may experience budget constraints for fiscal year 2024. We cannot assure you that these constraints would not result in reductions in per diems, delays in payment for services rendered or unilateral termination of contracts.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Adverse publicity may negatively impact our ability to retain existing contracts and obtain new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negative publicity about an escape, riot, other disturbance, pandemic outbreak, death or injury of a detainee, or perceived conditions and access to health care and other services at a facility, including any work program at a facility, under a public-private partnership, any failures experienced by our electronic monitoring services and any negative publicity about a crime or disturbance occurring during a failure of service or the loss or unauthorized access to any of the data we maintain in the course of providing our services may result in publicity adverse to us and public-private partnerships in general. Any of these occurrences or continued trends may make it more difficult for us to renew existing contracts or to obtain new contracts or could result in the termination of an existing contract or the closure of one or more of our facilities, which could have a material adverse effect on our business. Such negative events may also result in a significant increase in our liability insurance costs.</w:t>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may incur significant start-up and operating costs on new contracts before receiving related revenues, which may impact our cash flows and not be recouped.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When we are awarded a contract to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including our payment obligations on the 10.500% Public Second Lien Notes, 9.500% Private Second Lien Notes, 6.50% Exchangeable Senior Notes, the 6.00% Senior Notes and the Exchange Credit Agreement. In addition, a contract may be terminated prior to its scheduled expiration and as a result we may not recover these expenditures or realize any return on our investment.</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may face community opposition to facility locations, which may adversely affect our ability to obtain new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we select the intended project site, we attempt to conduct business in communities where local leaders and residents generally support the establishment of a new project. Future efforts to find suitable host communities may not be successful. In many cases, the site selection is made by the contracting governmental entity. In such cases, site selection may be made for reasons related to economic development interests.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Natural disasters, pandemic outbreaks, global political events and other serious catastrophic events could disrupt operations and otherwise materially adversely affect our business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an owner and operator of secure facilities, processing centers and community reentry centers with operations in many states throughout the United States and multiple foreign countries, we are subject to numerous risks outside of our control, including risks arising from natural disasters, pandemic outbreaks, such as the COVID-19 pandemic, and other global health emergencies or disruptive global political events, including terrorist activity and war, or similar disruptions that could materially adversely affect our business and financial performance. Such occurrences can result in destruction or damage to our secure facilities, processing centers and community reentry centers and our information systems, disruption of our operations, require the evacuation of detainees or our personnel, and require the adoption of specific health protocols or treatments to safeguard the health of our detainees or personnel. Although it is not possible to predict such events or their consequences, these events could materially adversely affect our reputation, business and financial condition.</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Our international operations expose us to risks that could materially adversely affect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each of the years ended December 31, 2023 and 2022, our international operations accounted for approximately 8% of our consolidated revenues from operations. We face risks associated with our operations outside the United States. These risks include, among others, political and economic instability, exchange rate fluctuations, taxes, duties and the laws or regulations in those foreign jurisdictions in which we operate. In the event that we experience any difficulties arising from our operations in foreign markets, our business, financial condition and results of operations may be materially adversely affected.</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conduct certain of our operations through joint ventures or consortiums, which may lead to disagreements with our joint venture partners or business partners and adversely affect our interest in the joint ventures or consortiums.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 our operations in South Africa through our consolidated joint venture, SACM, and through our 50% owned and unconsolidated joint venture South African Custodial Services Pty. Limited, referred to as SACS. We conduct our escort and related custody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services in the United Kingdom through our 50% owned and unconsolidated joint venture in GEOAmey Limited, which we refer to as GEOAmey. We may enter into additional joint ventures in the future. Although we have the majority vote in our consolidated joint venture, SACM, through our ownership of 62.5% of the voting shares, we share equal voting control on all significant matters to come before SACS. We also share equal voting control on all significant matters to come before GEOAmey. These joint venture partners, as well as any future partners, may have interests that are different from ours which may result in conflicting views as to the conduct of the business of the joint venture or consortium. In the event that we have a disagreement with a joint venture partner or consortium business partner as to the resolution of a particular issue to come before the joint venture or consortium, or as to the management or conduct of the business of the joint venture or consortium in general, we may not be able to resolve such disagreement in our favor and such disagreement could have a material adverse effect on our interest in the joint venture or consortium or the business of the joint venture or consortium in general.</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The rising cost and increasing difficulty of obtaining adequate levels of surety credit on favorable terms could adversely affect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often required to post performance bonds issued by a surety company as a condition to bidding on or being awarded a facility development contract. Availability and pricing of these surety commitments is subject to general market and industry conditions, among other factors. If we are unable to effectively pass along surety costs to our customers, any increase in surety costs could adversely affect our operating results. In addition, we may not continue to have access to surety credit or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Exchange Credit Agreement, which would entail higher costs even if such borrowing capacity was available when desired, and our ability to bid for or obtain new contracts could be impaired.</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are dependent upon our senior management and our ability to attract and retain sufficient qualified personnel.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dependent upon the continued service of each member of our senior management team, including George C. Zoley, Ph.D., our Executive Chairman, Brian R. Evans, our Chief Executive Officer, Shayn P. March, our Acting Chief Financial Officer, Wayne Calabrese, our President and Chief Operating Officer, James H. Black, our Senior Vice President and President, Secure Services, Matthew Albence, our Senior Vice President, Client Relations and also our other executive officers. The unexpected loss of Dr. Zoley, Mr. Evans, Mr. March or any other key member of our senior management team could materially adversely affect our business,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services we provide are labor-intensive. When we are awarded a facility management contract or open a new facility, depending on the service we have been contracted to provide, we may need to hire operating, management, correctional officers, security staff, physicians, nurses and other qualified personnel. Our business is labor intensive, and some of our operations may experience a high rate of employee turnover from time to time. We believe there is currently a labor shortage impacting both publicly operated and privately operated secure facilities, processing centers and community reentry centers. It can be challenging for us to find appropriately skilled and qualified personnel at affordable rates. We may be unable to hire and retain a sufficiently skilled labor force to support our operating needs, our contractual requirements and our growth strategy. A labor shortage could negatively affect our ability to efficiently operate our facilities and our overall business. Any such shortage may adversely impact our ability to serve our customers effectively. Our labor and training expenses could increase as a result of a shortage in the supply of skilled personnel and an increase in the compensation we will need to pay to attract and retain such personnel and such compensation expenses may not be covered by our governmental customers, which could adversely affect our profitability. The success of our business requires that we attract, develop and retain our personnel. Our inability to hire sufficient qualified personnel on a timely basis or the loss of significant numbers of personnel at existing facilities could have a material effect on our business, financial condition or results of operations. If we were to be unable to fully staff or fill vacancies on a timely basis in our secure facilities, processing centers and community reentry centers, it could result in negative consequences, including requests by our government customers to provide a plan of correction, assessments of fines or other penalties under our contracts, or contract cancellations or non-renewals.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Adverse developments in our relationship with our employees could adversely affect our business,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31, 2023, approximately 49% of our workforce was covered by collective bargaining agreements and, as of such date, collective bargaining agreements with approximately 27% of our employees were set to expire in less than one year. While approximately 49% of our workforce is covered by collective bargaining agreements, increases in organizational activity or any future work stoppages could have a material adverse effect on our business, financial condition, or results of operations.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Our profitability may be materially adversely affected by inflation.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our facility management contracts provide for fixed management fees or fees that increase by only small amounts during their terms. While a substantial portion of our cost structure is generally fixed, if, due to inflation or other causes, our operating expenses, such as costs relating to personnel, utilities, insurance, medical and food, increase at rates faster than increases, if any, in our facility management fees, then our profitability could be materially adversely affected.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Taxes and our Corporate Tax Structure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Our obligation to pay income taxes increased beginning with our taxable year ended December 31, 2021, which will result in a reduction to our earnings, and could have negative consequences to 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terminated our REIT election and became a taxable C corporation effective for the taxable year ended December 31, 2021. As a result, we will not be allowed a deduction for dividends paid to our stockholders in computing our taxable income and will be subject to U.S. federal and state income tax on our taxable income at corporate tax rates. This could impair our ability to satisfy our financial obligations and negatively impact the price of our securities. This treatment could also reduce our net earnings available for investment or distribution to our stockholders because of the additional tax liability to us. Further, federal and state income tax rates could increase in the future, exacerbating these risks. We also will be disqualified from electing REIT status under the Internal Revenue Code of 1986, as amended, or the Code, through December 31, 2025.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fail to realize the anticipated benefits of terminating our REIT election and becoming a taxable C corporation effective for our fiscal year ended December 31, 2021, or those benefits may take longer to realize than expected, if at all, or may not offset the costs of terminating our REIT election and becoming a taxable C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terminating our REIT election and becoming a taxable C corporation will, among other things, provide us with greater flexibility to use our free cash flows as we will no longer be required to operate under the REIT rules, including the requirement to distribute at least 90% of our taxable income to our stockholders. However, the amount of our free cash flows may not meet our expectations, which may reduce, or eliminate, the anticipated benefits of the transition from a REIT to a taxable C corporation. For example, if our cash flows do not meet our expectations, we may be unable to deleverage as quickly as we desire. Moreover, there can be no assurance that the anticipated benefits of the transition from a REIT to a taxable C corporation will offset its costs, which could be greater than we expect. Our failure to achieve the anticipated benefits of the transition from a REIT to a taxable C corporation at all, or in a timely manner, or a failure of any benefits realized to offset the costs, could negatively affect our business, financial condition, results of operations or the market price of our common stock.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failed to qualify as a REIT for those years for which we elected REIT status, we would be subject to corporate income taxes and would not be able to deduct distributions to stockholders when computing our taxable income for those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operated in a manner that was intended to allow us to qualify as a REIT for federal income tax purposes during those years we elected REIT status, the fiscal years ended December 1, 2013 through December 31, 2020. However, we cannot assure you that we qualified as a REIT during those years. Qualification as a REIT required us to satisfy numerous requirements established under highly technical and complex sections of the Code for which there are only limited judicial and administrative interpretations, and involved the determination of various factual matters and circumstances not entirely within our control. For example, to qualify as a REIT, the REIT must derive at least 95% of its gross income in any year from qualifying sources. In addition, a REIT is required to distribute annually to its stockholders at least 90% of its REIT taxable income (determined without regard to the dividends paid deduction and by excluding capital gains) and must satisfy specified asset tests on a quarterly basis. We received a favorable private letter ruling from the Internal Revenue Service, or ("IRS"), with respect to certain issues relevant to our qualification as a REIT. Although we may generally rely upon the ruling, no assurance can be given that the IRS will not challenge our qualification as a REIT during those taxable years in which we elected REIT status on the basis of other issues or facts outside the scope of the ruling.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failed to qualify as a REIT in any taxable year we elected REIT status, we would be subject to federal income tax (including any applicable alternative minimum tax for years before 2018) on our taxable income computed in the usual manner for regular corporate taxpayers without deduction for distributions to our shareholders, and we may need to borrow additional funds or issue securities to pay such additional tax liability. Any such corporate income tax liability could be substantial and would reduce the amount of cash available for other purposes, because, unless we are entitled to relief under certain statutory provisions, we would be taxable as a C Corporation, beginning in the year in which the failure occurred.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we qualified as a REIT for those years for which we elected REIT status, we may owe taxes under certain circumstances.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we qualified as a REIT for those years we elected REIT status, we were subject to certain U.S. federal, state and local taxes on our income and property, including on taxable income that we did not distribute to our shareholders, and on net income from certain "prohibited transactions". In addition, the REIT provisions of the Code are complex and are not always subject to clear interpretation. For example, a REIT must derive at least 95% of its gross income in any year from qualifying sources, including rents from real property. Rents from real property include amounts received for the use of limited amounts of personal property and for certain services. Whether amounts constitute rents from real property or other qualifying income may not be entirely clear in all cases. We may fail to qualify as a REIT for those years we elected REIT status if we exceeded the permissible amounts of non-qualifying income unless such failures qualify for relief under certain statutory relief provisions. Even if we qualify for statutory relief, we may be required to pay an excise or penalty tax (which could be significant in amount) in order to utilize one or more such relief provisions under the Code to maintain our qualification as a REIT for those years we elected REIT status.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Performing services through our TRSs during those years we elected REIT status may increase our overall tax liability or subject us to certain excise taxes. A TRS may hold assets and earn income, including income earned from the performance of correctional services, that would not be qualifying assets or income if held or earned directly by a REIT. During those years for which we elected REIT status, we conducted a significant portion of our business activities through our TRSs. Our TRSs were subject to federal, foreign, state and local income tax on their taxable income, and their after-tax net income generally was available for distribution to us but was not required to be distributed to us. The TRS rules also impose a 100% excise tax on certain transactions between a TRS and its parent REIT that are not conducted on an arm's-length basis. We believe our arrangements with our TRSs were on arm's-length terms. If it is determined that our arrangements with our TRSs were not on an arm's-length terms, we would be subject to the 100% excise tax on applicable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value of the securities we owned in our TRSs during those years for which we elected REIT status was limited under the REIT asset tests. Under the Code, no more than 20% of the value of the gross assets of a REIT may be represented by securities of one or more TRSs. This limitation affected our ability to increase the size of our TRSs' operations and assets during those years that we elected REIT status, and there can be no assurance that we were able to comply with this limitation. If it is determined that we were unable to comply with this limitation, we would fail to qualify as a REIT for those years for which we elected REIT status.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tax imposed on REITs engaging in "prohibited transactions" limited our ability to engage in transactions which would be treated as sales for federal income tax purposes during those years for which we elected REIT status. 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believe that we held any properties that would be characterized as held for sale to customers in the ordinary course of our business during those years for which we elected REIT status, unless the sale or disposition qualified under certain statutory safe harbors, such characterization is a factual determination and no guarantee can be given that the IRS would agree with our characterization of our properties.</w:t>
      </w:r>
    </w:p>
    <w:p>
      <w:pPr>
        <w:pStyle w:val="TextBody"/>
        <w:bidi w:val="0"/>
        <w:jc w:val="left"/>
        <w:rPr/>
      </w:pPr>
      <w:r>
        <w:rPr/>
        <w:t> </w:t>
      </w:r>
    </w:p>
    <w:p>
      <w:pPr>
        <w:pStyle w:val="TextBody"/>
        <w:bidi w:val="0"/>
        <w:spacing w:before="40" w:after="120"/>
        <w:jc w:val="left"/>
        <w:rPr>
          <w:rFonts w:ascii="Times New Roman" w:hAnsi="Times New Roman"/>
          <w:b/>
          <w:i/>
          <w:color w:val="000000"/>
          <w:sz w:val="20"/>
        </w:rPr>
      </w:pPr>
      <w:r>
        <w:rPr>
          <w:rFonts w:ascii="Times New Roman" w:hAnsi="Times New Roman"/>
          <w:b/>
          <w:i/>
          <w:color w:val="000000"/>
          <w:sz w:val="20"/>
        </w:rPr>
        <w:t>Federal, state and local tax rules can adversely impact our results of operations and financial position.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are subject to federal, state and local taxes in the United States, as well as in Australia, Canada, South Africa and the UK. Significant judgment is required in determining the provision for income taxes. We believe our income tax estimates are reasonable, but such estimates assume no changes in current tax rates. In addition, if the Internal Revenue Service or other taxing authority disagrees on a tax position we have taken and upon final adjudication we are required to change such position, we could incur additional tax liability, including interest and penalties. Such costs and expenses could have a material adverse impact on our financial condition, results of operations, and cash flows. Additionally, the taxability of our services is subject to various interpretations within the taxing jurisdictions in which we operate. Consequently, in the ordinary course of business, a jurisdiction may contest our reporting positions with respect to the application of its tax code to our </w:t>
      </w:r>
      <w:r>
        <w:rPr>
          <w:rFonts w:ascii="Arial" w:hAnsi="Arial"/>
          <w:color w:val="000000"/>
          <w:sz w:val="18"/>
        </w:rPr>
        <w:t xml:space="preserve">operations. </w:t>
      </w:r>
      <w:r>
        <w:rPr>
          <w:rFonts w:ascii="Times New Roman" w:hAnsi="Times New Roman"/>
          <w:color w:val="000000"/>
          <w:sz w:val="20"/>
        </w:rPr>
        <w:t>A conflicting position taken by a state or local taxation authority on the taxability of our operations could result in additional tax liabilities and could negatively impact our competitive position in that jurisdiction. If we fail to comply with applicable tax laws and regulations, we could suffer civil or criminal penalties in addition to the delinquent tax assessment. In the taxing jurisdictions where our services have been determined to be subject to tax, the jurisdiction may increase the tax rate assessed on such operations. We seek to pass-through to our customers such tax increases. In the event we are not able to pass-through any portion of the tax increase, our results of operations, financial condition and cash flows could be adversely impacted.</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Real Estate and Construction Matters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Various risks associated with the ownership of real estate may increase costs, expose us to uninsured losses and adversely affect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ownership of secure and processing facilities subjects us to risks typically associated with investments in real estate. Investments in real estate, and in particular, secure and processing facilities, are relatively illiquid and, therefore, our ability to divest ourselves of one or more of our facilities promptly in response to changed conditions is limited. Investments in secure and processing facilities, in particular,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hurricanes, earthquakes, riots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facilities we own. Further, even if we have insurance for a particular loss, we may experience losses that may exceed the limits of our coverage.</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Risks related to facility construction and development activities may increase our costs related to such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When we are engaged to perform construction and design services for a facility, we typically act as the primary contractor and subcontract with other companies who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within the level of budgeted costs or be unable to fund any excess construction costs, even though we typically require general contractors to post construction bonds and insurance. Under such contracts, we are ultimately liable for all late delivery penalties and cost overruns.</w:t>
      </w:r>
    </w:p>
    <w:p>
      <w:pPr>
        <w:pStyle w:val="TextBody"/>
        <w:bidi w:val="0"/>
        <w:spacing w:before="180" w:after="283"/>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the Capital Markets and its Impact on our Business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Negative conditions in the capital markets could prevent us from obtaining financing, which could materially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obtain additional financing is highly dependent on the conditions of the capital markets, among other things. The capital and credit markets have experienced significant periods of volatility and disruption since the Great Recession of 2007-2009, and more recently during 2020 and 2021 due to the impact of the COVID-19 pandemic. During this time period, the economic impacts observed have included a downturn in the equity and debt markets, a tightening of the credit markets, a general economic slowdown and other macroeconomic conditions, volatility in stock prices and currency exchange rates, inflation, concerns over sovereign debt levels abroad and in the U.S. and concerns over the failure to adequately address the federal deficit and the debt ceiling. If those macroeconomic conditions continue or worsen in the future, we could be prevented from raising additional capital or obtaining additional financing on satisfactory terms, or at all. If we need, but cannot obtain, adequate capital as a result of negative conditions in the capital markets or otherwise, our business, results of operations and/or financial condition could be materially adversely affected. Additionally, such inability to obtain capital could prevent us from pursuing attractive business development opportunities, including new facility constructions or expansions of existing facilities, and business or asset acquisitions.</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our Electronic Monitoring Products and Technology</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Technological changes could cause our electronic monitoring products and technology to become obsolete or require the redesign of our electronic monitoring products, which could have a material adverse effect on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Technological changes within the electronic monitoring business in which we conduct business may require us to expend substantial resources in an effort to develop and/or utilize new electronic monitoring products and technology. We may not be able to anticipate or respond to technological changes in a timely manner, and our response may not result in successful electronic monitoring product development and timely product introductions. If we are unable to anticipate or timely respond to technological changes, our business could be adversely affected and could compromise our competitive position, particularly if our competitors announce or introduce new electronic monitoring products and services in advance of us. Additionally, new electronic monitoring products and technology face the uncertainty of customer acceptance and reaction from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Any negative changes in the level of acceptance of or resistance to the use of electronic monitoring products and services by governmental customers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Governmental customers use electronic monitoring products and services to monitor low risk offenders as a way to help reduce overcrowding in secure facilities, as a monitoring tool, and to promote public safety by imposing restrictions on movement and serving as a deterrent for alcohol usage.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 this could have a material adverse effect on our business, financial condition and results of operations.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depend on a limited number of third parties to manufacture and supply quality infrastructure components for our electronic monitoring products. If our suppliers cannot provide the components or services we require and with such quality as we expect, our ability to market and sell our electronic monitoring products and services could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our suppliers fail to supply components in a timely manner that meets our quantity, quality, cost requirements, or technical specifications, we may not be able to access alternative sources of these components within a reasonable period of time or at commercially reasonable rates. Recently we have been affected by the current microchip shortage which has caused us to pivot to other technology solutions. A reduction or interruption in the supply of components, or a significant increase in the price of components, could have a material adverse effect on our marketing and sales initiatives, which could adversely affect our financial condition and results of operations.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An inability to acquire, protect or maintain our intellectual property and patents in the electronic monitoring space could harm our ability to compete or grow.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numerous United States and foreign patents issued as well as a number of United States patents pending in the electronic monitoring space. There can be no assurance that the protection afforded by these patents will provide us with a competitive advantage, prevent our competitors from duplicating our products, or that we will be able to assert our intellectual property rights in infringement 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any of our patents may be challenged, invalidated, circumvented or rendered unenforceable. There can be no assurance that we will be successful should one or more of our patents be challenged for any reason. If our patent claims are rendered invalid or unenforceable, or narrowed in scope, the patent coverage afforded to our products could be impaired, which could significantly impede our ability to market our products, negatively affect our competitive position and harm our business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can be no assurance that any pending or future patent applications held by us will result in an issued patent, or that if patents are issued to us, that such patents will provide meaningful protection against competitors or against competitive technologies. The issuance of a patent is not conclusive as to its validity or its enforceability. The United States federal courts or equivalent national courts or patent offices elsewhere may invalidate our patents or find them unenforceable. Competitors may also be able to design around our patents. Our patents and patent applications cover particular aspects of our products. Other parties may develop and obtain patent protection for more effective technologies, designs or methods. If these developments were to occur, it could have an adverse effect on our sales. We may not be able to prevent the unauthorized disclosure or use of our technical knowledge or trade secrets by consultants, vendors, former employees and current employees, despite the existence of nondisclosure and confidentiality agreements and other contractual restrictions. Furthermore, the laws of foreign countries may not protect our intellectual property rights effectively or to the same extent as the laws of the United States. If our intellectual property rights are not adequately protected, we may not be able to commercialize our technologies, products or services and our competitors could commercialize our technologies, which could result in a decrease in our sales and market share that would harm our business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expiration of any of our patents may reduce the barriers to entry into our electronic monitoring line of business and may result in loss of market share and a decrease in our competitive abilities, thus having a potential adverse effect on our financial condition, results of operations and cash flows.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our current products or products under development will not infringe any patent or other intellectual property rights of third parties. If infringement claims are brought against us, whether successfully or not, these assertions could distract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from other tasks important to the success of our business, necessitate us expending potentially significant funds and resources to defend or settle such claims and harm our reputation. We cannot be certain that we will have the financial resources to defend ourselves against any patent or other intellectual property litigation.</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intellectual property litigation or claims could force us to do one or more of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cease selling or using any products that incorporate the asserted intellectual property, which would adversely affect our revenue;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pay substantial damages for past use of the asserted intellectual property;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 a license from the holder of the asserted intellectual property, which license may not be available on reasonable terms, if at all;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redesign or rename, in the case of trademark claims, our products to avoid infringing the intellectual property rights of third parties, which may not be possible and could be costly and time-consuming if it is possible to do.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of an adverse determination in an intellectual property suit or proceeding, or our failure to license essential technology, our sales could be harmed and/or our costs could increase, which would harm our financial condition.</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party to a number of licenses that give us rights to third-party intellectual property that is necessary or useful to our business. Our success will depend in part on the ability of our licensors to obtain, maintain and enforce our licensed intellectual property. Our licensors may not successfully prosecute any applications for or maintain intellectual property to which we have licenses, may determine not to pursue litigation against other companies that are infringing such intellectual property, or may pursue such litigation less aggressively than we would. Without protection for the intellectual property we license, other companies might be able to offer similar products for sale, which could adversely affect our competitive business position and harm our business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lose any of our rights to use third-party intellectual property, it could adversely affect our ability to commercialize our technologies, products or services, as well as harm our competitive business position and our business prospects.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Manufacturing, marketing, selling, testing and the operation of our electronic monitoring products and services entail a risk of product liability. We could be subject to product liability claims to the extent our electronic monitoring products fail to perform as intended. Even unsuccessful claims against us could result in the expenditure of funds in litigation, the diversion of management time and resources, damage to our reputation and impairment in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or that damages payable by us would harm our business.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Risks Related to Information Technology and Cybersecurity</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The interruption, delay or failure of the provision of our services or information systems could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segments of our business depend significantly on effective information systems. As with all companies that utilize information technology, we are vulnerable to negative impacts if information is inadvertently interrupted, delayed, compromised or lost. A significant disruption or failure of our information technology systems may have a significant impact on our operations, potentially resulting in service interruptions, security violations, regulatory compliance failures and other operational difficulties. We routinely process, store and transmit large amounts of data for our clients. We continually work to update and maintain effective information systems. 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For example, we disclosed in November 2020 that we had begun the process of notifying current and former employees and would provide additional notifications as required by applicable state and federal law regarding a ransomware attack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impacted a portion of our information technology systems and a limited amount of data that contained personally identifiable information and protected health information. Any security breach or event resulting in the interruption, delay or failure of our services or information systems, or the misappropriation, loss, or other unauthorized disclosure of client data, employee and former employee data or confidential information, whether by us directly or our third-party service providers, could damage our reputation, expose us to the risks of litigation and liability, disrupt our business, result in lost business or otherwise adversely affect our results of operations.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Risks Related to Acquisitions and Dispositions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may not be able to successfully identify or consummate acquisitions or dispositions.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pursue select acquisitions that meet our criteria for growth and profitability when market opportunities arise. We pursue select dispositions of assets and businesses that meet our criteria for maximizing the realization of value for such assets or businesses and for furthering our goal of deleveraging our balance sheet and reducing funded recourse debt. The pursuit of acquisitions or dispositions may pose certain risks to us. We may not be able to identify acquisition candidates that fit our criteria for growth and profitability. We may not be able to identify purchasers for the sale of any of our assets or businesses or we may not be able to obtain a purchase price for such assets or businesses that we feel is reflective of the quality of such assets or businesses. Even if we are able to identify such candidates or purchasers, we may not be able to acquire such targets or dispose of such assets or businesses on terms satisfactory to us. We will incur expenses and dedicate attention and resources associated with the review of acquisition or disposition opportunities, whether or not we consummate such acquisitions or dispositions.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even if we are able to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We may not be able to achieve the anticipated operating and cost synergies or long-term strategic benefits of our acquisitions within the anticipated timing or at all. For example, elimination of duplicative costs may not be fully achieved or may take longer than anticipated. For at least the first year after a substantial acquisition, and possibly longer, the benefits from the acquisition will be offset by the costs incurred in integrating the businesses and operations. We may also assume liabilities in connection with acquisitions that we would otherwise not be exposed to.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even if we are able to dispose of any assets or businesses on agreeable terms, we may not achieve the anticipated benefits of such disposition within the contemplated timing or at all. A disposition of any assets or businesses may result in decreased earnings, revenue, or cash flow. We may also be subject to claims from the purchasers of such assets or businesses relating to liabilities or indemnification obligations in connection with such dispositions. An inability to realize the full extent of, or any of, the anticipated benefits of a disposition as well as any delays that may be encountered in the disposition process, could have an adverse effect on our business, results of operations and our ability to deleverage our balance sheet and reduce funded recourse debt.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 substantial amount of goodwill and other intangible assets resulting from business acquisitions. As of December 31, 2023, we had $891.1 million of goodwill and other intangible assets. At least annually, or whenever events or changes in circumstances indicate a potential impairment in the carrying value (as defined by Generally Accepted Accounting Principles in the United States of America, or U.S. GAAP), we will evaluate this goodwill for impairment by first assessing qualitative factors to determine whether the existence of events or circumstances leads to a determination that it is more likely than not that the fair value of the reporting unit is less than the carrying amount. Estimated fair values could change and/or decline if there are changes in our capital structure, cost of debt, interest rates, capital expenditure levels, operating cash flows, market capitalization, and the political and regulatory environment. For example, our stock price has experienced volatility and periods of a significant decline over the course of the last several years. A future decline or prolonged decline in the value of our stock price may result in material impairment charges. Impairments of goodwill or other intangible assets could require material non-cash charges to our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Legal, Regulatory and Compliance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Failure to comply with extensive government regulation and applicable contractual requirements could have a material adverse effect on our business,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sector in which we operate is subject to extensive federal, state and local regulation, including educational, environmental, health care and safety laws, rules and regulations, which are administered by many regulatory authorities. Some of the regulations are unique to the sector, and the combination of regulations affects all areas of our operations. Corrections officers are customarily required to meet certain training standards, and, in some instances, facility personnel are required to be licensed and are subject to background investigations. Certain jurisdictions also require us to award subcontracts on a competitive basis or to subcontract with businesses owned by members of minority groups. We may not always successfully comply with these and other regulations to which we are subject and failure to comply can result in material penalties or the non-renewal or termination of facility management contracts. In addition, changes in existing regulations could require us to substantially modify the manner in which we conduct our business and, therefore, could have a material adverse effect on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public-private partnerships are increasingly subject to government legislation and regulation attempting to restrict the ability of private sector companies to operate facilities housing certain classifications of individuals, such as individuals from other jurisdictions or individuals at higher security levels. Legislation has been enacted in several states and has previously been proposed in the United States House of Representatives, containing such restrictions.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Governmental agencies may investigate and audit our contracts and, if any improprieties are found, we may be required to refund amounts we have received, to forego anticipated revenues and we may be subject to penalties and sanctions, including prohibitions on our bidding in response to RFPs from governmental agencies to manage secure facilities. Governmental agencies we contract with have the authority to audit and investigate our contracts with them. As part of that process, governmental agencies may review our performance of the contract, our pricing practices, our cost structure and our compliance with applicable laws, regulations and standards.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we are found to have engaged in improper or illegal activities, including under the United States False Claims Act, we may be subject to civil and criminal penalties and administrative sanctions, including termination of contracts, forfeitures of profits, suspension of payments, fines and suspension or disqualification from doing business with certain governmental entities. An adverse determination in an action alleging improper or illegal activities by us could also adversely impact our ability to bid in response to RFPs in one or more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compliance with applicable laws and regulations, our facility management contracts typically have numerous requirements addressing all aspects of our operations which we may not be able to satisfy. For example, our contracts require us to maintain certain levels of coverage for general liability, workers’ compensation, vehicle liability, and property loss or damage. If we do not maintain the required categories and levels of coverage, the contracting governmental agency may be permitted to terminate the contract. In addition, we are required under our contracts to indemnify the contracting governmental agency for all claims and costs arising out of our management of facilities and, in some instances, we are required to maintain performance bonds relating to the construction, development and operation of facilities. Facility management contracts also typically include reporting requirements, supervision and on-site monitoring by representatives of the contracting governmental agencies. Failure to properly adhere to the various terms of our customer contracts could expose us to liability for damages relating to any breaches as well as the loss of such contracts, which could materially adversely impact us.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Our business operations expose us to various liabilities for which we may not have adequate insurance and may have a material adverse effect on our business,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nature of our services exposes us to various types of third-party allegations and legal claims, including, but not limited to, civil rights claims relating to conditions of confinement and/or mistreatment, sexual misconduct claims brought by individuals within our care, medical malpractice claims, claims relating to the federal Trafficking and Victims Protection Act, claims relating to our COVID-19 response procedures, breach of fiduciary duty claims, shareholder derivative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detainees, including damages arising from an inmate’s escape or from a disturbance or riot at a facility. In addition, our management contracts generally require us to indemnify the governmental agency against any damages to which the governmental agency may be subject in connection with such claims or litigation.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maintain insurance coverage for these general types of claims, except for claims relating to employment matters, for which we carry no insurance. However, we generally have high deductible payment requirements on our primary insurance policies, including our general liability insurance, and there are also varying limits on the maximum amount of our overall coverage. As a result, the insurance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maintain to cover the various liabilities to which we are exposed may not be adequate. Any losses relating to matters for which we are either uninsured or for which we do not have adequate insurance could have a material adverse effect on our business, financial condition or results of operations. In addition, any losses relating to employment matters could have a material adverse effect on our business, financial condition or results of operations.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and/or retain our existing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third quarter of 2021, the court hearing the previously disclosed shareholder class action filed against GEO and certain of its </w:t>
      </w:r>
    </w:p>
    <w:p>
      <w:pPr>
        <w:pStyle w:val="TextBody"/>
        <w:bidi w:val="0"/>
        <w:jc w:val="left"/>
        <w:rPr>
          <w:rFonts w:ascii="Times New Roman" w:hAnsi="Times New Roman"/>
          <w:color w:val="000000"/>
          <w:sz w:val="20"/>
        </w:rPr>
      </w:pPr>
      <w:r>
        <w:rPr>
          <w:rFonts w:ascii="Times New Roman" w:hAnsi="Times New Roman"/>
          <w:color w:val="000000"/>
          <w:sz w:val="20"/>
        </w:rPr>
        <w:t>officers granted in part and denied in part the defendants' motion to dismiss. As set forth more fully in Note 16 – Commitments, Contingencies and Other Matters of the Notes to the audited consolidated financial statements included in Part II, Item 8 of this Annual Report on Form 10-K, the parties resolved this matter following mediation for a payment to a settlement class of $3 million paid by the Company’s insurance carrier. Also during the third quarter of 2021, as set forth more fully in Note 16 – Commitments, Contingencies and Other Matters of the Notes to the audited consolidated financial statements included in Part II, Item 8 of this Annual Report on Form 10-K, a putative shareholder derivative complaint was filed in state court against GEO and its directors and certain of its officers. These actions are still pending.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fourth quarter of 2021, we received an unfavorable jury verdict and combined $23.2 million judgments in the retrial of two cases, State of Washington v. GEO Group and Nwauzor et al. v. GEO Group, in U.S. District Court for the Western District of Washington, which judgment amounts were subsequently increased by a further award against the Company of attorney’s fees, costs, and pre-judgment interest in the amount of $14.4 million. While we strongly disagree with the verdict and judgments in these two cases and have appealed to the U.S. Court of Appeals for the Ninth Circuit, we cannot make any assurances that we will prevail on appeal. At this time, GEO has not recorded an accrual relating to these two cases because a loss, following the appeals process, is not considered probable. If we are required to record an accrual with regard to these cases or other similar cases, that may have a material adverse effect on our business, financial condition or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 state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approved by the state tax authority and served as the basis for the approved refund claim. In early January 2017, the Company received a formal Notice of Assessment of Taxes and Demand for Payment from the taxing authority disallowing the deductions. The total tax, penalty and interest related to the assessment is approximately $21.1 million</w:t>
      </w:r>
      <w:r>
        <w:rPr>
          <w:rFonts w:ascii="Times New Roman" w:hAnsi="Times New Roman"/>
          <w:color w:val="000000"/>
          <w:sz w:val="24"/>
        </w:rPr>
        <w:t>. T</w:t>
      </w:r>
      <w:r>
        <w:rPr>
          <w:rFonts w:ascii="Times New Roman" w:hAnsi="Times New Roman"/>
          <w:color w:val="000000"/>
          <w:sz w:val="20"/>
        </w:rPr>
        <w:t>he Company appealed the administrative ruling. In February 2024, the Company received notice that the New Mexico Court of Appeals had ruled against its appeal. The Company plans to appeal this ruling to the State Supreme Court by timely filing a Petition for Writ of Certiorari. The Company disagrees with the assessment and intends to take all necessary steps to vigorously defend its position. The Company has established an estimated liability based on its estimate of the most probable loss based on the facts and circumstances known to date and the advice of outside counsel in connection with this matter.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results of these claims or proceedings, or other litigation matters, cannot be predicted with certainty, and an unfavorable resolution of one or more of these claims or proceedings could have a material adverse effect on the Company's financial condition, results of operations or cash flows. The Company's accruals for loss contingencies are reviewed quarterly and adjusted as additional information becomes available. The Company establishes accruals for specific legal proceedings when it is considered probable that a loss has been incurred and the amount of the loss can be reasonably estimated. The Company does not accrue for anticipated legal fees and costs but expenses those items as incurred.</w:t>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may not be able to obtain or maintain the insurance levels required by our government contracts.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government contracts require us to obtain and maintain specified insurance levels. The occurrence of any events specific to our company or to our industry, or a general rise in insurance rates, could substantially increase our costs of obtaining or maintaining the levels of insurance required under our government contracts, or prevent us from obtaining or maintaining such insurance altogether. If we are unable to obtain or maintain the required insurance levels, our ability to win new government contracts, renew government contracts that have expired and retain existing government contracts could be significantly impaired, which could have a material adverse effect on our business, financial condition and/or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anti-bribery and anti-corruption laws could subject us to penalties and other adverse consequences.</w:t>
      </w:r>
    </w:p>
    <w:p>
      <w:pPr>
        <w:pStyle w:val="TextBody"/>
        <w:bidi w:val="0"/>
        <w:jc w:val="left"/>
        <w:rPr>
          <w:rFonts w:ascii="Times New Roman" w:hAnsi="Times New Roman"/>
          <w:color w:val="000000"/>
          <w:sz w:val="20"/>
        </w:rPr>
      </w:pPr>
      <w:r>
        <w:rPr>
          <w:rFonts w:ascii="Times New Roman" w:hAnsi="Times New Roman"/>
          <w:color w:val="000000"/>
          <w:sz w:val="20"/>
        </w:rPr>
        <w:t xml:space="preserve">As we operate both domestically and abroad, we are subject to the United States Foreign Corrupt Practices Act (“FCPA”), the U.K.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Bribery Act, the U.S. domestic bribery statute contained in 18 U.S.C. § 201, and other anti-corruption and anti-bribery laws and regulations in the jurisdictions in which we do business, both domestic and abroad. These laws and regulations generally prohibit improper payments or offers of improper payments to government officials, political parties, or commercial partners for the purpose of obtaining or retaining business or securing an improper business advantage.</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operations, deal with and enter into contracts with governmental or quasi-governmental entities in the United States and in </w:t>
      </w:r>
    </w:p>
    <w:p>
      <w:pPr>
        <w:pStyle w:val="TextBody"/>
        <w:bidi w:val="0"/>
        <w:jc w:val="left"/>
        <w:rPr>
          <w:rFonts w:ascii="Times New Roman" w:hAnsi="Times New Roman"/>
          <w:color w:val="000000"/>
          <w:sz w:val="20"/>
        </w:rPr>
      </w:pPr>
      <w:r>
        <w:rPr>
          <w:rFonts w:ascii="Times New Roman" w:hAnsi="Times New Roman"/>
          <w:color w:val="000000"/>
          <w:sz w:val="20"/>
        </w:rPr>
        <w:t xml:space="preserve">non-U.S. countries, including Australia, the U.K. and South Africa, and further expansion of our services abroad may involve additional regions. Corruption issues pose a risk in every country and jurisdiction, but in many countries, particularly in countries with developing economies, it may be more common for businesses to engage in practices that are prohibited by the FCPA or other applicable laws and regulations, and our activities in these countries pose a heightened risk of unauthorized payments or offers of payments by one of our employees or third-party business partners, representatives, and agents that could be in violation of various laws including the FCPA. The FCPA, U.K. Bribery Act and other applicable anti-bribery and anti-corruption laws also may hold us liable for acts of corruption and bribery committed by our third-party business partners, representatives, and agents. We and our third-party business partners, representatives, and agents may have direct or indirect interactions with officials and employees of government agencies or state-owned or affiliated entities and we may be held liable for the corrupt or other illegal activities of our employees or such third parties even if we do not explicitly authorize such activities. The FCPA or other applicable laws and regulations also require that we keep accurate books and records and maintain internal controls and compliance procedures designed to prevent any such actions. </w:t>
      </w:r>
    </w:p>
    <w:p>
      <w:pPr>
        <w:pStyle w:val="TextBody"/>
        <w:bidi w:val="0"/>
        <w:jc w:val="left"/>
        <w:rPr>
          <w:rFonts w:ascii="Times New Roman" w:hAnsi="Times New Roman"/>
          <w:color w:val="000000"/>
          <w:sz w:val="20"/>
        </w:rPr>
      </w:pPr>
      <w:r>
        <w:rPr>
          <w:rFonts w:ascii="Times New Roman" w:hAnsi="Times New Roman"/>
          <w:color w:val="000000"/>
          <w:sz w:val="20"/>
        </w:rPr>
        <w:t xml:space="preserve">While we have implemented policies and procedures to address compliance with such laws, we cannot ensure that our employees or </w:t>
      </w:r>
    </w:p>
    <w:p>
      <w:pPr>
        <w:pStyle w:val="TextBody"/>
        <w:bidi w:val="0"/>
        <w:jc w:val="left"/>
        <w:rPr>
          <w:rFonts w:ascii="Times New Roman" w:hAnsi="Times New Roman"/>
          <w:color w:val="000000"/>
          <w:sz w:val="20"/>
        </w:rPr>
      </w:pPr>
      <w:r>
        <w:rPr>
          <w:rFonts w:ascii="Times New Roman" w:hAnsi="Times New Roman"/>
          <w:color w:val="000000"/>
          <w:sz w:val="20"/>
        </w:rPr>
        <w:t>other third parties working on our behalf will not engage in conduct in violation of our policies or applicable law for which we might ultimately be held responsible. Violations of the FCPA, the U.K. Bribery Act, and other laws may result in whistleblower complaints, adverse media coverage, investigations, imposition of significant legal fees, as well as severe criminal or civil sanctions, including suspension or debarment from U.S. government contracting, and we may be subject to other liabilities and adverse effects on our reputation, which could negatively affect our business, results of operations, financial condition, and growth prospects. In addition, responding to any enforcement action may result in a significant diversion of management’s attention and resources and significant defense costs and other professional fees. Our exposure for violating these laws increases as our non-U.S. presence expands and as we increase operations in foreign jurisdictions.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Corporate Social Responsibility</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are subject to risks related to corporate social responsibility.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consideration of ESG factors in making investment and voting decisions is relatively new, and frameworks and methods used by investors for assessing ESG policies are not fully developed and vary considerably among the investment community. In October 2023, we issued our fifth Human Rights and ESG report. The publication of our fifth annual Human Rights and ESG report highlights our continued commitment to respecting the human rights and improving the lives of those entrusted to our care. This important report includes enhanced disclosures related to our Board oversight of human rights and ESG matters, employee diversity and training programs, corporate governance, and environmental sustainability, including updated metrics and statistics for the calendar year 2022, in accordance with the new Universal Standards of the Global Reporting Initiative (GRI). Our fifth annual ESG report also reinforces our commitment to providing enhanced rehabilitation and post-release support services through our award-winning GEO Continuum of Care® (CoC) program. Additionally, the Company undertook a Human Rights Risk Assessment and Due Diligence process. This process focused on identifying salient human rights and included interviews with and feedback from a diverse group of internal and external GEO stakeholders. The results of this due diligence process have been incorporated into the fourth annual Human Rights and ESG report. We also publish an annual Political Activity and Lobbying Report providing information on political contributions and our lobbying activities, including disclosure relating to political contributions at the corporate and GEO Political Action Committee level, contributions by recipient category of federal candidates, parties and committees and state/local candidates, parties and committees, amounts paid for lobbying activities and information relating to memberships in trade and membership associations, chambers of commerce and other groups where the annual membership fee is in excess of $25,000.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These policies, practices and reports, whether it be the standards we set for ourselves or ESG criteria established by third parties, whether or not we meet such standards, and the level of disclosure we provide in our reports may influence our reputation. For example, the perception held by our governmental partners, vendors, suppliers, shareholders, other stakeholders, the communities in which we do business or the general public may depend, in part, on the standards we have chosen to aspire to meet, whether or not we meet these standards on a timely basis or at all, whether or not we meet external ESG factors they deem relevant and the level of disclosure we provide relating to human rights, ESG, and our political and lobbying activities. The subjective nature and wide variety of frameworks and methods used by various stakeholders, including investors, to assess a company with respect to ESG criteria can result in the application or perception of negative ESG factors or a misrepresentation of our ESG policies and practices. Our failure to achieve progress on our human rights and ESG policies and practices on a timely basis, or at all, meet human rights or ESG criteria set by third parties, or provide the disclosure relating to human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ESG, political and lobbying activities which any third parties may believe is necessary or appropriate could adversely affect our business, financial condition and/or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electing to publicly share our Human Rights and ESG report and our Political Activity and Lobbying Report, our business may face increased scrutiny related to our human rights and ESG activities and our political contributions and lobbying activities. As a result, our reputation could be adversely impacted if we fail to act responsibly in the areas in which we report, such as human rights, the development of our workforce, safety and security, addressing recidivism, engaging with our stakeholders, ethics and governance, oversight and contract compliance, energy and environmental sustainability, financial management and performance and political contributions and lobbying activities. Any harm to our reputation resulting from setting these standards or our failure or perceived failure to meet such standards or resulting from the reporting of our political contributions and lobbying activities could impact: the willingness of our governmental partners, vendors and suppliers to do business with us or the quality of our relationships with our governmental partners, vendors and suppliers; our ability to access capital in the debt or equity markets; our investors willingness or ability to purchase or hold our securities; and employee retention and the quality of relations with our employees, any of which could adversely affect our business, financial condition and/or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states have proposed legislation to direct or prevent pension investments and financial institutions from basing their investment </w:t>
      </w:r>
    </w:p>
    <w:p>
      <w:pPr>
        <w:pStyle w:val="TextBody"/>
        <w:bidi w:val="0"/>
        <w:jc w:val="left"/>
        <w:rPr>
          <w:rFonts w:ascii="Times New Roman" w:hAnsi="Times New Roman"/>
          <w:color w:val="000000"/>
          <w:sz w:val="20"/>
        </w:rPr>
      </w:pPr>
      <w:r>
        <w:rPr>
          <w:rFonts w:ascii="Times New Roman" w:hAnsi="Times New Roman"/>
          <w:color w:val="000000"/>
          <w:sz w:val="20"/>
        </w:rPr>
        <w:t xml:space="preserve">decisions on ESG standards and ratings. To the extent that we are performing favorably measured against a pension investment's or financial institution's ESG standards and ratings, the enactment of such legislation could have an adverse effect on us and impact an investor's ability to purchase or hold our securities. </w:t>
      </w:r>
    </w:p>
    <w:p>
      <w:pPr>
        <w:pStyle w:val="TextBody"/>
        <w:bidi w:val="0"/>
        <w:spacing w:before="0" w:after="16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The market price of our common stock may vary substantially. If the market price of our common stock were to decline further in the future at a specific measurement time period that impacts our public float calculation, we could potentially lose our status as a well-known seasoned issuer and/or large accelerated filer.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market price of our common stock may vary substantially. Factors that could affect the market price of our common stock include the following:</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actual or anticipated variations in our quarterly results of operations;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market valuations of companies in our industry;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announcements by us or our competitors of changes to capital allocation strategy, acquisitions, dispositions, investments or strategic alliances;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expectations of future financial performance or changes in estimates of securities analysts;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fluctuations in stock market prices and volumes;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issuances of common stock or other securities convertible into common stock in the future;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addition or departure of key personnel;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the prospects of public-private partnerships.</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market price of our common stock were to decline further in the future at a specific measurement time period that impacts our public float calculation, we could potentially lose our status as a well-known seasoned issuer and/or large accelerated filer and suffer negative consequences. If we do not qualify as a well-known seasoned issuer, we will not be able to file automatic shelf registration statements on Form S-3ASR and enjoy the benefits associated with such registration statements, including that they become effective immediately upon filing, they permit companies to omit more information from the base prospectus than permitted for other shelf registration statements; they allow companies to register unspecified amounts of securities and do so without allocating among securities or between primary and secondary offerings, and they permit companies to pay filing fees on a "pay-as-you-go" basis at the time of each takedown from the shelf registration statement. The loss of status as a well-known seasoned issuer and large accelerated filer may impact the views or perceptions of investors and analysts and may influence investors' willingness to purchase or hold our securities or analysts' recommendations regarding our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Future sales or issuances of shares of our common stock could adversely affect the market price of our common stock and may be dilutive to current shareholders.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Sales or issuances of shares of our common stock, or the perception that such sales or issuances could occur, could adversely affect the price for our common stock. As of December 31, 2023, there were 187,500,000 shares of common stock authorized under our Articles of Incorporation, of which 126,087,401 shares were outstanding. Our Board of Directors may authorize the issuance of additional authorized but unissued shares of our common stock or other authorized but unissued securities of ours at any time, including pursuant to our equity incentive plan and our employee stock purchase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30, 2023, the Company filed an automatic shelf registration statement on Form S-3ASR with the SEC that enables the Company to offer for sale, from time to time and as the capital markets permit, an unspecified amount of common stock, preferred stock, debt securities, guarantees of debt securities, warrants and units. Each time the Company offers to sell securities under the registration statement, the Company will provide a prospectus supplement that will contain specific information about the terms of that offering and the securities being offered. The shelf registration statement became automatically effective upon filing and is valid for three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not restricted from issuing additional shares of our common stock or other instruments exchangeable or convertible into our common stock. We cannot predict the size of future issuances or the effect, if any, that they may have on the market price for our common stock. If we issue more of our common stock or additional instruments exchangeable or convertible into or exercisable for our common stock, it may materially and adversely affect the price of our common stock and, in turn, the price of the Convertible Notes. Furthermore, the exchange, conversion or exercise of some or all of the Convertible Notes or such other instruments may dilute the ownership interests of existing shareholders, and any sales in the public market of shares of our common stock issuable upon any such exchange, conversion or exercise could adversely affect prevailing market prices of our common stock or the Convertible Notes. An offering or issuance of shares of our common stock may have a dilutive effect on our earnings per share and funds from operations per share after giving effect to the issuance of such shares of common stock and the receipt of the expected net proceeds. The actual amount of dilution from any offering of our equity securities cannot be determined at this time. The market price of our common stock, Convertible Notes or other such instruments could decline as a result of sales of a large number of shares of our common stock in the market pursuant to an offering, or otherwise, or as a result of the perception or expectation that such sales or issuances could occur.</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Various anti-takeover protections applicable to us may make an acquisition of us more difficult and reduce the market value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Florida corporation and the anti-takeover provisions of Florida law impose various impediments to the ability of a third party to acquire control of our company, even if a change of control would be beneficial to our shareholders. In addition, provisions of our articles of incorporation may make an acquisition of our company more difficult. Our articles of incorporation authorize the issuance by our Board of Directors of “blank check” preferred stock without shareholder approval. Such shares of preferred stock could be given voting rights, dividend rights, liquidation rights or other similar rights superior to those of our common stock, making a takeover of our company more difficult and expensive. In addition to discouraging takeovers, the anti-takeover provisions of Florida law and our articles of incorporation may have the impact of reducing the market value of our common stock.</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Failure to maintain effective internal controls in accordance with Section 404 of the Sarbanes-Oxley Act of 2002 could have an adverse effect on our business and the trading price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 to maintain the adequacy of our internal controls, in accordance with the requirements of Section 404 of the Sarbanes-Oxley Act of 2002, as such standards are modified, supplemented or amended from time to time, our exposure to fraud and errors in accounting and financial reporting could materially increase. Also, inadequate internal controls would likely prevent us from concluding on an ongoing basis that we have effective internal control over financial reporting in accordance with Section 404 of the Sarbanes-Oxley Act of 2002. Such failure to achieve and maintain effective internal controls could adversely impact our business and the price of our common stock.</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We may issue additional debt securities that could limit our operating flexibility and negatively affect the value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future, we may issue additional debt securities which may be governed by an indenture or other instrument containing covenants that could place restrictions on the operation of our business and the execution of our business strategy in addition to the restrictions on our business already contained in the agreements governing our existing debt. In addition, we may choose to issue additional debt that is convertible or exchangeable for other securities, including our common stock, or that has rights, preferences and privileges senior to our common stock. Because any decision to issue debt securities will depend on market conditions and other factors beyond our control, we cannot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predict or estimate the amount, timing or nature of any future debt financings and we may be required to accept unfavorable terms for any such financings. Accordingly, any future issuance of debt could dilute the interest of holders of our common stock and reduce the value of our common stock.</w:t>
      </w:r>
    </w:p>
    <w:p>
      <w:pPr>
        <w:pStyle w:val="TextBody"/>
        <w:bidi w:val="0"/>
        <w:jc w:val="left"/>
        <w:rPr/>
      </w:pPr>
      <w:r>
        <w:rPr/>
        <w:t> </w:t>
      </w:r>
    </w:p>
    <w:p>
      <w:pPr>
        <w:pStyle w:val="TextBody"/>
        <w:bidi w:val="0"/>
        <w:spacing w:before="40" w:after="120"/>
        <w:jc w:val="left"/>
        <w:rPr>
          <w:rFonts w:ascii="Times New Roman" w:hAnsi="Times New Roman"/>
          <w:b/>
          <w:i/>
          <w:color w:val="000000"/>
          <w:sz w:val="20"/>
        </w:rPr>
      </w:pPr>
      <w:r>
        <w:rPr>
          <w:rFonts w:ascii="Times New Roman" w:hAnsi="Times New Roman"/>
          <w:b/>
          <w:i/>
          <w:color w:val="000000"/>
          <w:sz w:val="20"/>
        </w:rPr>
        <w:t>The Company could be negatively affected as a result of the actions of activist or hostile shareholders.</w:t>
      </w:r>
    </w:p>
    <w:p>
      <w:pPr>
        <w:pStyle w:val="TextBody"/>
        <w:bidi w:val="0"/>
        <w:jc w:val="left"/>
        <w:rPr>
          <w:rFonts w:ascii="Times New Roman" w:hAnsi="Times New Roman"/>
          <w:color w:val="000000"/>
          <w:sz w:val="20"/>
        </w:rPr>
      </w:pPr>
      <w:r>
        <w:rPr>
          <w:rFonts w:ascii="Times New Roman" w:hAnsi="Times New Roman"/>
          <w:color w:val="000000"/>
          <w:sz w:val="20"/>
        </w:rPr>
        <w:t>Shareholder activism, which could take many forms and arise in a variety of situations, has been increasing among publicly traded companies. Shareholder activism, including potential proxy contests, requires significant time and attention by management and the Board of Directors, potentially hindering the Company’s ability to execute its strategic plan and negatively affecting the trading value of our common stock. Additionally, shareholder activism could give rise to perceived uncertainties as to the Company’s future direction, adversely affect its relationships with key executives, customers and other business partners, or make it more difficult to attract and retain qualified personnel. Also, the Company may in the future be required to incur significant legal fees and other expenses related to activist shareholder matters. Any of these impacts could materially and adversely affect the Company and operating results.</w:t>
      </w:r>
    </w:p>
    <w:p>
      <w:pPr>
        <w:pStyle w:val="TextBody"/>
        <w:bidi w:val="0"/>
        <w:jc w:val="left"/>
        <w:rPr/>
      </w:pPr>
      <w:r>
        <w:rPr/>
        <w:t> </w:t>
      </w:r>
    </w:p>
    <w:p>
      <w:pPr>
        <w:pStyle w:val="TextBody"/>
        <w:bidi w:val="0"/>
        <w:spacing w:before="40" w:after="120"/>
        <w:jc w:val="left"/>
        <w:rPr>
          <w:rFonts w:ascii="Times New Roman" w:hAnsi="Times New Roman"/>
          <w:b/>
          <w:i/>
          <w:color w:val="000000"/>
          <w:sz w:val="20"/>
        </w:rPr>
      </w:pPr>
      <w:r>
        <w:rPr>
          <w:rFonts w:ascii="Times New Roman" w:hAnsi="Times New Roman"/>
          <w:b/>
          <w:i/>
          <w:color w:val="000000"/>
          <w:sz w:val="20"/>
        </w:rPr>
        <w:t>A “short squeeze” due to a sudden increase in demand for shares of our common stock that largely exceeds supply has led to, and may continue to lead to, extreme price volatility in shares of our common stock.</w:t>
      </w:r>
    </w:p>
    <w:p>
      <w:pPr>
        <w:pStyle w:val="TextBody"/>
        <w:bidi w:val="0"/>
        <w:jc w:val="left"/>
        <w:rPr>
          <w:rFonts w:ascii="Times New Roman" w:hAnsi="Times New Roman"/>
          <w:color w:val="000000"/>
          <w:sz w:val="20"/>
        </w:rPr>
      </w:pPr>
      <w:r>
        <w:rPr>
          <w:rFonts w:ascii="Times New Roman" w:hAnsi="Times New Roman"/>
          <w:color w:val="000000"/>
          <w:sz w:val="20"/>
        </w:rPr>
        <w:t>Investors may purchase shares of our common stock to hedge existing exposure or to speculate on the price of our common stock. Speculation on the price of our common stock may involve long and short exposures. To the extent aggregate short exposure exceeds the number of shares of our common stock available for purchase on the open market, investors with short exposure may have to pay a premium to repurchase shares of our common stock for delivery to lenders of our common stock. Those repurchases may in turn, dramatically increase the price of shares of our common stock until additional shares of our common stock are available for trading or borrowing. This is often referred to as a “short squeeze.” A large proportion of our common stock has been in the past and may continue to be traded by short sellers which may increase the likelihood that our common stock will be the target of a short squeeze. A short squeeze has led and could continue to lead to volatile price movements in shares of our common stock that are unrelated or disproportionate to our operating performance or prospects and, once investors purchase the shares of our common stock necessary to cover their short positions, the price of our common stock may rapidly decline. Investors that purchase shares of our common stock during a short squeeze may lose a significant portion of their investment.</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bookmarkStart w:id="6" w:name="item_1b_unresolved_staff_comments"/>
      <w:bookmarkEnd w:id="6"/>
      <w:r>
        <w:rPr>
          <w:rFonts w:ascii="Times New Roman" w:hAnsi="Times New Roman"/>
          <w:b/>
          <w:color w:val="000000"/>
          <w:sz w:val="20"/>
        </w:rPr>
        <w:t>Item 1B.</w:t>
      </w:r>
      <w:r>
        <w:rPr>
          <w:rFonts w:ascii="Times New Roman" w:hAnsi="Times New Roman"/>
          <w:color w:val="000000"/>
          <w:sz w:val="20"/>
        </w:rPr>
        <w:t xml:space="preserve"> </w:t>
      </w:r>
      <w:r>
        <w:rPr>
          <w:rFonts w:ascii="Times New Roman" w:hAnsi="Times New Roman"/>
          <w:b/>
          <w:i/>
          <w:color w:val="000000"/>
          <w:sz w:val="20"/>
        </w:rPr>
        <w:t>Unresolved Staff Comments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40" w:after="283"/>
        <w:jc w:val="left"/>
        <w:rPr>
          <w:rFonts w:ascii="Times New Roman" w:hAnsi="Times New Roman"/>
          <w:sz w:val="20"/>
        </w:rPr>
      </w:pPr>
      <w:bookmarkStart w:id="7" w:name="item_1c_cybersecurity"/>
      <w:bookmarkEnd w:id="7"/>
      <w:r>
        <w:rPr>
          <w:rFonts w:ascii="Times New Roman" w:hAnsi="Times New Roman"/>
          <w:b/>
          <w:color w:val="000000"/>
          <w:sz w:val="20"/>
        </w:rPr>
        <w:t xml:space="preserve">Item 1C. </w:t>
      </w:r>
      <w:r>
        <w:rPr>
          <w:rFonts w:ascii="Times New Roman" w:hAnsi="Times New Roman"/>
          <w:b/>
          <w:i/>
          <w:color w:val="000000"/>
          <w:sz w:val="20"/>
        </w:rPr>
        <w:t>Cybersecurity</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government contractor, GEO routinely processes, stores, and transmits large amounts of “Personally Identifiable Information”. As such, we understand the criticalness of having a robust cybersecurity program that protects company assets as well as our clients’ data. Our customers, suppliers, service providers, subcontractors, and joint venture partners face similar cybersecurity threats, and a cybersecurity incident impacting us or any of these entities could materially adversely affect our operations, performance, and results of operations. </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through its Cybersecurity and Environmental Oversight Committee, oversees management’s processes for identifying and mitigating risks, including cybersecurity risks, to help align our risk exposure with our strategic objectives. Senior leadership, including our Chief Information Security Officer (CISO), quarterly or as needed briefs the Board of Directors on our cybersecurity and information security posture, and the Board of Directors is apprised of cybersecurity incidents deemed to have a moderate or higher business impact, even if immaterial to us. </w:t>
      </w:r>
    </w:p>
    <w:p>
      <w:pPr>
        <w:pStyle w:val="TextBody"/>
        <w:bidi w:val="0"/>
        <w:jc w:val="both"/>
        <w:rPr>
          <w:rFonts w:ascii="Times New Roman" w:hAnsi="Times New Roman"/>
          <w:color w:val="000000"/>
          <w:sz w:val="20"/>
        </w:rPr>
      </w:pPr>
      <w:r>
        <w:rPr>
          <w:rFonts w:ascii="Times New Roman" w:hAnsi="Times New Roman"/>
          <w:color w:val="000000"/>
          <w:sz w:val="20"/>
        </w:rPr>
        <w:t xml:space="preserve">Our corporate information security organization, led by our CISO, is responsible for our overall information security strategy, policy, security engineering, operations and cyber threat detection and response. Our current CISO has extensive information technology and program management experience and has served many years in our corporate information security organization. In addition, our CISO has a certificate in Cybersecurity Oversight from the Carnegie Mellon University Software Engineering Institute. The corporate information security organization oversees, manages, and continually enhances a robust enterprise security structure with the goal of preventing cybersecurity incidents to the extent feasible, while simultaneously increasing our system resilience to minimize the business impact should an incident occur. Employees outside of our corporate information security organization also have a role in our cybersecurity defenses and they are immersed in a corporate culture that supports information security, which we believe improves our cybersecurity. </w:t>
      </w:r>
    </w:p>
    <w:p>
      <w:pPr>
        <w:pStyle w:val="TextBody"/>
        <w:bidi w:val="0"/>
        <w:jc w:val="both"/>
        <w:rPr>
          <w:rFonts w:ascii="Times New Roman" w:hAnsi="Times New Roman"/>
          <w:color w:val="000000"/>
          <w:sz w:val="20"/>
        </w:rPr>
      </w:pPr>
      <w:r>
        <w:rPr>
          <w:rFonts w:ascii="Times New Roman" w:hAnsi="Times New Roman"/>
          <w:color w:val="000000"/>
          <w:sz w:val="20"/>
        </w:rPr>
        <w:t xml:space="preserve">The corporate information security organization has implemented a governance structure and processes to assess, identify, manage, and report cybersecurity risks. The underlying controls of the cyber risk management program are based on recognized best practices and standards for cybersecurity and information technology, including the National Institute of Standards and Technology (“NIST”) Cybersecurity Framework (“CSF”) and the Center for Internet Security controls. In addition, GEO has robust policies and procedures related to cybersecurity and general IT practices that include but are not limited to encryption standards, antivirus protection, remote access, multifactor authentication, confidential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information and the use of the internet, social media, email, and wireless devices. These policies go through an internal review process and are approved by appropriate members of management. </w:t>
      </w:r>
    </w:p>
    <w:p>
      <w:pPr>
        <w:pStyle w:val="TextBody"/>
        <w:bidi w:val="0"/>
        <w:jc w:val="both"/>
        <w:rPr>
          <w:rFonts w:ascii="Times New Roman" w:hAnsi="Times New Roman"/>
          <w:color w:val="000000"/>
          <w:sz w:val="20"/>
        </w:rPr>
      </w:pPr>
      <w:r>
        <w:rPr>
          <w:rFonts w:ascii="Times New Roman" w:hAnsi="Times New Roman"/>
          <w:color w:val="000000"/>
          <w:sz w:val="20"/>
        </w:rPr>
        <w:t xml:space="preserve">Assessing, identifying, and managing cybersecurity related risks are integrated into our overall enterprise risk management (ERM) process. These initiatives are supported by a Managed Security Service Provider ("MSSP") that provides continuous intelligence and threat assessments, including such risks from cybersecurity threats associated with our use of any third-party service provider. Also, as part of the program, GEO engages third party cybersecurity organizations to perform bi-annual assessments of the environment. Identified cybersecurity related risks are included in the risk universe that the ERM function evaluates to assess top risks to the enterprise on an annual basis. To the extent the ERM process identifies a heightened cybersecurity related risk, risk owners are assigned to develop risk mitigation plans, which are then tracked to completion. The ERM process’s annual risk assessment is presented to the Board. </w:t>
      </w:r>
    </w:p>
    <w:p>
      <w:pPr>
        <w:pStyle w:val="TextBody"/>
        <w:bidi w:val="0"/>
        <w:jc w:val="both"/>
        <w:rPr>
          <w:rFonts w:ascii="Times New Roman" w:hAnsi="Times New Roman"/>
          <w:color w:val="000000"/>
          <w:sz w:val="20"/>
        </w:rPr>
      </w:pPr>
      <w:r>
        <w:rPr>
          <w:rFonts w:ascii="Times New Roman" w:hAnsi="Times New Roman"/>
          <w:color w:val="000000"/>
          <w:sz w:val="20"/>
        </w:rPr>
        <w:t xml:space="preserve">Notwithstanding the extensive approach we take to prevent cybersecurity breaches, we may not be successful in preventing or mitigating a cybersecurity incident that could have a material adverse financial impact to our business. While GEO maintains cybersecurity insurance, the costs related to cybersecurity threats or disruptions may not be fully insured. See Item 1A. “Risk Factors” for a discussion of cybersecurity risks. There have been no risks from cybersecurity threats, including as a result of any previous cybersecurity incidents, that have materially affected or are reasonably likely to materially affect GEO, including its business strategy, results of operations, or financial condition. </w:t>
      </w:r>
    </w:p>
    <w:p>
      <w:pPr>
        <w:pStyle w:val="TextBody"/>
        <w:bidi w:val="0"/>
        <w:spacing w:before="270" w:after="283"/>
        <w:jc w:val="left"/>
        <w:rPr>
          <w:rFonts w:ascii="Times New Roman" w:hAnsi="Times New Roman"/>
          <w:sz w:val="20"/>
        </w:rPr>
      </w:pPr>
      <w:bookmarkStart w:id="8" w:name="item_2_properties"/>
      <w:bookmarkEnd w:id="8"/>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Properties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owns and leases its corporate offices, which are both located in Boca Raton, Florida. The Company purchased land in Boca Raton, Florida to construct a new corporate office building which was completed in the first quarter of 2019. The Company's lease on its additional corporate office space expires in December 2028 and has two 5-year renewal options which if exercised will result in a maximum term ending in December 2038. In addition, we lease office space for our eastern regional office in Charlotte, North Carolina; our central regional office in San Antonio, Texas; and our western regional office in Los Angeles, California. As a result of the BI acquisition in February 2011 and the Protocol acquisition in February 2014, we are also currently leasing office space in Boulder, Colorado and Aurora, Illinois, respectively. We also lease office space in Sydney and Melbourne, Australia, and in Sandton, South Africa, through our overseas affiliates to support our Australian, and South African operations, respectively. We consider our office space adequate for our current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the Facilities and Day Reporting Centers listed under Item 1 for a list of the correctional, detention and reentry properties we own or lease in connection with our operations and specifically our U.S. Secure Services segment, our Reentry Services segment and our International Services segment.</w:t>
      </w:r>
    </w:p>
    <w:p>
      <w:pPr>
        <w:pStyle w:val="TextBody"/>
        <w:bidi w:val="0"/>
        <w:spacing w:before="270" w:after="283"/>
        <w:jc w:val="left"/>
        <w:rPr>
          <w:rFonts w:ascii="Times New Roman" w:hAnsi="Times New Roman"/>
          <w:sz w:val="20"/>
        </w:rPr>
      </w:pPr>
      <w:bookmarkStart w:id="9" w:name="item_3_legal_proceedings"/>
      <w:bookmarkEnd w:id="9"/>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Shareholder and Derivative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7, 2020, a putative shareholder class action lawsuit was filed against the Company and its officers George C. Zoley and Brian R. Evans in the U.S. District Court for the Southern District of Florida. On November 18, 2020, the lead plaintiffs, James Michael DeLoach and Edward Oketola, filed a consolidated class action amended complaint against Messrs. Zoley and Evans––as well as then current and former Company officers J. David Donahue and Ann M. Schlarb. On September 23, 2021, the court dismissed all claims against Messrs. Evans and Donahue, and Ms. Schlarb, and dismissed all claims against GEO and Mr. Zoley other than claims related to GEO's disclosures about pending litigation. On October 4, 2021, plaintiffs filed a consolidated class action second amended complaint. The second amended complaint alleged that GEO and Mr. Zoley violated Sections 10(b) and 20(a) of the Securities Exchange Act of 1934 (the “Exchange Act”), and Rule 10b-5 promulgated thereunder, and alleged that Mr. Zoley violated Section 20(a) of the Exchange Act, by making materially false and misleading statements and/or omissions related to pending litigation, and sought relief individually and on behalf of a putative class consisting of all persons and entities––other than the defendants, the officers and directors of the Company, members of their immediate families and their legal representatives, heirs, successors or assigns and any entity in which the defendants have or had a controlling interest––who purchased or otherwise acquired the Company’s securities during the alleged class period from November 9, 2018 to August 5, 2020, inclusive. The second amended complaint sought damages, interest, attorneys’ fees, expert fees, other costs, and such other relief as the court deemed proper. On June 21, 2022, the court dismissed all claims in the second amended complaint other than those related to the Company’s statements about pending lawsuits made prior to July 17, 2019. The parties resolved this matter following mediation for a payment to a settlement class of $3 million paid by the Company's insurance carrier. On November 17, 2023, the court entered a Final Judgment and Order of Dismissal with Prejudice approving the settlement. </w:t>
      </w:r>
    </w:p>
    <w:p>
      <w:pPr>
        <w:pStyle w:val="TextBody"/>
        <w:bidi w:val="0"/>
        <w:jc w:val="left"/>
        <w:rPr>
          <w:rFonts w:ascii="Times New Roman" w:hAnsi="Times New Roman"/>
          <w:color w:val="000000"/>
          <w:sz w:val="20"/>
        </w:rPr>
      </w:pPr>
      <w:r>
        <w:rPr>
          <w:rFonts w:ascii="Times New Roman" w:hAnsi="Times New Roman"/>
          <w:color w:val="000000"/>
          <w:sz w:val="20"/>
        </w:rPr>
        <w:t xml:space="preserve">After the putative shareholder class action lawsuit was filed, three related putative shareholder derivative actions were also filed. These cases generally allege breaches of fiduciary duties related to the same underlying matters alleged in the class action above. First, on July 1, 2021, a putative shareholder derivative complaint was filed in Palm Beach County, Florida Circuit Court against the Company, as well as current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former Company directors and officers George C. Zoley, Jose Gordo, Brian R. Evans, Ann M. Schlarb, Richard H. Glanton, Anne N. Foreman, Christopher C. Wheeler, Julie M. Wood, Guido van Hauwermeiren, Scott M. Kernan, and Duane Helkowski (collectively, the “State Court Defendants”). Second, on November 12, 2021, a putative shareholder derivative complaint was filed in the U.S. District Court for the Southern District of Florida against the Company, the State Court Defendants, as well as then current and former Company officers David Venturella and J. David Donahue (collectively, the “Derivative Defendants”). Third, on August 24, 2022, a putative stockholder derivative complaint was filed in the U.S. District Court for the Southern District of Florida against the Company and the Derivative Defendants. The state-court complaint alleges breach of fiduciary duty and unjust enrichment claims against the State Court Defendants relating to purported healthcare and quality of care deficiencies, an allegedly inadequate response to the COVID-19 pandemic, alleged forced labor by detainees, and alleged exposure to pending litigation, which purportedly led to damage to GEO. The federal-court complaints make similar allegations of breach of fiduciary duty as to the Derivative Defendants, and also allege that the Derivative Defendants violated Section 10(b) of the Exchange Act, and Rule 10b-5 promulgated thereunder and that Mr. Zoley contributed to alleged violations of Sections 10(b) and 21D of the Exchange Act. These cases are currently stayed.</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Immigration Detainee Litigation</w:t>
      </w:r>
    </w:p>
    <w:p>
      <w:pPr>
        <w:pStyle w:val="TextBody"/>
        <w:bidi w:val="0"/>
        <w:jc w:val="left"/>
        <w:rPr>
          <w:rFonts w:ascii="Times New Roman" w:hAnsi="Times New Roman"/>
          <w:color w:val="000000"/>
          <w:sz w:val="20"/>
        </w:rPr>
      </w:pPr>
      <w:r>
        <w:rPr>
          <w:rFonts w:ascii="Times New Roman" w:hAnsi="Times New Roman"/>
          <w:color w:val="000000"/>
          <w:sz w:val="20"/>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are currently stayed by court order pending appeal of certain of GEO's defenses to the 10th Circuit Court of Appeal. Oral argument before the 10th Circuit was held on September 18, 2023.</w:t>
      </w:r>
    </w:p>
    <w:p>
      <w:pPr>
        <w:pStyle w:val="TextBody"/>
        <w:bidi w:val="0"/>
        <w:jc w:val="left"/>
        <w:rPr>
          <w:rFonts w:ascii="Times New Roman" w:hAnsi="Times New Roman"/>
          <w:color w:val="000000"/>
          <w:sz w:val="20"/>
        </w:rPr>
      </w:pPr>
      <w:r>
        <w:rPr>
          <w:rFonts w:ascii="Times New Roman" w:hAnsi="Times New Roman"/>
          <w:color w:val="000000"/>
          <w:sz w:val="20"/>
        </w:rPr>
        <w:t xml:space="preserve">Since the Colorado suit was initially filed, four similar lawsuits have been filed - two in Washington State and two in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The first of the two Washington State lawsuits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persons in the custody of federal immigration authorities while the federal government is determining their immigration status.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 judgment interest is accruing on these judgments in accordance with Washington law. The trial court has waived the necessity to post a supersedeas bond for the combined judgments and has stayed enforcement of the verdict and judgments while GEO’s appeal to the U.S. Court of Appeals for the Ninth Circuit is pending. Oral argument before the Ninth Circuit was held on October 6, 2022.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has resumed control and jurisdiction over the Washington State lawsuits.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21, 2024, the United States Department of Justice filed its Amicus Curiae in Support of GEO, arguing that the Washington judgments should be reversed because the Supremacy Clause precludes application of the Washington Minimum Wage Statute to work programs for federal detainees. In its Brief, the Department of Justice asserts that application of the Washington law independently contravenes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contends that the immigration statutory structure approved by Congress does not contemplate a role for states or state law in governing the Voluntary Work Program for federal detainees.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California, a class-action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Washington State lawsuits. </w:t>
      </w:r>
    </w:p>
    <w:p>
      <w:pPr>
        <w:pStyle w:val="TextBody"/>
        <w:bidi w:val="0"/>
        <w:jc w:val="left"/>
        <w:rPr>
          <w:rFonts w:ascii="Times New Roman" w:hAnsi="Times New Roman"/>
          <w:color w:val="000000"/>
          <w:sz w:val="20"/>
        </w:rPr>
      </w:pPr>
      <w:r>
        <w:rPr>
          <w:rFonts w:ascii="Times New Roman" w:hAnsi="Times New Roman"/>
          <w:color w:val="000000"/>
          <w:sz w:val="20"/>
        </w:rPr>
        <w:t>Current and former detainees of the Mesa Verde ICE Processing Center and the Golden State Annex ICE Processing Center filed a class action lawsuit on July 13, 2022, against the Company in the U.S. District Court for the Eastern District of California, Fresno Division. This lawsuit is similar to the cases in Colorado, Washington and California discussed above.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the Washington State lawsuits and a motion to dismiss the action in its entirety. On July 10, 2023, the court entered a stay until the Ninth Circuit rules on the Washington State lawsuits.</w:t>
      </w:r>
    </w:p>
    <w:p>
      <w:pPr>
        <w:pStyle w:val="TextBody"/>
        <w:bidi w:val="0"/>
        <w:jc w:val="left"/>
        <w:rPr>
          <w:rFonts w:ascii="Times New Roman" w:hAnsi="Times New Roman"/>
          <w:color w:val="000000"/>
          <w:sz w:val="20"/>
        </w:rPr>
      </w:pPr>
      <w:r>
        <w:rPr>
          <w:rFonts w:ascii="Times New Roman" w:hAnsi="Times New Roman"/>
          <w:color w:val="000000"/>
          <w:sz w:val="20"/>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at this time as losses are not considered probable.</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Challenges to State Legislation that Conflict with Federal Contracts</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29, 2021, the Company filed a lawsuit in the U.S. District Court for the Western District of Washington against the State of Washington for declaratory and injunctive relief challenging the State of Washington’s newly enacted law – House Bill 1090 – that purports to prohibit the operation of "private detention facilities" in the state, which would prevent the United States from using privately contracted detention facilities to house detainees in the custody of ICE. The court entered a stay of this action pending the final resolution of the AB-32 appeal. On June 22, 2023, the State of Washington filed a stipulation indicating, among other things, that it will not enforce House Bill 1090 against GEO for its operation of the Northwest ICE Processing Center. On November 16, 2023, the court entered a Judgment and dismissed the case.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The Company is awaiting a ruling on its complaint from the U.S. District Court for the Western District of Washington.</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Litigation</w:t>
      </w:r>
    </w:p>
    <w:p>
      <w:pPr>
        <w:pStyle w:val="TextBody"/>
        <w:bidi w:val="0"/>
        <w:jc w:val="left"/>
        <w:rPr>
          <w:rFonts w:ascii="Times New Roman" w:hAnsi="Times New Roman"/>
          <w:color w:val="000000"/>
          <w:sz w:val="20"/>
        </w:rPr>
      </w:pPr>
      <w:r>
        <w:rPr>
          <w:rFonts w:ascii="Times New Roman" w:hAnsi="Times New Roman"/>
          <w:color w:val="000000"/>
          <w:sz w:val="20"/>
        </w:rPr>
        <w:t>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Accruals for Legal Proceedings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 information becomes available. The Company generally does not accrue for anticipated legal fees and costs but expenses those items as incurred.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Other Assessment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A state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approved by the state tax authority and served as the basis for the approved refund claim. In early January 2017, the Company received a formal Notice of Assessment of Taxes and Demand for Payment from the taxing authority disallowing the deductions. The total tax, penalty and interest related to the assessment is approximately $21.1 million. The Company appealed the administrative ruling. In February 2024, the Company received notice that the New Mexico Court of Appeals had ruled against its appeal. The Company plans to appeal this ruling to the State Supreme Court by timely filing a Petition for Writ of Certiorari. The Company disagrees with the assessment and intends to take all necessary steps to vigorously defend its position. The Company has established an estimated liability based on its estimate of the most probable loss based on the facts and circumstances known to date and the advice of outside counsel in connection with this matter. </w:t>
      </w:r>
    </w:p>
    <w:p>
      <w:pPr>
        <w:pStyle w:val="TextBody"/>
        <w:bidi w:val="0"/>
        <w:jc w:val="left"/>
        <w:rPr/>
      </w:pPr>
      <w:r>
        <w:rPr/>
        <w:t> </w:t>
      </w:r>
    </w:p>
    <w:p>
      <w:pPr>
        <w:pStyle w:val="TextBody"/>
        <w:bidi w:val="0"/>
        <w:spacing w:before="270" w:after="283"/>
        <w:jc w:val="left"/>
        <w:rPr>
          <w:rFonts w:ascii="Times New Roman" w:hAnsi="Times New Roman"/>
          <w:sz w:val="20"/>
        </w:rPr>
      </w:pPr>
      <w:bookmarkStart w:id="10" w:name="item_4_mine_safety_disclosures"/>
      <w:bookmarkEnd w:id="10"/>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i/>
          <w:color w:val="000000"/>
          <w:sz w:val="20"/>
        </w:rPr>
        <w:t>Mine Safety Disclosures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2" w:name="item_5_market_for_registrants_common_equ"/>
      <w:bookmarkEnd w:id="12"/>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Market for Registrant’s Common Equity, Related Stockholder Matters and Issuer Purchases of Equity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common stock trades on the New York Stock Exchange under the symbol “GEO.” As of February 21, 2024, we had 492 shareholders of record. Shareholders of record does not include shareholders who own shares held in "street name."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discussed above, on December 2, 2021, GEO’s Board unanimously approved a plan to terminate our REIT status and become a taxable C Corporation, effective for the year ended December 31, 2021. In connection with terminating GEO’s REIT status, the Board also voted unanimously to discontinue our quarterly dividend payments and prioritize allocating GEO’s free cash flow to reduce debt. While we do not currently anticipate paying cash dividends, once we achieve our stated debt and leverage reduction goals, we expect to explore options to return capital to our shareholders, which may include the payment of dividends.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performance graph compares the performance of our common stock to the Russell 2000, the S&amp;P 500 Commercial Services and Supplies Index, and the MSCI U.S. REIT Index and is provided in accordance with Item 201(e) of Regulation S-K.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Comparison of Five-Year Cumulative Total Return*</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 Russell 2000,</w:t>
      </w:r>
    </w:p>
    <w:p>
      <w:pPr>
        <w:pStyle w:val="TextBody"/>
        <w:bidi w:val="0"/>
        <w:jc w:val="center"/>
        <w:rPr>
          <w:rFonts w:ascii="Times New Roman" w:hAnsi="Times New Roman"/>
          <w:b/>
          <w:color w:val="000000"/>
          <w:sz w:val="20"/>
        </w:rPr>
      </w:pPr>
      <w:r>
        <w:rPr>
          <w:rFonts w:ascii="Times New Roman" w:hAnsi="Times New Roman"/>
          <w:b/>
          <w:color w:val="000000"/>
          <w:sz w:val="20"/>
        </w:rPr>
        <w:t>S&amp;P 500 Commercial Services and Supplies Index</w:t>
      </w:r>
    </w:p>
    <w:p>
      <w:pPr>
        <w:pStyle w:val="TextBody"/>
        <w:bidi w:val="0"/>
        <w:jc w:val="center"/>
        <w:rPr>
          <w:rFonts w:ascii="Times New Roman" w:hAnsi="Times New Roman"/>
          <w:b/>
          <w:color w:val="000000"/>
          <w:sz w:val="20"/>
        </w:rPr>
      </w:pPr>
      <w:r>
        <w:rPr>
          <w:rFonts w:ascii="Times New Roman" w:hAnsi="Times New Roman"/>
          <w:b/>
          <w:color w:val="000000"/>
          <w:sz w:val="20"/>
        </w:rPr>
        <w:t>and MSCI U.S. REIT Index</w:t>
      </w:r>
    </w:p>
    <w:p>
      <w:pPr>
        <w:pStyle w:val="TextBody"/>
        <w:bidi w:val="0"/>
        <w:jc w:val="center"/>
        <w:rPr>
          <w:rFonts w:ascii="Times New Roman" w:hAnsi="Times New Roman"/>
          <w:b/>
          <w:color w:val="000000"/>
          <w:sz w:val="20"/>
        </w:rPr>
      </w:pPr>
      <w:r>
        <w:rPr>
          <w:rFonts w:ascii="Times New Roman" w:hAnsi="Times New Roman"/>
          <w:b/>
          <w:color w:val="000000"/>
          <w:sz w:val="20"/>
        </w:rPr>
        <w:t>(Performance through December 31, 2023)</w:t>
      </w:r>
    </w:p>
    <w:p>
      <w:pPr>
        <w:pStyle w:val="TextBody"/>
        <w:bidi w:val="0"/>
        <w:jc w:val="left"/>
        <w:rPr/>
      </w:pPr>
      <w:r>
        <w:rPr/>
        <w:t> </w:t>
      </w:r>
    </w:p>
    <w:p>
      <w:pPr>
        <w:pStyle w:val="TextBody"/>
        <w:bidi w:val="0"/>
        <w:jc w:val="center"/>
        <w:rPr/>
      </w:pPr>
      <w:r>
        <w:rPr/>
        <w:drawing>
          <wp:inline distT="0" distB="0" distL="0" distR="0">
            <wp:extent cx="5762625" cy="2962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62625" cy="2962275"/>
                    </a:xfrm>
                    <a:prstGeom prst="rect">
                      <a:avLst/>
                    </a:prstGeom>
                  </pic:spPr>
                </pic:pic>
              </a:graphicData>
            </a:graphic>
          </wp:inline>
        </w:drawing>
      </w:r>
      <w:r>
        <w:rPr/>
        <w:t> </w:t>
      </w:r>
    </w:p>
    <w:p>
      <w:pPr>
        <w:pStyle w:val="TextBody"/>
        <w:bidi w:val="0"/>
        <w:jc w:val="center"/>
        <w:rPr/>
      </w:pPr>
      <w:r>
        <w:rPr/>
        <w:t> </w:t>
      </w:r>
    </w:p>
    <w:tbl>
      <w:tblPr>
        <w:tblW w:w="8073" w:type="dxa"/>
        <w:jc w:val="left"/>
        <w:tblInd w:w="0" w:type="dxa"/>
        <w:tblLayout w:type="fixed"/>
        <w:tblCellMar>
          <w:top w:w="28" w:type="dxa"/>
          <w:left w:w="28" w:type="dxa"/>
          <w:bottom w:w="28" w:type="dxa"/>
          <w:right w:w="28" w:type="dxa"/>
        </w:tblCellMar>
      </w:tblPr>
      <w:tblGrid>
        <w:gridCol w:w="1696"/>
        <w:gridCol w:w="146"/>
        <w:gridCol w:w="399"/>
        <w:gridCol w:w="1281"/>
        <w:gridCol w:w="146"/>
        <w:gridCol w:w="146"/>
        <w:gridCol w:w="239"/>
        <w:gridCol w:w="766"/>
        <w:gridCol w:w="146"/>
        <w:gridCol w:w="146"/>
        <w:gridCol w:w="398"/>
        <w:gridCol w:w="1282"/>
        <w:gridCol w:w="146"/>
        <w:gridCol w:w="225"/>
        <w:gridCol w:w="720"/>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GEO Group, Inc.</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Russell 2000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S&amp;P 500 Commercial</w:t>
              <w:br/>
              <w:t>Services &amp; Supplies</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MSCI U.S.</w:t>
              <w:br/>
              <w:t>REIT Index</w:t>
            </w:r>
          </w:p>
        </w:tc>
        <w:tc>
          <w:tcPr>
            <w:tcW w:w="191" w:type="dxa"/>
            <w:tcBorders/>
            <w:shd w:fill="FFFFFF" w:val="cle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137.19</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120.94</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167.32</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216.00</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149.18</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193.17</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230.11</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Assumes $100 invested on December 31, 2018 in our common stock and the respective Index.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Total return assumes reinvestment of dividends.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sz w:val="20"/>
        </w:rPr>
      </w:pPr>
      <w:bookmarkStart w:id="13" w:name="item_6reserved"/>
      <w:bookmarkEnd w:id="13"/>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i/>
          <w:color w:val="000000"/>
          <w:sz w:val="20"/>
        </w:rPr>
        <w:t>[Reserved]</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w:t>
      </w:r>
      <w:r>
        <w:rPr>
          <w:rFonts w:ascii="Times New Roman" w:hAnsi="Times New Roman"/>
          <w:color w:val="000000"/>
          <w:sz w:val="20"/>
        </w:rPr>
        <w:t xml:space="preserve"> </w:t>
      </w:r>
      <w:r>
        <w:rPr>
          <w:rFonts w:ascii="Times New Roman" w:hAnsi="Times New Roman"/>
          <w:b/>
          <w:i/>
          <w:color w:val="000000"/>
          <w:sz w:val="20"/>
        </w:rPr>
        <w:t>Management’s Discussion and Analysis of</w:t>
      </w:r>
      <w:r>
        <w:rPr>
          <w:rFonts w:ascii="Times New Roman" w:hAnsi="Times New Roman"/>
          <w:color w:val="000000"/>
          <w:sz w:val="20"/>
        </w:rPr>
        <w:t xml:space="preserve"> </w:t>
      </w:r>
      <w:r>
        <w:rPr>
          <w:rFonts w:ascii="Times New Roman" w:hAnsi="Times New Roman"/>
          <w:b/>
          <w:i/>
          <w:color w:val="000000"/>
          <w:sz w:val="20"/>
        </w:rPr>
        <w:t>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“Item 1A. Risk Factors,” and “Forward-Looking Statements - Safe Harbor” below. The discussion should be read in conjunction with the consolidated financial statements and notes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section of this Form 10-K generally discusses 2023 and 2022 items and year-to-year comparisons between 2023 and 2022. Discussions of 2021 items and year-to-year comparisons between 2022 and 2021 that are not included in this Form 10-K can be found in “Management’s Discussion and Analysis of Financial Condition and Results of Operations” in Part II, Item 7 of the Company’s Annual Report on Form 10-K for the fiscal year ended December 31, 2022 and are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specialize in the ownership, leasing and management of secure, reentry facilities and processing centers and the provision of community-based services in the United States, Australia and South Africa. We own, lease and operate a broad range of secure facilities including maximum, medium and minimum-security facilities, processing centers, and community-based reentry facilities. We offer counseling, education and/or treatment for alcohol and drug abuse problems at most of the domestic facilities we manage. We are also a provider of innovative compliance technologies, industry-leading monitoring services, and evidence-based supervision and treatment programs for community-based parolees, probationers and pretrial defendants. Additionally, we have a contract with ICE to provide supervision and reporting services designed to improve the participation of non-detained aliens in the immigration court system. We develop new facilities based on contract awards, using our project development expertise and experience to design, construct and finance what we believe are state-of-the-art facilities that maximize security and efficiency. We also provide secure transportation services for offender and detainee populations as contracted domestically and in the United Kingdom through our joint venture GEOAmey.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our worldwide operations included the management and/or ownership of approximately 81,000 beds at 100 correctional, detention and reentry facilities, including idle facilities, and also included the provision of servicing individuals in a community-based environment on behalf of federal, state and local correctional agencies located throughout the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each of the years ended December 31, 2023 and 2022, we had consolidated revenues of $2.4 billion and we maintained an average company-wide facility occupancy rate of 85.5% including 69,834 active beds and excluding 11,421 idle beds for the year ended December 31, 2023, and 84.6% including 69,418 active beds and excluding 13,061 idle beds for the year ended December 31,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REIT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 2021, we announced that our Board unanimously approved a plan to terminate our REIT election and become a taxable C Corporation, effective for the year ended December 31, 2021. As a result, we are no longer required to operate under REIT rules, including the requirement to distribute at least 90% of REIT taxable income to our stockholders, which provides us with greater flexibility to use our free cash flow. Effective January 1, 2021, we are subject to federal and state income taxes on our taxable income at applicable tax rates, and are no longer entitled to a tax deduction for dividends paid. We operated as a REIT for the 2020 tax year, and existing REIT requirements and limitations remained in place until December 31, 2020. The Board also voted unanimously to discontinue our quarterly dividend payment and prioritize allocating our free cash flow to reduce debt.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consolidated financial statements in this report are prepared in conformity with U.S. generally accepted accounting principles, or GAAP.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1 – Summary of Business Organization, Operations and Significant Accounting Policies of the notes to the audited consolidated financial statements contained Part II, Item 8 of this Annual Report on Form 10-K. The significant accounting policies and estimates which we believe are the most critical to aid in fully understanding and evaluating our reported financial results include the following: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Asset Impairments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Company’s idled facilities as of December 31, 2023 and their respective carrying values, excluding equipment and other assets that can be easily transferred to other facilities.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8"/>
        <w:gridCol w:w="146"/>
        <w:gridCol w:w="724"/>
        <w:gridCol w:w="146"/>
        <w:gridCol w:w="155"/>
        <w:gridCol w:w="611"/>
        <w:gridCol w:w="146"/>
        <w:gridCol w:w="146"/>
        <w:gridCol w:w="155"/>
        <w:gridCol w:w="611"/>
        <w:gridCol w:w="146"/>
        <w:gridCol w:w="146"/>
        <w:gridCol w:w="272"/>
        <w:gridCol w:w="1011"/>
        <w:gridCol w:w="146"/>
        <w:gridCol w:w="146"/>
        <w:gridCol w:w="295"/>
        <w:gridCol w:w="944"/>
        <w:gridCol w:w="146"/>
        <w:gridCol w:w="146"/>
        <w:gridCol w:w="272"/>
        <w:gridCol w:w="1011"/>
        <w:gridCol w:w="196"/>
      </w:tblGrid>
      <w:tr>
        <w:trPr/>
        <w:tc>
          <w:tcPr>
            <w:tcW w:w="2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w:t>
              <w:br/>
              <w:t>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6" w:type="dxa"/>
            <w:tcBorders/>
            <w:shd w:fill="FFFFFF" w:val="clear"/>
            <w:vAlign w:val="center"/>
          </w:tcPr>
          <w:p>
            <w:pPr>
              <w:pStyle w:val="TableContents"/>
              <w:bidi w:val="0"/>
              <w:spacing w:before="0" w:after="283"/>
              <w:jc w:val="center"/>
              <w:rPr/>
            </w:pPr>
            <w:r>
              <w:rPr/>
              <w:t> </w:t>
            </w:r>
          </w:p>
        </w:tc>
      </w:tr>
      <w:tr>
        <w:trPr/>
        <w:tc>
          <w:tcPr>
            <w:tcW w:w="24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Secure </w:t>
              <w:br/>
              <w:t>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96" w:type="dxa"/>
            <w:tcBorders/>
            <w:shd w:fill="FFFFFF" w:val="clear"/>
            <w:vAlign w:val="center"/>
          </w:tcPr>
          <w:p>
            <w:pPr>
              <w:pStyle w:val="TableContents"/>
              <w:bidi w:val="0"/>
              <w:spacing w:before="0" w:after="283"/>
              <w:jc w:val="center"/>
              <w:rPr/>
            </w:pPr>
            <w:r>
              <w:rPr/>
              <w:t> </w:t>
            </w:r>
          </w:p>
        </w:tc>
      </w:tr>
      <w:tr>
        <w:trPr/>
        <w:tc>
          <w:tcPr>
            <w:tcW w:w="2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Idled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 Ray James Correctional Facility</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49,743</w:t>
            </w:r>
          </w:p>
        </w:tc>
        <w:tc>
          <w:tcPr>
            <w:tcW w:w="196" w:type="dxa"/>
            <w:tcBorders/>
            <w:shd w:fill="FFFFFF" w:val="clear"/>
            <w:vAlign w:val="center"/>
          </w:tcPr>
          <w:p>
            <w:pPr>
              <w:pStyle w:val="TableContents"/>
              <w:bidi w:val="0"/>
              <w:spacing w:before="0" w:after="283"/>
              <w:jc w:val="left"/>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Northlake Correctional Facility</w:t>
            </w:r>
          </w:p>
        </w:tc>
        <w:tc>
          <w:tcPr>
            <w:tcW w:w="14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73,937</w:t>
            </w:r>
          </w:p>
        </w:tc>
        <w:tc>
          <w:tcPr>
            <w:tcW w:w="196" w:type="dxa"/>
            <w:tcBorders/>
            <w:shd w:fill="CFF0FC" w:val="cle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 Correctional Facility</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36,234</w:t>
            </w:r>
          </w:p>
        </w:tc>
        <w:tc>
          <w:tcPr>
            <w:tcW w:w="196" w:type="dxa"/>
            <w:tcBorders/>
            <w:shd w:fill="FFFFFF" w:val="clear"/>
            <w:vAlign w:val="center"/>
          </w:tcPr>
          <w:p>
            <w:pPr>
              <w:pStyle w:val="TableContents"/>
              <w:bidi w:val="0"/>
              <w:spacing w:before="0" w:after="283"/>
              <w:jc w:val="left"/>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Big Spring Correctional Facility</w:t>
            </w:r>
          </w:p>
        </w:tc>
        <w:tc>
          <w:tcPr>
            <w:tcW w:w="14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30,186</w:t>
            </w:r>
          </w:p>
        </w:tc>
        <w:tc>
          <w:tcPr>
            <w:tcW w:w="196" w:type="dxa"/>
            <w:tcBorders/>
            <w:shd w:fill="CFF0FC" w:val="cle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Flightline Correctional Facility</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33,203</w:t>
            </w:r>
          </w:p>
        </w:tc>
        <w:tc>
          <w:tcPr>
            <w:tcW w:w="196" w:type="dxa"/>
            <w:tcBorders/>
            <w:shd w:fill="FFFFFF" w:val="clear"/>
            <w:vAlign w:val="center"/>
          </w:tcPr>
          <w:p>
            <w:pPr>
              <w:pStyle w:val="TableContents"/>
              <w:bidi w:val="0"/>
              <w:spacing w:before="0" w:after="283"/>
              <w:jc w:val="left"/>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McFarland Female Community</w:t>
              <w:br/>
              <w:t>   Reentry Facility</w:t>
            </w:r>
          </w:p>
        </w:tc>
        <w:tc>
          <w:tcPr>
            <w:tcW w:w="14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96" w:type="dxa"/>
            <w:tcBorders/>
            <w:shd w:fill="CFF0FC" w:val="cle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Cheyenne Mountain Recovery Center [1]</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17,566</w:t>
            </w:r>
          </w:p>
        </w:tc>
        <w:tc>
          <w:tcPr>
            <w:tcW w:w="196" w:type="dxa"/>
            <w:tcBorders/>
            <w:shd w:fill="FFFFFF" w:val="clear"/>
            <w:vAlign w:val="center"/>
          </w:tcPr>
          <w:p>
            <w:pPr>
              <w:pStyle w:val="TableContents"/>
              <w:bidi w:val="0"/>
              <w:spacing w:before="0" w:after="283"/>
              <w:jc w:val="left"/>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Hector Garza Center</w:t>
            </w:r>
          </w:p>
        </w:tc>
        <w:tc>
          <w:tcPr>
            <w:tcW w:w="14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w:t>
            </w:r>
          </w:p>
        </w:tc>
        <w:tc>
          <w:tcPr>
            <w:tcW w:w="196" w:type="dxa"/>
            <w:tcBorders/>
            <w:shd w:fill="CFF0FC" w:val="cle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Delaney Hall</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25,368</w:t>
            </w:r>
          </w:p>
        </w:tc>
        <w:tc>
          <w:tcPr>
            <w:tcW w:w="196" w:type="dxa"/>
            <w:tcBorders/>
            <w:shd w:fill="FFFFFF" w:val="clear"/>
            <w:vAlign w:val="center"/>
          </w:tcPr>
          <w:p>
            <w:pPr>
              <w:pStyle w:val="TableContents"/>
              <w:bidi w:val="0"/>
              <w:spacing w:before="0" w:after="283"/>
              <w:jc w:val="left"/>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Coleman Hall</w:t>
            </w:r>
          </w:p>
        </w:tc>
        <w:tc>
          <w:tcPr>
            <w:tcW w:w="14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46" w:type="dxa"/>
            <w:tcBorders/>
            <w:shd w:fill="CFF0FC" w:val="cle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288,434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This facility is under a contract that is yet to be activated.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review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or a prolonged decrease in population. If impairment indicators are present, we perform a recoverability test to determine whether or not an impairment loss should be measured.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test idle facilities for impairment upon notification that the facilities will no longer be utilized by the customer. If a long-lived asset is part of a group that includes other assets, the unit of accounting for the long-lived asset is its group. Generally, we group assets by facility for the purpose of considering whether any impairment exists. The estimates of recoverability are based on projected undiscounted cash flows associated with actual marketing efforts where available or, in other instances, projected undiscounted cash flows that are comparable to historical cash flows from management contracts achieved in the past at that facility or at similar facilities and probability weighted cash flows. Our probability weighted cash flows include adjustments to projected cash flows compared to the historical cash flows due to current business conditions which impact per diem rates as well as labor and other operating costs, changes related to facility mission due to changes in prospective clients, and changes in projected capacity and occupancy rates. We perform the impairment analysis on an annual basis for each of the idle facilities, or more frequently if needed, and take into consideration updates each quarter for market developments affecting the potential utilization of each of the facilities in order to identify events that may cause the Company to reconsider the most recent assumptions. Such events could include negotiations with a prospective customer for the utilization of an idle facility at terms significantly less favorable than the terms used in our most recent impairment analysis, or changes in legislation surrounding a particular facility that could impact our ability to house certain types of individuals at such facility. Further, a substantial increase in the number of available beds at other facilities we own, or in the marketplace, could lead to deterioration in market conditions and projected cash flows. Although they are not frequently received, an unsolicited offer to purchase any of our idle facilities, at amounts that are less than their carrying value could also cause us to reconsider the assumptions used in the most recent impairment analysis. We have identified marketing prospects to utilize each of the remaining currently idled facilities and have determined that no current impairment exists. We also received valuations from a third party on certain facilities. However, we can provide no assurance that we will be able to secure management contracts to utilize our idle facilities, or that we will not incur impairment charges in the future. In all cases, the undiscounted cash flows in our analysis as of December 31, 2023, exceeded the carrying amounts of each facility, therefore no impairment charges were recorded.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Reserves for Insurance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nature of our business exposes us to various types of third-party legal claims, including, but not limited to, civil rights claims relating to conditions of confinement and/or mistreatment, sexual misconduct claims brought by individuals within our care, medical malpractice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the escape of an individual in our care or from a disturbance or riot at a facility. In addition, our management contracts generally require us to indemnify the governmental agency against any damages to which the governmental agency may be subject in connection with such claims or litigation. We maintain a broad program of insurance coverage for these general types of claims, except for claims relating to employment matters, for which we carry no insurance. There can be no assurance that our insurance coverage will be adequate to cover all claims to which we may be exposed. It is our general practice to bring merged or acquired companies into our corporate master policies in order to take advantage of certain economies of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 2021, GEO formed a wholly owned captive insurance subsidiary, Florina Insurance Company, Inc. (“Florina”), to enhance our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procuring insurance policies for its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maintain a general liability policy and excess liability policies with total limits of $75.0 million per occurrence and $95.0 million total general liability annual aggregate limits covering the operations of U.S. Secure Services, Reentry Services and Electronic Monitoring and Supervision Services. We have an occurrence based liability insurance program with a specific loss limit of $40.0 million per occurrence and in the aggregate related to medical professional liability claims arising out of correctional healthcare services. We are uninsured for any claims in excess of these limits. We also maintain insurance to cover property and other casualty risks including, workers’ compensation, environmental liability, cybersecurity liability and automobile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most casualty insurance policies, we carry substantial deductibles or self-insured retentions of $4.0 million per occurrence for general liability and $5.0 million per occurrence for medical professional liability, $2.0 million per occurrence for workers’ compensation, $2.5 million per occurrence for directors' and officers’ liability and $1.0 million per occurrence for automobile liability. In addition, certain of our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us from insuring some of our facilities to full replacement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operations in South Africa and Australia, we utilize a combination of locally-procured insurance and global policies to meet contractual insurance requirements and protect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insurance policies discussed above, our most significant insurance reserves relate to workers’ compensation, general liability and auto claims. These reserves, which include Florina’s reserves and GEO’s legacy reserves and administrative costs for the plans, are undiscounted and were $65.6 million and $79.0 million as of December 31, 2023 and 2022, respectively, and are included in Accrued Expenses in the accompanying Consolidated Balance Sheets. We use statistical and actuarial methods to estimate amounts for claims that have been reported but not paid and claims incurred but not reported. In applying these methods and assessing their results, we consider such factors as historical frequency and severity of claims at each of our facilities, claim development, payment patterns and changes in the nature of our business, among other factors. Such factors are analyzed for each of our business segments. Our estimates may be impacted by such factors as increases in the market price for medical services and unpredictability of the size of jury awards. We also may experience variability between our estimates and the actual settlement due to limitations inherent in the estimation process, including our ability to estimate costs of processing and settling claims in a timely manner as well as our ability to accurately estimate our exposure at the onset of a claim. Because we have high deductible insurance policies, the amount of our insurance expense is dependent on our ability to control our claims experience. If actual losses related to insurance claims significantly differ from our estimates, our financial condition, results of operations and cash flows could be materially adversely impacted.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and Other Intangible Assets, Net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recorded goodwill as a result of our business combinations. Goodwill is recorded as the difference, if any, between the aggregate consideration paid for an acquisition and the fair value of the net tangible assets and other intangible assets acquired. Our goodwill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amortized and is tested for impairment annually on the first day of the fourth quarter, and whenever events or circumstances arise that indicate impairment may have occurred. Impairment testing is performed for all reporting units that contain goodwill. The reporting units are the same as the reportable segments for U.S. Secure Services, Electronic Monitoring and Supervision Services, Reentry Services and International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provisions of the qualitative analysis, when testing goodwill for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less than its carrying amount, we perform a quantitative impairment test to identify goodwill impairment and measure the amount of goodwill impairment loss to be recognized, if any. We will also perform a quantitative test if it has been several years since the last one. The qualitative factors used by GEO’s management to determine the likelihood that the fair value of the reporting unit is less than the carrying amount include, among other things, a review of overall economic conditions and their current and future impact on our existing business, our financial performance and stock price, industry outlook and market competition. With respect to the qualitative assessments, management determined that, as of October 1, 2023, it was more likely than not that the fair values of the reporting units exceeded their carrying values. We performed a quantitative analysis for our Electronic Monitoring and Supervision Services reporting unit using a third-party valuation firm to determine the estimated fair value of the reporting unit using a discounted cash flow model. A discount rate of 11.5% was utilized to adjust the cash flow forecasts based on management’s estimate of a market participant’s weighted-average cost of capital. Growth rates for sales and profits were determined using inputs from our long-term planning process. We also made estimates for discount rates and other factors based on market conditions, historical experience and other economic factors. Changes in these factors could significantly impact the fair value of the reporting unit. With respect to the Electronic Monitoring and Supervision Services reporting unit that was assessed quantitatively, management determined that the fair value exceeded its carrying amount by a significant amount. A change in one or combination of the assumptions discussed above could have impacted the estimated fair value of the reporting unit. If our expectations of future results and cash flows decrease significantly or other economic conditions deteriorate, goodwill may be further impaired. No impairment charges were recorded for the year ended December 31, 2023, 2022 or 2021.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Intangible Assets,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recorded other finite and indefinite lived intangible assets as a result of previously completed business combinations. Other acquired finite and indefinite lived intangible assets are recognized separately if the benefit of the intangible asset is obtained through contractual or other legal rights, or if the intangible asset can be sold, transferred, licensed, rented or exchanged, regardless of our intent to do so. Our intangible assets include facility management contracts, trade names and technology. The facility management contracts represent customer relationships in the form of management contracts acquired at the time of each business combination; the value of BI’s and Protocol Criminal Justice, Inc.'s ("Protocol") trade names represent, among other intangible benefits, name recognition to its customers and intellectual property rights; and the acquired technology represented BI’s innovation with respect to its GPS tracking, monitoring, radio frequency monitoring, voice verification monitoring and alcohol compliance systems which became fully amortized as of December 31, 2023. When establishing useful lives, we consider the period and the pattern in which the economic benefits of the intangible asset are consumed or otherwise used up; or, if that pattern cannot be reliably determined, using a straight-line amortization method over a period that may be shorter than the ultimate life of such intangible asset. We also consider the impact of renewal terms when establishing useful lives. We currently amortize our acquired facility management contracts over periods ranging from three to twenty-one years and its acquired technology over seven years to eight years. There is no residual value associated with our finite-lived intangible assets. We review our trade name assets for impairment whenever events or changes in circumstances indicate that the carrying amount of such assets may not be fully recoverable. We do not amortize its indefinite lived intangible assets. We review our indefinite lived intangible assets annually or more frequently if events or changes in circumstances indicate that the asset might be impaired. The qualitative factors used by GEO’s management to determine the likelihood that the fair value of the reporting unit is less than the carrying amount include, among other things, a review of overall economic conditions and their current and future impact on our existing business, our financial performance and stock price, industry outlook and market competition. These reviews resulted in no significant impairment to the carrying value of the indefinite lived intangible assets for all periods presented. We record the costs associated with renewal and extension of facility management contracts as expenses in the period they are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define fair value as the price that would be received to sell an asset or paid to transfer a liability in an orderly transaction between market participants at the measurement date (“exit price”). We carry certain of our assets and liabilities at fair value, measured on a recurring basis, in the accompanying Consolidated Balance Sheets. We also have certain assets and liabilities which are not carried at fair value in our accompanying Consolidated Balance Sheets and disclose the fair value measurements compared to the carrying values as of each balance sheet date. We establish the fair value of our assets and liabilities using a fair value hierarchy that prioritizes the inputs to valuation techniques used to measure fair value into three broad levels which distinguish between assumptions based on market data (observable inputs) and the Company’s assumptions (unobservable inputs). The level in the fair value hierarchy within which the respective fair value measurement falls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determined based on the lowest level input that is significant to the measurement in its entirety. Level 1 inputs are quoted market prices in active markets for identical assets or liabilities. Level 2 inputs are other than quotable market prices included in Level 1 that are observable for the asset or liability either directly or indirectly through corroboration with observable market data. Level 3 inputs are unobservable inputs for the assets or liabilities that reflect management’s own assumptions about the assumptions market participants would use in pricing the asset or liability. We recognize transfers between Levels 1, 2 and 3 as of the actual date of the event or change in circumstances that cause the transfer. We utilized a third-party valuation firm to assist with the estimation of the fair values on the date of issuance for our new debt instruments issued in 2022. The fair value of each new debt instrument on the date of issuance was estimated using a Black-Derman-Toy ("BDT") lattice model which used Level 3 inputs. At December 31, 2023 and 2022, the value was based on observable Level 2 inputs. Refer to Note 9 - Fair Value of Assets and Liabilities and Note 11 - Debt of the notes to the audited consolidated financial statements contained Part II, Item 8 of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following accounting standards will be adopted in future periods: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2023, the Financial Accounting Standards Board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This ASU will likely result in us including the additional required disclosures when adopted. We are currently evaluating the provisions of this ASU and expect to adopt them for the year ending December 31, 2024.</w:t>
      </w:r>
    </w:p>
    <w:p>
      <w:pPr>
        <w:pStyle w:val="TextBody"/>
        <w:bidi w:val="0"/>
        <w:jc w:val="left"/>
        <w:rPr>
          <w:rFonts w:ascii="Times New Roman" w:hAnsi="Times New Roman"/>
          <w:color w:val="000000"/>
          <w:sz w:val="20"/>
        </w:rPr>
      </w:pPr>
      <w:r>
        <w:rPr>
          <w:rFonts w:ascii="Times New Roman" w:hAnsi="Times New Roman"/>
          <w:color w:val="000000"/>
          <w:sz w:val="20"/>
        </w:rPr>
        <w:t>In December 2023, the FASB issued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our consolidated financial statements, once adopted. We are currently evaluating the provisions of this ASU and expect to adopt them for the year ending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recent accounting pronouncements issued by the FASB (including its Emerging Issues Task Force), the American Institute of Certified Public Accountants and the SEC did not, or are not expected to, have a material effect on our results of operations or financial position.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should be read in conjunction with our consolidated financial statements and the notes to the consolidated financial statements accompanying this report. This discussion contains forward-looking statements that involve risks and uncertainties. Our actual results may differ materially from those anticipated in the forward-looking statements as a result of certain factors, including, but not limited to, those described under “Item 1A. Risk Factors” and those included in other portions of this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2023 versus 2022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9"/>
        <w:gridCol w:w="146"/>
        <w:gridCol w:w="211"/>
        <w:gridCol w:w="931"/>
        <w:gridCol w:w="146"/>
        <w:gridCol w:w="146"/>
        <w:gridCol w:w="146"/>
        <w:gridCol w:w="575"/>
        <w:gridCol w:w="271"/>
        <w:gridCol w:w="146"/>
        <w:gridCol w:w="211"/>
        <w:gridCol w:w="931"/>
        <w:gridCol w:w="146"/>
        <w:gridCol w:w="146"/>
        <w:gridCol w:w="146"/>
        <w:gridCol w:w="575"/>
        <w:gridCol w:w="271"/>
        <w:gridCol w:w="146"/>
        <w:gridCol w:w="211"/>
        <w:gridCol w:w="736"/>
        <w:gridCol w:w="166"/>
        <w:gridCol w:w="146"/>
        <w:gridCol w:w="146"/>
        <w:gridCol w:w="526"/>
        <w:gridCol w:w="345"/>
      </w:tblGrid>
      <w:tr>
        <w:trPr/>
        <w:tc>
          <w:tcPr>
            <w:tcW w:w="2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6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5"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5" w:type="dxa"/>
            <w:tcBorders/>
            <w:shd w:fill="FFFFFF" w:val="clear"/>
            <w:vAlign w:val="center"/>
          </w:tcPr>
          <w:p>
            <w:pPr>
              <w:pStyle w:val="TableContents"/>
              <w:bidi w:val="0"/>
              <w:spacing w:before="0" w:after="283"/>
              <w:jc w:val="center"/>
              <w:rPr/>
            </w:pPr>
            <w:r>
              <w:rPr/>
              <w:t> </w:t>
            </w:r>
          </w:p>
        </w:tc>
      </w:tr>
      <w:tr>
        <w:trPr/>
        <w:tc>
          <w:tcPr>
            <w:tcW w:w="26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1,518,292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Revenues for U.S. Secure Services increased by $80.5 million in 2023 compared to 2022 primarily due to aggregate increases of $23.1 million due to the activation of new transportation contracts as well as our lease with the Oklahoma Department of Corrections for our previously idled company-owned Great Plains Correctional Facility which commenced May 1, 2023. In addition, we experienced aggregate net increases in rates and/or per diem amounts in connection with contract modifications, transportation services and increased occupancies of $96.7 million. These increases were partially offset by aggregate decreases of $39.3 million primarily due to the ramp-down/deactivation of our company-owned North Lake Correctional Facility and our managed-only George W. Hill Correctional Facility.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compensated mandays in U.S. Secure Services facilities was approximately 16.7 million in 2023 and 17.5 million in 2022. We experienced an aggregate net decrease of approximately 800,000 mandays as a result of contract terminations, partially offset by contract activations and increases in occupancies discussed above. We look at the average occupancy in our facilities to determine how we are managing our available beds. The average occupancy is calculated by taking compensated mandays as a percentage of capacity. The average occupancy in our U.S. Secure Services facilities was 85.9% and 87.8% of capacity in 2023 and 2022, respectively, excluding idle facilities.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for Electronic Monitoring and Supervision Services decreased by $70.4 million in 2023 compared to 2022 primarily due to decreases in average participant counts under the Intensive Supervision and Appearance Program ("ISAP").</w:t>
      </w:r>
    </w:p>
    <w:p>
      <w:pPr>
        <w:pStyle w:val="TextBody"/>
        <w:bidi w:val="0"/>
        <w:spacing w:before="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Reentry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for Reentry Services increased by $19.7 million in 2023 compared to 2022 primarily due to increases of $8.2 million due to new day reporting center contracts. We also experienced a net aggregate increase of $17.8 million primarily related to increased census levels at certain of our community-based and reentry centers due to increased programming needs and referrals. Partially offsetting these increases were decreases of $6.3 million due to contract terminations.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Revenues for International Services increased by $6.7 million in 2023 compared to 2022 primarily due to a net increase of $16.8 million due to increased populations at our Australian subsidiary and our new health care contract in Australia. Partially offsetting this increase was a decrease due to foreign exchange rate fluctuations of $10.1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21"/>
        <w:gridCol w:w="146"/>
        <w:gridCol w:w="211"/>
        <w:gridCol w:w="931"/>
        <w:gridCol w:w="146"/>
        <w:gridCol w:w="146"/>
        <w:gridCol w:w="186"/>
        <w:gridCol w:w="595"/>
        <w:gridCol w:w="271"/>
        <w:gridCol w:w="146"/>
        <w:gridCol w:w="211"/>
        <w:gridCol w:w="931"/>
        <w:gridCol w:w="146"/>
        <w:gridCol w:w="146"/>
        <w:gridCol w:w="186"/>
        <w:gridCol w:w="595"/>
        <w:gridCol w:w="271"/>
        <w:gridCol w:w="146"/>
        <w:gridCol w:w="211"/>
        <w:gridCol w:w="736"/>
        <w:gridCol w:w="166"/>
        <w:gridCol w:w="146"/>
        <w:gridCol w:w="146"/>
        <w:gridCol w:w="526"/>
        <w:gridCol w:w="343"/>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95"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3" w:type="dxa"/>
            <w:tcBorders/>
            <w:shd w:fill="FFFFFF" w:val="cle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 consist of those expenses incurred in the operation and management of our U.S. Secure Services, Electronic Monitoring and Supervision Services, Reentry Services and International Services segments.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Operating expenses for U.S. Secure Services increased by $93.0 million in 2023 compared to 2022 primarily due to aggregate net increases in connection with labor and medical costs, transportation services, impact of certain operating tax assessments, increased occupancies and the variable costs associated with those services of $105.5 million. We also experienced an increase of $13.5 million related to new transportation contracts. Partially offsetting these increases were decreases of $26.0 million related to the ramp-down/deactivations of our company-owned North Lake Correctional Facility and our managed-only George W. Hill Correctional Facility. Operating expenses as a percentage of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have increased due to increased labor and medical costs and increased variable costs associated with population increases for several of our minimum guarantee contracts.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 for Electronic Monitoring and Supervision Services decreased by $41.3 million in 2023 compared to 2022 primarily due to decreases in variable costs related to decreases in average participant counts under ISAP. Operating expenses as a percentage of revenues decreased due to favorable cost trends.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Reentry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 for Reentry Services increased by $15.7 million during 2023 compared to 2022 primarily due to an aggregate net increase of $13.4 million related to increased census levels at certain of our community-based and reentry centers due to increased programming needs and referrals and the associated variable costs. We also experienced an increase of $9.1 million due to the new day reporting center contracts. Partially offsetting these increases was a decrease of $6.8 million due to contract terminations.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Operating expenses for International Services increased by $14.0 million in 2023 compared to 2022 primarily due to a net increase of approximately $23.6 million primarily due to increases in populations at our Australian subsidiary and expenses associated with our new health care contract in Australia. Partially offsetting this increase was a decrease related to foreign exchange rate fluctuations of $9.6 million. </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Depreciation and Amortization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6"/>
        <w:gridCol w:w="146"/>
        <w:gridCol w:w="211"/>
        <w:gridCol w:w="781"/>
        <w:gridCol w:w="146"/>
        <w:gridCol w:w="146"/>
        <w:gridCol w:w="207"/>
        <w:gridCol w:w="514"/>
        <w:gridCol w:w="271"/>
        <w:gridCol w:w="146"/>
        <w:gridCol w:w="211"/>
        <w:gridCol w:w="781"/>
        <w:gridCol w:w="146"/>
        <w:gridCol w:w="146"/>
        <w:gridCol w:w="207"/>
        <w:gridCol w:w="514"/>
        <w:gridCol w:w="271"/>
        <w:gridCol w:w="146"/>
        <w:gridCol w:w="211"/>
        <w:gridCol w:w="631"/>
        <w:gridCol w:w="166"/>
        <w:gridCol w:w="146"/>
        <w:gridCol w:w="146"/>
        <w:gridCol w:w="526"/>
        <w:gridCol w:w="353"/>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Segment</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70"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53" w:type="dxa"/>
            <w:tcBorders/>
            <w:shd w:fill="FFFFFF" w:val="clear"/>
            <w:vAlign w:val="center"/>
          </w:tcPr>
          <w:p>
            <w:pPr>
              <w:pStyle w:val="TableContents"/>
              <w:bidi w:val="0"/>
              <w:spacing w:before="0" w:after="283"/>
              <w:jc w:val="center"/>
              <w:rPr/>
            </w:pPr>
            <w:r>
              <w:rPr/>
              <w:t> </w:t>
            </w:r>
          </w:p>
        </w:tc>
      </w:tr>
      <w:tr>
        <w:trPr/>
        <w:tc>
          <w:tcPr>
            <w:tcW w:w="30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Secure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Monitoring and Supervision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Reentry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U.S. Secure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Secure Services depreciation and amortization expense decreased in 2023 compared to 2022 primarily due to decreases related to certain assets becoming fully depreciated and/or amortized as well as certain asset dispositions at our company-owned facilities.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Electronic Monitoring and Supervision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expense decreased in 2023 compared to 2022 primarily due to certain assets becoming fully depreciated and/or amortized as well as the closing of certain ISAP locations.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Reentry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Reentry Services depreciation and amortization expense decreased in 2023 compared to 2022 primarily due to certain asset dispositions at our company-owned centers.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International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expense increased slightly in 2023 compared to 2022 primarily due to foreign exchange rate fluctuations.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Unallocated Operating Expenses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413"/>
        <w:gridCol w:w="146"/>
        <w:gridCol w:w="211"/>
        <w:gridCol w:w="781"/>
        <w:gridCol w:w="146"/>
        <w:gridCol w:w="146"/>
        <w:gridCol w:w="268"/>
        <w:gridCol w:w="666"/>
        <w:gridCol w:w="271"/>
        <w:gridCol w:w="146"/>
        <w:gridCol w:w="211"/>
        <w:gridCol w:w="781"/>
        <w:gridCol w:w="146"/>
        <w:gridCol w:w="146"/>
        <w:gridCol w:w="268"/>
        <w:gridCol w:w="666"/>
        <w:gridCol w:w="271"/>
        <w:gridCol w:w="146"/>
        <w:gridCol w:w="211"/>
        <w:gridCol w:w="631"/>
        <w:gridCol w:w="166"/>
        <w:gridCol w:w="146"/>
        <w:gridCol w:w="224"/>
        <w:gridCol w:w="647"/>
        <w:gridCol w:w="351"/>
      </w:tblGrid>
      <w:tr>
        <w:trPr/>
        <w:tc>
          <w:tcPr>
            <w:tcW w:w="2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4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95"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51" w:type="dxa"/>
            <w:tcBorders/>
            <w:shd w:fill="FFFFFF" w:val="clear"/>
            <w:vAlign w:val="center"/>
          </w:tcPr>
          <w:p>
            <w:pPr>
              <w:pStyle w:val="TableContents"/>
              <w:bidi w:val="0"/>
              <w:spacing w:before="0" w:after="283"/>
              <w:jc w:val="center"/>
              <w:rPr/>
            </w:pPr>
            <w:r>
              <w:rPr/>
              <w:t> </w:t>
            </w:r>
          </w:p>
        </w:tc>
      </w:tr>
      <w:tr>
        <w:trPr/>
        <w:tc>
          <w:tcPr>
            <w:tcW w:w="24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comprise substantially all of our other unallocated operating expenses which primarily includes corporate management salaries and benefits, professional fees and other administrative expenses. General and administrative expenses decreased in 2023 compared to 2022 by $6.2 million primarily due to decreases in professional fees, insurance and other administrative expenses.</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Non-Operating Income and Expense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 and Interest Expense</w:t>
      </w:r>
    </w:p>
    <w:p>
      <w:pPr>
        <w:pStyle w:val="TextBody"/>
        <w:bidi w:val="0"/>
        <w:jc w:val="left"/>
        <w:rPr/>
      </w:pPr>
      <w:r>
        <w:rPr/>
        <w:t> </w:t>
      </w:r>
    </w:p>
    <w:tbl>
      <w:tblPr>
        <w:tblW w:w="8952" w:type="dxa"/>
        <w:jc w:val="left"/>
        <w:tblInd w:w="0" w:type="dxa"/>
        <w:tblLayout w:type="fixed"/>
        <w:tblCellMar>
          <w:top w:w="28" w:type="dxa"/>
          <w:left w:w="28" w:type="dxa"/>
          <w:bottom w:w="28" w:type="dxa"/>
          <w:right w:w="28" w:type="dxa"/>
        </w:tblCellMar>
      </w:tblPr>
      <w:tblGrid>
        <w:gridCol w:w="1516"/>
        <w:gridCol w:w="146"/>
        <w:gridCol w:w="211"/>
        <w:gridCol w:w="781"/>
        <w:gridCol w:w="146"/>
        <w:gridCol w:w="146"/>
        <w:gridCol w:w="207"/>
        <w:gridCol w:w="514"/>
        <w:gridCol w:w="271"/>
        <w:gridCol w:w="146"/>
        <w:gridCol w:w="211"/>
        <w:gridCol w:w="781"/>
        <w:gridCol w:w="146"/>
        <w:gridCol w:w="146"/>
        <w:gridCol w:w="207"/>
        <w:gridCol w:w="514"/>
        <w:gridCol w:w="271"/>
        <w:gridCol w:w="146"/>
        <w:gridCol w:w="211"/>
        <w:gridCol w:w="676"/>
        <w:gridCol w:w="166"/>
        <w:gridCol w:w="146"/>
        <w:gridCol w:w="189"/>
        <w:gridCol w:w="682"/>
        <w:gridCol w:w="37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4"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decreased in 2023 compared to 2022 primarily due to the effect of foreign exchange rate fluctuations as well as the sale </w:t>
      </w:r>
    </w:p>
    <w:p>
      <w:pPr>
        <w:pStyle w:val="TextBody"/>
        <w:bidi w:val="0"/>
        <w:jc w:val="left"/>
        <w:rPr>
          <w:rFonts w:ascii="Times New Roman" w:hAnsi="Times New Roman"/>
          <w:color w:val="000000"/>
          <w:sz w:val="20"/>
        </w:rPr>
      </w:pPr>
      <w:r>
        <w:rPr>
          <w:rFonts w:ascii="Times New Roman" w:hAnsi="Times New Roman"/>
          <w:color w:val="000000"/>
          <w:sz w:val="20"/>
        </w:rPr>
        <w:t>of our contract receivable related to our Ravenhall facility in Australia in September 2022. Refer to Note 16 Commitments, Contingencies and Other Matters of the Notes to the audited consolidated financial statements included in Part II, Item 8 of this Annual Report on Form 10-K for further discussion.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19, 2022, we completed an exchange offer to exchange certain of our outstanding 5.125% Senior Notes due 2023, 5.875% </w:t>
      </w:r>
    </w:p>
    <w:p>
      <w:pPr>
        <w:pStyle w:val="TextBody"/>
        <w:bidi w:val="0"/>
        <w:jc w:val="left"/>
        <w:rPr>
          <w:rFonts w:ascii="Times New Roman" w:hAnsi="Times New Roman"/>
          <w:color w:val="000000"/>
          <w:sz w:val="20"/>
        </w:rPr>
      </w:pPr>
      <w:r>
        <w:rPr>
          <w:rFonts w:ascii="Times New Roman" w:hAnsi="Times New Roman"/>
          <w:color w:val="000000"/>
          <w:sz w:val="20"/>
        </w:rPr>
        <w:t>Senior Notes due 2024, 6.00% Senior Notes due 2026 and certain revolving credit loans and term loans under our senior secured credit facility into newly issued Senior Second Lien Secured Notes and a new Exchange Credit Agreement. Interest expense increased in 2023 compared to 2022 primarily due to higher interest rates on the new debt instruments as well as the net amortization of deferred issuance costs and discounts/premiums related to the transaction. Additionally, SOFR/LIBOR rates have increased in 2023 compared to 2022. Refer to Note 11 - Debt of the Notes to the audited consolidated financial statements included in Part II, Item 8 of this Annual Report on Form 10-K for further discussion.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Loss on Extinguishment of Debt</w:t>
      </w:r>
    </w:p>
    <w:p>
      <w:pPr>
        <w:pStyle w:val="TextBody"/>
        <w:bidi w:val="0"/>
        <w:jc w:val="left"/>
        <w:rPr/>
      </w:pPr>
      <w:r>
        <w:rPr/>
        <w:t> </w:t>
      </w:r>
    </w:p>
    <w:tbl>
      <w:tblPr>
        <w:tblW w:w="9972" w:type="dxa"/>
        <w:jc w:val="left"/>
        <w:tblInd w:w="0" w:type="dxa"/>
        <w:tblLayout w:type="fixed"/>
        <w:tblCellMar>
          <w:top w:w="28" w:type="dxa"/>
          <w:left w:w="28" w:type="dxa"/>
          <w:bottom w:w="28" w:type="dxa"/>
          <w:right w:w="28" w:type="dxa"/>
        </w:tblCellMar>
      </w:tblPr>
      <w:tblGrid>
        <w:gridCol w:w="2791"/>
        <w:gridCol w:w="146"/>
        <w:gridCol w:w="211"/>
        <w:gridCol w:w="571"/>
        <w:gridCol w:w="146"/>
        <w:gridCol w:w="146"/>
        <w:gridCol w:w="207"/>
        <w:gridCol w:w="514"/>
        <w:gridCol w:w="271"/>
        <w:gridCol w:w="146"/>
        <w:gridCol w:w="211"/>
        <w:gridCol w:w="676"/>
        <w:gridCol w:w="146"/>
        <w:gridCol w:w="146"/>
        <w:gridCol w:w="207"/>
        <w:gridCol w:w="514"/>
        <w:gridCol w:w="271"/>
        <w:gridCol w:w="146"/>
        <w:gridCol w:w="211"/>
        <w:gridCol w:w="736"/>
        <w:gridCol w:w="166"/>
        <w:gridCol w:w="146"/>
        <w:gridCol w:w="189"/>
        <w:gridCol w:w="682"/>
        <w:gridCol w:w="37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9"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December 14, 2023, we entered into and closed on the Refinancing Revolving Credit Commitments Amendment to its Credit Agreement dated as of August 19, 2022 (the “Credit Agreement”). The amendment refinanced all of our outstanding revolving credit facility commitments under the Credit Agreement and under GEO’s Third Amended and Restated Credit Agreement, dated as of March 23, 2017, as subsequently amended. We wrote-off approximately $4.2 million in existing deferred loan costs to loss on extinguishment of debt as a result of the transaction. We also made a mandatory quarterly prepayments in 2023 on our Tranche 1 and Tranche 2 loans under our exchange credit agreement. In connection with the prepayments, we wrote off a proportionate amount of related deferred loan costs and discount/premium of approximately $4.3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2022, we completed an exchange offer to exchange certain of our outstanding 5.125% Senior Notes due 2023, 5.875% Senior </w:t>
      </w:r>
    </w:p>
    <w:p>
      <w:pPr>
        <w:pStyle w:val="TextBody"/>
        <w:bidi w:val="0"/>
        <w:jc w:val="left"/>
        <w:rPr>
          <w:rFonts w:ascii="Times New Roman" w:hAnsi="Times New Roman"/>
          <w:color w:val="000000"/>
          <w:sz w:val="20"/>
        </w:rPr>
      </w:pPr>
      <w:r>
        <w:rPr>
          <w:rFonts w:ascii="Times New Roman" w:hAnsi="Times New Roman"/>
          <w:color w:val="000000"/>
          <w:sz w:val="20"/>
        </w:rPr>
        <w:t xml:space="preserve">Notes due 2024, 6.00% Senior Notes due 2026 and certain revolving credit loans and term loans under our senior secured credit facility into newly issued Senior Second Lien Secured Notes and a new credit facility. As a result of the transactions, we recorded a net loss on extinguishment of debt of $37.9 million, net of the write-off of associated unamortized deferred loan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11- Debt of the Notes to the audited consolidated financial statements included in Part II, Item 8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Gain on Disposition of Assets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31"/>
        <w:gridCol w:w="146"/>
        <w:gridCol w:w="211"/>
        <w:gridCol w:w="571"/>
        <w:gridCol w:w="146"/>
        <w:gridCol w:w="146"/>
        <w:gridCol w:w="294"/>
        <w:gridCol w:w="730"/>
        <w:gridCol w:w="271"/>
        <w:gridCol w:w="146"/>
        <w:gridCol w:w="211"/>
        <w:gridCol w:w="676"/>
        <w:gridCol w:w="146"/>
        <w:gridCol w:w="146"/>
        <w:gridCol w:w="294"/>
        <w:gridCol w:w="730"/>
        <w:gridCol w:w="271"/>
        <w:gridCol w:w="146"/>
        <w:gridCol w:w="211"/>
        <w:gridCol w:w="736"/>
        <w:gridCol w:w="166"/>
        <w:gridCol w:w="146"/>
        <w:gridCol w:w="189"/>
        <w:gridCol w:w="682"/>
        <w:gridCol w:w="363"/>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5"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63" w:type="dxa"/>
            <w:tcBorders/>
            <w:shd w:fill="FFFFFF" w:val="clear"/>
            <w:vAlign w:val="center"/>
          </w:tcPr>
          <w:p>
            <w:pPr>
              <w:pStyle w:val="TableContents"/>
              <w:bidi w:val="0"/>
              <w:spacing w:before="0" w:after="283"/>
              <w:jc w:val="center"/>
              <w:rPr/>
            </w:pPr>
            <w:r>
              <w:rPr/>
              <w:t> </w:t>
            </w:r>
          </w:p>
        </w:tc>
      </w:tr>
      <w:tr>
        <w:trPr/>
        <w:tc>
          <w:tcPr>
            <w:tcW w:w="24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Gain on Disposition of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experienced a net gain on disposition of assets in 2023 primarily due to the sale of vacant land located in South Dallas County, Texas, vacant land located in Colorado and the sale of our company-owned 900-bed Albert Bo Robinson Assessment and Treatment Center.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2022, we sold our equity investment interest in the government-owned Ravenhall Correctional Centre project in Australia for </w:t>
      </w:r>
    </w:p>
    <w:p>
      <w:pPr>
        <w:pStyle w:val="TextBody"/>
        <w:bidi w:val="0"/>
        <w:jc w:val="left"/>
        <w:rPr>
          <w:rFonts w:ascii="Times New Roman" w:hAnsi="Times New Roman"/>
          <w:color w:val="000000"/>
          <w:sz w:val="20"/>
        </w:rPr>
      </w:pPr>
      <w:r>
        <w:rPr>
          <w:rFonts w:ascii="Times New Roman" w:hAnsi="Times New Roman"/>
          <w:color w:val="000000"/>
          <w:sz w:val="20"/>
        </w:rPr>
        <w:t>approximately $84 million in gross proceeds, pre-tax to an unrelated third party. As a result of the transaction, we recorded a gain of approximately $29.3 million. Refer to Note 16 - Commitments, Contingencies and Other Matters of the Notes to the audited consolidated financial statements included in Part II, Item 8 of this Annual Report on Form 10-K. The net gain in 2022 also includes the sale of our Perry County Correctional Facility located in Alabama.</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40" w:after="283"/>
        <w:jc w:val="both"/>
        <w:rPr/>
      </w:pPr>
      <w:r>
        <w:rPr/>
        <w:t> </w:t>
      </w:r>
    </w:p>
    <w:tbl>
      <w:tblPr>
        <w:tblW w:w="9822" w:type="dxa"/>
        <w:jc w:val="left"/>
        <w:tblInd w:w="0" w:type="dxa"/>
        <w:tblLayout w:type="fixed"/>
        <w:tblCellMar>
          <w:top w:w="28" w:type="dxa"/>
          <w:left w:w="28" w:type="dxa"/>
          <w:bottom w:w="28" w:type="dxa"/>
          <w:right w:w="28" w:type="dxa"/>
        </w:tblCellMar>
      </w:tblPr>
      <w:tblGrid>
        <w:gridCol w:w="2476"/>
        <w:gridCol w:w="146"/>
        <w:gridCol w:w="211"/>
        <w:gridCol w:w="676"/>
        <w:gridCol w:w="146"/>
        <w:gridCol w:w="146"/>
        <w:gridCol w:w="179"/>
        <w:gridCol w:w="572"/>
        <w:gridCol w:w="271"/>
        <w:gridCol w:w="146"/>
        <w:gridCol w:w="211"/>
        <w:gridCol w:w="676"/>
        <w:gridCol w:w="146"/>
        <w:gridCol w:w="146"/>
        <w:gridCol w:w="179"/>
        <w:gridCol w:w="572"/>
        <w:gridCol w:w="271"/>
        <w:gridCol w:w="146"/>
        <w:gridCol w:w="211"/>
        <w:gridCol w:w="736"/>
        <w:gridCol w:w="166"/>
        <w:gridCol w:w="146"/>
        <w:gridCol w:w="189"/>
        <w:gridCol w:w="682"/>
        <w:gridCol w:w="37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24"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income taxes in 2023 decreased compared to 2022 along with the effective tax rate. In 2023 and 2022, there was a $3.8 million and $1.4 million net discrete tax benefit, respectively. Included in the provision for income taxes in 2023 and 2022 were a $1.0 million and $2.1 million discrete tax expense related to stock compensation that vested during the respective periods. We estimate our 2024 annual effective tax rate to be in the range of approximately 28% to 30%, exclusive of any discrete items.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in Earnings of Affiliates</w:t>
      </w:r>
    </w:p>
    <w:p>
      <w:pPr>
        <w:pStyle w:val="TextBody"/>
        <w:bidi w:val="0"/>
        <w:spacing w:before="40" w:after="283"/>
        <w:jc w:val="left"/>
        <w:rPr/>
      </w:pPr>
      <w:r>
        <w:rPr/>
        <w:t> </w:t>
      </w:r>
    </w:p>
    <w:tbl>
      <w:tblPr>
        <w:tblW w:w="9671" w:type="dxa"/>
        <w:jc w:val="left"/>
        <w:tblInd w:w="0" w:type="dxa"/>
        <w:tblLayout w:type="fixed"/>
        <w:tblCellMar>
          <w:top w:w="28" w:type="dxa"/>
          <w:left w:w="28" w:type="dxa"/>
          <w:bottom w:w="28" w:type="dxa"/>
          <w:right w:w="28" w:type="dxa"/>
        </w:tblCellMar>
      </w:tblPr>
      <w:tblGrid>
        <w:gridCol w:w="2746"/>
        <w:gridCol w:w="146"/>
        <w:gridCol w:w="211"/>
        <w:gridCol w:w="571"/>
        <w:gridCol w:w="146"/>
        <w:gridCol w:w="146"/>
        <w:gridCol w:w="207"/>
        <w:gridCol w:w="514"/>
        <w:gridCol w:w="271"/>
        <w:gridCol w:w="146"/>
        <w:gridCol w:w="211"/>
        <w:gridCol w:w="571"/>
        <w:gridCol w:w="146"/>
        <w:gridCol w:w="146"/>
        <w:gridCol w:w="207"/>
        <w:gridCol w:w="514"/>
        <w:gridCol w:w="271"/>
        <w:gridCol w:w="146"/>
        <w:gridCol w:w="242"/>
        <w:gridCol w:w="554"/>
        <w:gridCol w:w="166"/>
        <w:gridCol w:w="146"/>
        <w:gridCol w:w="224"/>
        <w:gridCol w:w="647"/>
        <w:gridCol w:w="376"/>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03"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in Earnings of Affiliates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in earnings of affiliates, presented net of income taxes, represents the earnings of SACS and GEOAmey in the aggregate. Equity in earnings of affiliates in 2023 compared to 2022 decreased primarily due to unfavorable performance at SACS.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cash requirements consist of amounts needed for working capital, debt service, supply purchases, investments in joint ventures, and capital expenditures related to either the development of new secure, processing and reentry facilities, or the 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Additional capital needs may also arise in the future with respect to possible acquisitions, other corporate transactions or other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were developing a number of contractually committed projects that we estimate will cost approximately $61.3 million, of which $49.0 million was spent through December 31, 2023. We estimate our remaining contractually committed capital requirements to be approximately $12.3 million. These projects are expected to be completed through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plan to fund all of our capital needs, including capital expenditures, from cash on hand, cash from operations, borrowings under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Exchange Credit Agreement and any other financings which our management and Board, in their discretion, may consummate. Currently, our primary source of liquidity to meet these requirements is cash flow from operations and borrowings under our Exchange Credit Agreement. We completed our annual budgeting process, and for 2024, we will continue to strategically manage our capital expenditures to maintain both short and long term financial objectives. Additionally, we may from time to time pursue transactions for the potential sale of additional assets and businesses and/or other strategic transactions. Our management believes that cash on hand, cash flows from operations and availability under our Exchange Credit Agreement will be adequate to support our capital requirements for 2024 as disclosed under “Capital Requirements” above.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Redemption of Senior Notes due 2024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February 9, 2024, we delivered a notice of redemption for all of the remaining $23.8 million in outstanding aggregate principal amount of our 5.875% Senior Notes due 2024. The redemption will occur on March 11, 2024 (the "Redemption Date"). The redemption price will be equal to $1,000 per $1,000 original principal amount, plus any accrued and unpaid interest up to, but excluding the Redemption Date. In February 2024 we deposited with the trustee the redemption price, using available cash on hand, and the indenture governing the 5.875% Senior Notes due 2024 has been satisfied and discharged.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Refinancing Revolving Credit Commitments Amendment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14, 2023, we entered into and closed on the Refinancing Revolving Credit Commitments Amendment (the “Amendment”) by and among each of GEO and GEO Corrections Holdings, Inc., as the Borrowers, the other loan parties named therein, the lender parties thereto and Alter Domus Products Corp., as administrative agent, to its Credit Agreement dated as of August 19, 2022 (the “Credit Agreement”). The Amendment refinanced all of GEO’s outstanding revolving credit facility commitments under the Credit Agreement and under GEO’s Third Amended and Restated Credit Agreement, dated as of March 23, 2017, as subsequently amended (the “Prior Credit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Amendment provides for approximately $265 million in refinancing revolving credit commitments maturing on March 23, 2027. Prior to the Amendment, a portion of our revolving credit commitments matured on May 17, 2024, and the balance of our revolving credit commitments matured on March 23, 2027. The Amendment further provides that interest will accrue on outstanding revolving credit loans at a rate with a reference to GEO’s total leverage ratio. Currently, revolving credit loans accruing interest at a SOFR based rate would accrue interest at the term SOFR rate for the applicable period plus 3.00% per annum. All other terms governing the refinancing revolving credit commitments remain substantially consistent with those governing the revolving credit commitments being refinanced.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Exchange Offer</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19, 2022, we completed an exchange offer to exchange certain of our outstanding 5.125% Senior Notes due 2023, 5.875% </w:t>
      </w:r>
    </w:p>
    <w:p>
      <w:pPr>
        <w:pStyle w:val="TextBody"/>
        <w:bidi w:val="0"/>
        <w:jc w:val="left"/>
        <w:rPr>
          <w:rFonts w:ascii="Times New Roman" w:hAnsi="Times New Roman"/>
          <w:color w:val="000000"/>
          <w:sz w:val="20"/>
        </w:rPr>
      </w:pPr>
      <w:r>
        <w:rPr>
          <w:rFonts w:ascii="Times New Roman" w:hAnsi="Times New Roman"/>
          <w:color w:val="000000"/>
          <w:sz w:val="20"/>
        </w:rPr>
        <w:t xml:space="preserve">Senior Notes due 2024, 6.00% Senior Notes due 2026 and certain revolving credit loans and term loans under our senior secured credit facility into newly issued Senior Second Lien Secured Notes and a new Exchange Credit Agreement. As a result of the transactions, we recorded a net loss on extinguishment of debt of approximately $37.9 million and incurred a total of approximately $52.8 million of debt issuance fees which will be amortized over the terms of the respective agreements using the effective interest method. Refer to Note 11 - Debt of the Notes to the audited consolidated financial statements included in Part II, Item 8 of this Annual Report on Form 10-K.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the completed exchange offer in August 2022, S&amp;P Global Ratings upgraded our issuer rating to B with a stable outlook. In </w:t>
      </w:r>
    </w:p>
    <w:p>
      <w:pPr>
        <w:pStyle w:val="TextBody"/>
        <w:bidi w:val="0"/>
        <w:jc w:val="left"/>
        <w:rPr>
          <w:rFonts w:ascii="Times New Roman" w:hAnsi="Times New Roman"/>
          <w:sz w:val="20"/>
        </w:rPr>
      </w:pPr>
      <w:r>
        <w:rPr>
          <w:rFonts w:ascii="Times New Roman" w:hAnsi="Times New Roman"/>
          <w:color w:val="000000"/>
          <w:sz w:val="20"/>
        </w:rPr>
        <w:t>September 2022, Moody’s Investors Service upgraded our corporate family rating to B3 with a stable outlook</w:t>
      </w:r>
      <w:r>
        <w:rPr>
          <w:rFonts w:ascii="Calibri;sans-serif" w:hAnsi="Calibri;sans-serif"/>
          <w:color w:val="000000"/>
          <w:sz w:val="22"/>
        </w:rPr>
        <w:t xml:space="preserve">. </w:t>
      </w:r>
      <w:r>
        <w:rPr>
          <w:rFonts w:ascii="Times New Roman" w:hAnsi="Times New Roman"/>
          <w:color w:val="000000"/>
          <w:sz w:val="20"/>
        </w:rPr>
        <w:t xml:space="preserve">In October 2023 Moody’s affirmed our B3 rating with a stable outlook. In January 2024 S&amp;P affirmed our B rating with a stable outlook.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we had no borrowings under our revolver, and approximately $75.8 million in letters of credit which left approximately $189.2 million in additional borrowing capacity under the revolver. The weighted average interest rate on outstanding borrowings under the Credit Agreement as of December 31, 2023 was 12.35%.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6.50% Exchangeable Senior Notes due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24, 2021, our wholly-owned subsidiary, GEO Corrections Holdings, Inc. (“GEOCH”), completed a private offering of $230 million aggregate principal amount of 6.50% exchangeable senior unsecured notes due 2026 (the “Convertible Notes”), which included the full exercise of the initial purchasers’ over-allotment option to purchase an additional $30 million aggregate principal amount of Convertible Notes. The Convertible Notes will mature on February 23, 2026, unless earlier repurchased or exchanged. The Convertible Notes bear interest 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rate of 6.50% per year plus an additional amount based on the dividends paid by GEO on its common stock. Interest on the notes is payable semi-annually in arrears on March 1 and September 1 of each year, beginning on September 1,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Subject to certain restrictions on share ownership and transfer, holders may exchange the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notes for each trading day of such measurement period was less than 98% of the product of the last reported sale price of our common stock and the exchange rate for the notes on each such trading day; or (2) upon the occurrence of certain specified corporate events. On or after November 25, 2025, until the close of business on the second scheduled trading day immediately preceding the maturity date of the notes, holders may exchange their notes at any time, regardless of the foregoing circumstances. Upon exchange of a note, we will pay or deliver, as the case may be, cash or a combination of cash and shares of our common stock. As of December 31, 2023, conditions had not been met to exchange the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conversion, we will pay or deliver, as the case may be, cash or a combination of cash and shares of common stock. The initial conversion rate is 108.4011 shares of common stock per $1,000 principal amount of Convertible Notes (equivalent to an initial conversion price of approximately $9.225 per share of common stock). The conversion rate will be subject to adjustment in certain events. If GEO or GEOCH undergoes a fundamental change, holders may require GEOCH to purchase the notes in whole or in part for cash at a fundamental change purchase price equal to 100% of the principal amount of the notes to be purchased, plus accrued and unpaid interest, if any, to, but excluding, the fundamental change purchase date.</w:t>
      </w:r>
    </w:p>
    <w:p>
      <w:pPr>
        <w:pStyle w:val="TextBody"/>
        <w:bidi w:val="0"/>
        <w:spacing w:before="240" w:after="283"/>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consider opportunities for future business and/or asset acquisitions or dispositions as we deem appropriate when market conditions </w:t>
      </w:r>
    </w:p>
    <w:p>
      <w:pPr>
        <w:pStyle w:val="TextBody"/>
        <w:bidi w:val="0"/>
        <w:jc w:val="left"/>
        <w:rPr>
          <w:rFonts w:ascii="Times New Roman" w:hAnsi="Times New Roman"/>
          <w:color w:val="000000"/>
          <w:sz w:val="20"/>
        </w:rPr>
      </w:pPr>
      <w:r>
        <w:rPr>
          <w:rFonts w:ascii="Times New Roman" w:hAnsi="Times New Roman"/>
          <w:color w:val="000000"/>
          <w:sz w:val="20"/>
        </w:rPr>
        <w:t>present opportunities. If we are successful in our pursuit of any new projects, our cash on hand, cash flows from operations and borrowings under the new Exchange Credit Agreement may not provide sufficient liquidity to meet our capital needs and we could be forced to seek additional financing or refinance our existing indebtedness. There can be no assurance that any such financing or refinancing would be available to us on terms equal to or more favorable than our current financing terms, or at all. In the future, our access to capital and ability to compete for future capital-intensive projects will also be dependent upon, among other things, our ability to meet certain financial covenants in the indentures governing the second lien notes, the indenture governing the 5.875% Senior Notes due 2024, the indenture governing the 6.00% Senior Notes due 2026, the indenture governing our Convertible Notes and our Exchange Credit Agreement. A substantial decline in our financial performance could limit our access to capital pursuant to these covenants and have a material adverse effect on our liquidity and capital resources and, as a result, on our financial condition and results of operations. In addition to these foregoing potential constraints on our capital, a number of state government agencies have been suffering from budget deficits and liquidity issues. While we were in compliance with our debt covenants as of December 31, 2023, and we expect to continue to be in compliance with our debt covenants, if these constraints were to intensify, our liquidity could be materially adversely impacted as could our ability to remain in compliance with these debt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seek to purchase or retire our outstanding senior notes through repurchases, redemptions and/or exchanges for equity securities, in open market purchases, privately negotiated transactions or otherwise. Such repurchases, redemptions or exchanges, if any, will depend on prevailing market conditions, our liquidity requirements, contractual restrictions and other factors. The amounts involved may be material.</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Quarterly Dividends</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previously discussed above, on December 2, 2021, GEO’s Board unanimously approved a plan to terminate our REIT status and become a taxable C Corporation, effective for the year ended December 31, 2021. In connection with terminating the GEO’s REIT status, the Board also voted unanimously to discontinue our quarterly dividend payments and prioritize allocating GEO’s free cash flow to reduce debt. </w:t>
      </w:r>
    </w:p>
    <w:p>
      <w:pPr>
        <w:pStyle w:val="TextBody"/>
        <w:bidi w:val="0"/>
        <w:jc w:val="left"/>
        <w:rPr/>
      </w:pPr>
      <w:r>
        <w:rPr/>
        <w:t> </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Automatic Shelf Registration on Form S-3</w:t>
      </w:r>
    </w:p>
    <w:p>
      <w:pPr>
        <w:pStyle w:val="TextBody"/>
        <w:bidi w:val="0"/>
        <w:jc w:val="left"/>
        <w:rPr>
          <w:rFonts w:ascii="Times New Roman" w:hAnsi="Times New Roman"/>
          <w:color w:val="000000"/>
          <w:sz w:val="20"/>
        </w:rPr>
      </w:pPr>
      <w:r>
        <w:rPr>
          <w:rFonts w:ascii="Times New Roman" w:hAnsi="Times New Roman"/>
          <w:color w:val="000000"/>
          <w:sz w:val="20"/>
        </w:rPr>
        <w:t>On October 30, 2023, the Company filed an automatic shelf registration statement on Form S-3 with the Securities and Exchange Commission (the “SEC”) that enables the Company to offer for sale, from time to time and as the capital markets permit, an unspecified amount of common stock, preferred stock, debt securities, guarantees of debt securities, warrants and units. The shelf registration statement became automatically effective upon filing and is valid for three years.</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Prospectus Supplement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28, 2023, in connection with the shelf registration, we filed with the SEC a prospectus supplement related to the offer and sale from time to time of our common stock at an aggregate offering price of up to $300 million through sales agents. Sales of shares of our 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year ended December 31, 2023.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Australia - Ravenhall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a design and build project agreement with the State of Victoria, in September 2014, we entered into a syndicated </w:t>
      </w:r>
    </w:p>
    <w:p>
      <w:pPr>
        <w:pStyle w:val="TextBody"/>
        <w:bidi w:val="0"/>
        <w:jc w:val="left"/>
        <w:rPr>
          <w:rFonts w:ascii="Times New Roman" w:hAnsi="Times New Roman"/>
          <w:color w:val="000000"/>
          <w:sz w:val="20"/>
        </w:rPr>
      </w:pPr>
      <w:r>
        <w:rPr>
          <w:rFonts w:ascii="Times New Roman" w:hAnsi="Times New Roman"/>
          <w:color w:val="000000"/>
          <w:sz w:val="20"/>
        </w:rPr>
        <w:t xml:space="preserve">facility agreement (the "Construction Facility") to provide debt financing for construction of the project. The Construction Facility provided for non-recourse funding for the project. In September 2022, we sold our equity investment interest in the project to an unrelated third party. In connection with the sale, the non-recourse debt was transferred to the buyer and is no longer an outstanding obligation of GEO. Refer to Note 16 - Commitments, Contingencies and Other Matters of the Notes to the audited consolidated financial statements included in Part II, Item 8 of this Annual Report on Form 10-K.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two identical Notes (as defined below) in the aggregate amount of $44.3 million which are secured by loan agreements and mortgage and security agreements on certain real property and improvements. The terms of the Notes are through September 1, 2034 and bear interest at SOFR plus 205 basis points and are payable in monthly installments plus interest. We have entered into interest rate swap agreements to fix the interest rate to 4.22%. Included in the balance at December 31, 2023 is $0.5 million of deferred loan costs incurred in the transaction. Refer to Note 6 – Derivative Financial Instruments in the notes to our consolidated financial statements included in Part II, Item 8 of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Guarantees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certain guarantees in connection with the design, financing and construction of certain facilities as well as loan, working capital and other obligation guarantees for our subsidiaries in Australia, South Africa and our joint ventures. Refer to Note 11 - Debt in the notes to our consolidated financial statements included in Part II, Item 8 of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Executive Retirement Agreement</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have a non-qualified deferred compensation agreement with our Executive Chairmen and former Chief Executive Officer (“former CEO”). The agreement provides for a lump sum payment upon retirement, no sooner than age 55. As of December 31, 2023, our Executive Chairman had reached age 55 and was eligible to receive the payment upon retirement.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GEO and our Executive Chairman and former CEO, entered into on May 27, 2021, and effective July 1, 2021, an Amended and Restated Executive Retirement Agreement which replaced the prior February 26, 2020 agreement discussed below. Pursuant to the terms of the Amended and Restated Executive Retirement Agreement, upon the date that the Executive Chairman ceases to provide services to GEO, we will pay to the Executive Chairman an amount equal to $3,600,000 (the "2021 Grandfathered Payment") which shall be paid in cash. The Grandfathered Payment shall be credited with interest at a rate of 5% compounded quarterly (the “Grandfathered Earnings Account”). Additionally, at the end of each calendar year provided that our Executive Chairman is still providing services to GEO pursuant to the Executive Chairman Employment Agreement, we will credit an amount equal to $1,000,000 at the end of each calendar year (the “Employment Contributions Account”). The Employment Contributions Account will be credited with interest at the rate of 5% compounded quarterly. Upon the date that the Executive Chairman ceases to provide services to GEO, we will pay the Executive Chairman in one lump sum cash payment each of the 2021 Grandfathered Payment, the Grandfathered Earnings Account and the Employment Contributions Account subject to the six-month delay provided in the Amended and Restated Executive Retirement Agreement. As the Executive Chairman’s retirement payment will no longer be settled with a fixed number of shares of GEO’s common stock (as discussed below under the prior agreement), $3,600,000 has been reclassified from equity to other non-current liabilities in 2021. The balance of the Amended and Restated Executive Retirement Agreement was approximately $9.6 million at December 31, 2023 which is fully funded. On November 29, 2023, we confirmed that our Founder and Executive Chairman, will step down as Executive Chairman on June 30, 2026, at the end of his current employment term under his Executive Chairman Employment Agreement. Refer to Note 16 - Commitments, Contingencies and Other Matters in the notes to our audited consolidated financial statements included in Part II, Item 8 of this Annual Report on Form 10-K for further information. The following table presents the balance due to the Executive Chairman at the end of each of the next two and a half years under the Amended and Restated Executive Retirement Agreement provided that the Executive Chairman is still providing services to GEO under his Executive Chairman Employment Agreement:</w:t>
      </w:r>
    </w:p>
    <w:p>
      <w:pPr>
        <w:pStyle w:val="TextBody"/>
        <w:bidi w:val="0"/>
        <w:jc w:val="left"/>
        <w:rPr/>
      </w:pPr>
      <w:r>
        <w:rPr/>
        <w:t> </w:t>
      </w:r>
    </w:p>
    <w:tbl>
      <w:tblPr>
        <w:tblW w:w="2558" w:type="dxa"/>
        <w:jc w:val="left"/>
        <w:tblInd w:w="0" w:type="dxa"/>
        <w:tblLayout w:type="fixed"/>
        <w:tblCellMar>
          <w:top w:w="28" w:type="dxa"/>
          <w:left w:w="28" w:type="dxa"/>
          <w:bottom w:w="28" w:type="dxa"/>
          <w:right w:w="28" w:type="dxa"/>
        </w:tblCellMar>
      </w:tblPr>
      <w:tblGrid>
        <w:gridCol w:w="1081"/>
        <w:gridCol w:w="146"/>
        <w:gridCol w:w="270"/>
        <w:gridCol w:w="870"/>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Retirement</w:t>
              <w:br/>
              <w:t>Obligation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12/31/2024</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12/31/2025</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16,336</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6/30/2026</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established several trusts for the purpose of paying the retirement benefit pursuant to the Amended and Restated Executive Retirement Agreement. The trusts were revocable “rabbi trusts” and the assets of the trusts are subject to the claims of our creditors in the event of our insolvency.</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Guarantor Financial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GEO’s 10.500% Public Second Lien Notes, 9.500% Private Second Lien Notes, Convertible Notes, 6.00% Senior Notes due 2026, and </w:t>
      </w:r>
    </w:p>
    <w:p>
      <w:pPr>
        <w:pStyle w:val="TextBody"/>
        <w:bidi w:val="0"/>
        <w:jc w:val="left"/>
        <w:rPr>
          <w:rFonts w:ascii="Times New Roman" w:hAnsi="Times New Roman"/>
          <w:color w:val="000000"/>
          <w:sz w:val="20"/>
        </w:rPr>
      </w:pPr>
      <w:r>
        <w:rPr>
          <w:rFonts w:ascii="Times New Roman" w:hAnsi="Times New Roman"/>
          <w:color w:val="000000"/>
          <w:sz w:val="20"/>
        </w:rPr>
        <w:t>the 5.875% Senior Notes due 2024 are fully and unconditionally guaranteed on a joint and several senior unsecured basis by certain of our wholly owned domestic subsidiaries (the “Subsidiary Guarantors”).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Summarized financial information is provided for The GEO Group, Inc. (“Parent”) and the Subsidiary Guarantors on a combined basis in accordance with SEC Regulation S-X Rules 3-10 and 13-01. The accounting policies used in the preparation of this summarized financial information are consistent with those elsewhere in the consolidated financial statements of the Company, except that intercompany transactions and balances of the Parent and Subsidiary Guarantor entities with non-guarantor entities have not been eliminated. Intercompany transactions between the Parent and Subsidiary Guarantors have been eliminated and equity in earnings from and investments in non-guarantor subsidiaries have not been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Summarized statement of operations (in thousands):</w:t>
      </w:r>
    </w:p>
    <w:p>
      <w:pPr>
        <w:pStyle w:val="TextBody"/>
        <w:bidi w:val="0"/>
        <w:spacing w:before="40" w:after="283"/>
        <w:jc w:val="left"/>
        <w:rPr/>
      </w:pPr>
      <w:r>
        <w:rPr/>
        <w:t> </w:t>
      </w:r>
    </w:p>
    <w:tbl>
      <w:tblPr>
        <w:tblW w:w="7620" w:type="dxa"/>
        <w:jc w:val="left"/>
        <w:tblInd w:w="0" w:type="dxa"/>
        <w:tblLayout w:type="fixed"/>
        <w:tblCellMar>
          <w:top w:w="28" w:type="dxa"/>
          <w:left w:w="28" w:type="dxa"/>
          <w:bottom w:w="28" w:type="dxa"/>
          <w:right w:w="28" w:type="dxa"/>
        </w:tblCellMar>
      </w:tblPr>
      <w:tblGrid>
        <w:gridCol w:w="3991"/>
        <w:gridCol w:w="146"/>
        <w:gridCol w:w="277"/>
        <w:gridCol w:w="1223"/>
        <w:gridCol w:w="146"/>
        <w:gridCol w:w="146"/>
        <w:gridCol w:w="277"/>
        <w:gridCol w:w="1223"/>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revenues</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2,176,556</w:t>
            </w:r>
          </w:p>
        </w:tc>
        <w:tc>
          <w:tcPr>
            <w:tcW w:w="19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378,691</w:t>
            </w:r>
          </w:p>
        </w:tc>
        <w:tc>
          <w:tcPr>
            <w:tcW w:w="19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139,570</w:t>
            </w:r>
          </w:p>
        </w:tc>
        <w:tc>
          <w:tcPr>
            <w:tcW w:w="19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GEO Group, Inc.</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139,570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Summarized balance sheets (in thousands):</w:t>
      </w:r>
    </w:p>
    <w:p>
      <w:pPr>
        <w:pStyle w:val="TextBody"/>
        <w:bidi w:val="0"/>
        <w:spacing w:before="40" w:after="283"/>
        <w:jc w:val="left"/>
        <w:rPr/>
      </w:pPr>
      <w:r>
        <w:rPr/>
        <w:t> </w:t>
      </w:r>
    </w:p>
    <w:tbl>
      <w:tblPr>
        <w:tblW w:w="5760" w:type="dxa"/>
        <w:jc w:val="left"/>
        <w:tblInd w:w="0" w:type="dxa"/>
        <w:tblLayout w:type="fixed"/>
        <w:tblCellMar>
          <w:top w:w="28" w:type="dxa"/>
          <w:left w:w="28" w:type="dxa"/>
          <w:bottom w:w="28" w:type="dxa"/>
          <w:right w:w="28" w:type="dxa"/>
        </w:tblCellMar>
      </w:tblPr>
      <w:tblGrid>
        <w:gridCol w:w="2131"/>
        <w:gridCol w:w="146"/>
        <w:gridCol w:w="277"/>
        <w:gridCol w:w="1223"/>
        <w:gridCol w:w="146"/>
        <w:gridCol w:w="146"/>
        <w:gridCol w:w="277"/>
        <w:gridCol w:w="1223"/>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492,080</w:t>
            </w:r>
          </w:p>
        </w:tc>
        <w:tc>
          <w:tcPr>
            <w:tcW w:w="191"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(a)</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3,059,195</w:t>
            </w:r>
          </w:p>
        </w:tc>
        <w:tc>
          <w:tcPr>
            <w:tcW w:w="191"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370,177</w:t>
            </w:r>
          </w:p>
        </w:tc>
        <w:tc>
          <w:tcPr>
            <w:tcW w:w="191"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 (b)</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2,163,004</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Includes amounts due from non-guarantor subsidiaries of $50.0 million and $32.6 million as of December 31,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Includes amounts due to non-guarantor subsidiaries of $31.5 million and $8.9 million as of December 31, 2023 and 2022,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discussed above, and in the notes to our consolidated financial statements included in Part II, Item 8 of this Annual Report on Form 10-K, we do not have any off-balance sheet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exposed to various commitments and contingencies which may have a material adverse effect on our liquidity. See Note 16 – Commitments, Contingencies and Other Matters in the notes to our consolidated financial statements included in Part II, Item 8 of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two interest rate swap agreements in the aggregate notional amount of $44.3 million to fix the interest rate on certain of our variable rate debt to 4.22%. We have designated these interest rate swaps as hedges against changes in the cash flows of two identical promissory notes (the "Notes") which are secured by loan agreements and mortgage and security agreements on certain real property and improvements. We have determined that the swaps have payment, expiration dates, and provisions that coincide with the terms of the Notes and are therefore considered to be effective cash flow hedges. Accordingly, we record the change in fair value of the interest rate swaps as accumulated other comprehensive income (loss), net of applicable taxes. There was no material ineffectiveness for the period presented. We do not expect to enter into any transactions during the next twelve months which would result in reclassification into earnings or losses associated with these swaps currently reported in accumulated other comprehensive income (loss). Refer to Note 11 - Debt and Note 6 - Derivative Financial Instruments in the notes to our audited consolidated financial statements included in Part II, Item 8 of this Annual Report on Form 10-K for further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cash equivalents, restricted cash and cash equivalents as of December 31, 2023 was $159.9 million, compared to $143.8 million as of December 31, 2022 and was impacted by the following: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in 2023 and 2022 was $284.9 million and $296.4 million, respectively. Net cash provided by operating activities in 2023 was positively impacted by non-cash expenses such as depreciation and amortization, deferred tax provision (benefit), amortization of debt issuance costs, discount and/or premium and other non-cash interest, stock-based compensation expense, loss on sale/disposal of property and equipment, loss on extinguishment of debt and dividends received from our unconsolidated joint venture. Equity in earnings of affiliates negatively impacted cash along with a net gain on disposition of assets. Changes in accounts receivable, prepaid expenses and other assets decreased in total by a net of $11.7 million, representing a positive impact on cash. The decrease was primarily driven by the timing of billings and collections. Changes in accounts payable, accrued expenses and other liabilities increased by $8.1 million which positively impacted cash. The increase was primarily due to the timing of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in 2022 was positively impacted by non-cash expenses such as depreciation and amortization, amortization of debt issuance costs, discount and/or premium and other non-cash interest, stock-based compensation expense, loss on extinguishment of debt and dividends received from our unconsolidated joint venture. Equity in earnings of affiliates negatively impacted cash along with a net gain on disposition of assets and deferred tax benefit. Changes in accounts receivable, prepaid expenses and other assets increased in total by a net of $53.0 million, representing a negative impact on cash. The increase was primarily driven by the timing of billings and collections. Changes in accounts payable, accrued expenses and other liabilities increased by $21.8 million which positively impacted cash. The increase was primarily due to the timing of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cash provided by operating activities in 2022 was positively impacted by a decrease in contract receivable of $5.3 million. The decrease relates to the timing of payments received and interest accrued, along with the effect of foreign exchange rates, related to the Ravenhall Project. Refer to Note 16 - Commitments, Contingencies and Other Matters included in the notes to our audited consolidated financial statements included in Part II, Item 8 of this Annual Report on Form 10-K.</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investing activities of $60.6 million in 2023 was primarily the result of capital expenditures of $73.0 million and changes in restricted investments of $7.2 million, offset by proceeds from sale of real estate and other assets of $19.6 million. Net cash provided by investing activities of $3.0 million in 2022 was primarily the result of capital expenditures of $90.0 million and changes in restricted investments of $8.4 million, offset by proceeds from sale of real estate and other assets of $101.4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in 2023 reflects payments of $208.4 million on long term debt offset by $5.8 million of proceeds from the sale of treasury shares. We also paid $2.4 million of debt issuance costs in connection with our revolver refinancing and paid $3.4 million for taxes related to net share settlements of equity awards. Refer to Note 11 - Debt included in the notes to our audited consolidated financial statements included in Part II, Item 8 of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in 2022 reflects payments of $680.9 million on long term debt offset by $30.0 million of proceeds from long term debt and payments on non-recourse debt of $5.7 million. We also paid $41.5 million of debt issuance costs in connection with our exchange offering. Refer to Note 11 - Debt included in the notes to our audited consolidated financial statements included in Part II, Item 8 of this Annual Report on Form 10-K.</w:t>
      </w:r>
    </w:p>
    <w:p>
      <w:pPr>
        <w:pStyle w:val="TextBody"/>
        <w:bidi w:val="0"/>
        <w:spacing w:before="240" w:after="283"/>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inflation, in general, did have a negative impact but did not have a material effect on our results of operations during 2023 and 2022. While some of our contracts include provisions for inflationary indexing, inflation could have a substantial adverse effect on our results of operations in the future to the extent that wages and salaries, which represent our largest recurring/fixed expense, increase at a faster rate than the per diem or fixed rates received by us for our management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Non-GAAP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EBITDA is defined as net income adjusted by adding provisions for income tax, interest expense, net of interest income and depreciation and amortization. Adjusted EBITDA is defined as EBITDA adjusted for gain on asset divestitures, pre-tax, net loss attributable to non-controlling interests, stock-based compensation expenses, pre-tax, litigation costs and settlements, pre-tax, one-time employee restructuring expenses, pre-tax, transaction related expenses, pre-tax, other non-cash revenue and expenses, pre-tax, and certain other adjustments as defined from time to time. </w:t>
      </w:r>
    </w:p>
    <w:p>
      <w:pPr>
        <w:pStyle w:val="TextBody"/>
        <w:bidi w:val="0"/>
        <w:jc w:val="both"/>
        <w:rPr>
          <w:rFonts w:ascii="Times New Roman" w:hAnsi="Times New Roman"/>
          <w:color w:val="000000"/>
          <w:sz w:val="20"/>
        </w:rPr>
      </w:pPr>
      <w:r>
        <w:rPr>
          <w:rFonts w:ascii="Times New Roman" w:hAnsi="Times New Roman"/>
          <w:color w:val="000000"/>
          <w:sz w:val="20"/>
        </w:rPr>
        <w:t xml:space="preserve">Given the nature of our business as a real estate owner and operator, we believe that EBITDA and Adjusted EBITDA are helpful to investors as measures of our operational performance because they provide an indication of our ability to incur and service debt, to satisfy general operating expenses, to make capital expenditures, and to fund other cash needs or reinvest cash into our business.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by removing the impact of our asset base (primarily depreciation and amortization) and excluding certain non-cash charges, amounts spent on interest and taxes, and certain other charges that are highly variable from year to year, EBITDA and Adjusted EBITDA provide our investors with performance measures that reflect the impact to operations from trends in occupancy rates, per diem rates and operating costs, providing a perspective not immediately apparent from net income. </w:t>
      </w:r>
    </w:p>
    <w:p>
      <w:pPr>
        <w:pStyle w:val="TextBody"/>
        <w:bidi w:val="0"/>
        <w:jc w:val="both"/>
        <w:rPr>
          <w:rFonts w:ascii="Times New Roman" w:hAnsi="Times New Roman"/>
          <w:color w:val="000000"/>
          <w:sz w:val="20"/>
        </w:rPr>
      </w:pPr>
      <w:r>
        <w:rPr>
          <w:rFonts w:ascii="Times New Roman" w:hAnsi="Times New Roman"/>
          <w:color w:val="000000"/>
          <w:sz w:val="20"/>
        </w:rPr>
        <w:t xml:space="preserve">The adjustments we make to derive the non-GAAP measures of EBITDA and Adjusted EBITDA exclude items which may cause short-term fluctuations in income from continuing operations and which we do not consider to be the fundamental attributes or primary drivers of our business plan and they do not affect our overall long-term operating performance. </w:t>
      </w:r>
    </w:p>
    <w:p>
      <w:pPr>
        <w:pStyle w:val="TextBody"/>
        <w:bidi w:val="0"/>
        <w:jc w:val="both"/>
        <w:rPr>
          <w:rFonts w:ascii="Times New Roman" w:hAnsi="Times New Roman"/>
          <w:color w:val="000000"/>
          <w:sz w:val="20"/>
        </w:rPr>
      </w:pPr>
      <w:r>
        <w:rPr>
          <w:rFonts w:ascii="Times New Roman" w:hAnsi="Times New Roman"/>
          <w:color w:val="000000"/>
          <w:sz w:val="20"/>
        </w:rPr>
        <w:t>EBITDA and Adjusted EBITDA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reconciliation of net income to EBITDA and Adjusted EBITDA for the years ended December 31, 2023 and 2022 is as follows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6820" w:type="dxa"/>
        <w:jc w:val="left"/>
        <w:tblInd w:w="0" w:type="dxa"/>
        <w:tblLayout w:type="fixed"/>
        <w:tblCellMar>
          <w:top w:w="28" w:type="dxa"/>
          <w:left w:w="28" w:type="dxa"/>
          <w:bottom w:w="28" w:type="dxa"/>
          <w:right w:w="28" w:type="dxa"/>
        </w:tblCellMar>
      </w:tblPr>
      <w:tblGrid>
        <w:gridCol w:w="3961"/>
        <w:gridCol w:w="146"/>
        <w:gridCol w:w="233"/>
        <w:gridCol w:w="862"/>
        <w:gridCol w:w="166"/>
        <w:gridCol w:w="146"/>
        <w:gridCol w:w="233"/>
        <w:gridCol w:w="862"/>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171,692</w:t>
            </w:r>
          </w:p>
        </w:tc>
        <w:tc>
          <w:tcPr>
            <w:tcW w:w="211" w:type="dxa"/>
            <w:tcBorders/>
            <w:shd w:fill="FFFFFF" w:val="cle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Add:</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63,639</w:t>
            </w:r>
          </w:p>
        </w:tc>
        <w:tc>
          <w:tcPr>
            <w:tcW w:w="211" w:type="dxa"/>
            <w:tcBorders/>
            <w:shd w:fill="FFFFFF" w:val="cle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 of interest income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186,457</w:t>
            </w:r>
          </w:p>
        </w:tc>
        <w:tc>
          <w:tcPr>
            <w:tcW w:w="21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554,713</w:t>
            </w:r>
          </w:p>
        </w:tc>
        <w:tc>
          <w:tcPr>
            <w:tcW w:w="21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Add (Subtract):</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asset divestitures, pre-tax</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1" w:type="dxa"/>
            <w:tcBorders/>
            <w:shd w:fill="FFFFFF" w:val="cle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 pre-tax</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16,204</w:t>
            </w:r>
          </w:p>
        </w:tc>
        <w:tc>
          <w:tcPr>
            <w:tcW w:w="21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 and settlements, pre-tax</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One-time employee expenses, pre-tax</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 pre-tax</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211" w:type="dxa"/>
            <w:tcBorders/>
            <w:shd w:fill="FFFFFF" w:val="cle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revenue &amp; expenses, pre-tax</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540,028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Includes income tax provision on equity in earnings of affiliates</w:t>
      </w:r>
    </w:p>
    <w:p>
      <w:pPr>
        <w:pStyle w:val="TextBody"/>
        <w:bidi w:val="0"/>
        <w:jc w:val="left"/>
        <w:rPr>
          <w:rFonts w:ascii="Times New Roman" w:hAnsi="Times New Roman"/>
          <w:color w:val="000000"/>
          <w:sz w:val="20"/>
        </w:rPr>
      </w:pPr>
      <w:r>
        <w:rPr>
          <w:rFonts w:ascii="Times New Roman" w:hAnsi="Times New Roman"/>
          <w:color w:val="000000"/>
          <w:sz w:val="20"/>
        </w:rPr>
        <w:t>** Includes loss on extinguishment of debt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Outlook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of our future performance contains statements that are not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 Please refer to “Item 1A. Risk Factors” in this Annual Report on Form 10-K, the “Forward-Looking Statements — Safe Harbor,” as well as the other disclosures contained in this Annual Report on Form 10-K,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52525"/>
          <w:sz w:val="20"/>
        </w:rPr>
        <w:t xml:space="preserve">The public health emergency declaration related to the COVID-19 pandemic has ended. Despite this fact, there continues to be lingering impacts of the COVID-19 pandemic in the regions in which we operate. At this time, it is not possible for us to predict the duration or magnitude of the adverse results stemming from the outbreak and its lingering effects on our business or results of operations, financial condition, or liquidity. </w:t>
      </w:r>
      <w:r>
        <w:rPr>
          <w:rFonts w:ascii="Times New Roman" w:hAnsi="Times New Roman"/>
          <w:color w:val="000000"/>
          <w:sz w:val="20"/>
        </w:rPr>
        <w:t xml:space="preserve">We will continue to coordinate closely with our government agency partners and local health agencies to ensure the health and safety of all those in our care and our employees. </w:t>
      </w:r>
    </w:p>
    <w:p>
      <w:pPr>
        <w:pStyle w:val="TextBody"/>
        <w:bidi w:val="0"/>
        <w:spacing w:before="0" w:after="40"/>
        <w:jc w:val="left"/>
        <w:rPr/>
      </w:pPr>
      <w:r>
        <w:rPr/>
        <w:t> </w:t>
      </w:r>
    </w:p>
    <w:p>
      <w:pPr>
        <w:pStyle w:val="TextBody"/>
        <w:bidi w:val="0"/>
        <w:spacing w:before="0" w:after="75"/>
        <w:jc w:val="left"/>
        <w:rPr>
          <w:rFonts w:ascii="Times New Roman" w:hAnsi="Times New Roman"/>
          <w:color w:val="000000"/>
          <w:sz w:val="20"/>
        </w:rPr>
      </w:pPr>
      <w:r>
        <w:rPr>
          <w:rFonts w:ascii="Times New Roman" w:hAnsi="Times New Roman"/>
          <w:color w:val="000000"/>
          <w:sz w:val="20"/>
        </w:rPr>
        <w:t>We continue to be encouraged by the current landscape of growth opportunities; however, any positive trends may, to some extent, be adversely impacted by government budgetary constraints or any changes to a government's willingness to maintain or grow public-private partnerships in the future. While state finances overall are stable, future budgetary pressures may cause state agencies to pursue a number of cost savings initiatives which may include reductions in per diem rates and/or the scope of services provided by private operators or the decision to not re-bid a contract after expiration of the contract term. These potential cost savings initiatives could have a material adverse impact on our current operations and/or our ability to pursue new business opportunities. Additionally, if state budgetary constraints, as discussed above, develop, persist or intensify, our state customers’ ability to pay us may be impaired and/or we may be forced to renegotiate our management contracts on less favorable terms and our financial condition, results of operations or cash flows could be materially adversely impacted. We plan to actively bid on any new projects that fit our target profile for profitability and operational risk. Any positive trends in the industry may be offset by several factors, including budgetary constraints, contract modifications, contract terminations, contract non-renewals, contract re-bids and/or the decision to not re-bid a contract after expiration of the contract term and the impact of any other potential changes to the willingness or ability to maintain or grow public-private partnerships on the part of other government agencies. We believe we have a strong relationship with our government agency partners and we believe that we operate facilities that maximize security, safety and efficiency while offering our suite of GEO Continuum of Care programs, services and resources.</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26, 2021, President Biden signed an executive order directing the United States Attorney General not to renew DOJ contracts with privately operated criminal detention facilities, as consistent with applicable law. Two agencies of the DOJ, the BOP and the USMS, utilized GEO’s support services at the time the executive order was signed. The BOP houses inmates who have been convicted of federal crimes, and the USMS is generally responsible for detainees who are awaiting trial or sentencing in U.S. federal courts. As of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2023, GEO has three company-owned/company-leased facilities under direct contracts with USMS, which have current contract option periods that expire between September 2025 and September 2028. These facilities combined represented approximately 6% of our revenues for the year ended December 31, 2023. As of December 31, 2023, we no longer have any contracts with the BOP for secure correctional facilities.</w:t>
      </w:r>
    </w:p>
    <w:p>
      <w:pPr>
        <w:pStyle w:val="TextBody"/>
        <w:bidi w:val="0"/>
        <w:jc w:val="left"/>
        <w:rPr>
          <w:rFonts w:ascii="Times New Roman" w:hAnsi="Times New Roman"/>
          <w:color w:val="000000"/>
          <w:sz w:val="20"/>
        </w:rPr>
      </w:pPr>
      <w:r>
        <w:rPr>
          <w:rFonts w:ascii="Times New Roman" w:hAnsi="Times New Roman"/>
          <w:color w:val="000000"/>
          <w:sz w:val="20"/>
        </w:rPr>
        <w:t xml:space="preserve">President Biden’s administration or a future administration may implement additional executive orders or directives relating to federal criminal justice policies and/or immigration policies, which may impact the federal government’s use of public-private partnerships with respect to secure correctional and detention facilities and immigration processing centers, including with respect to our contracts, and/or may impact the budget and spending priorities of federal agencies, including the BOP, USMS, and ICE, which is an agency of the U.S. Department of Homeland Security. </w:t>
      </w:r>
    </w:p>
    <w:p>
      <w:pPr>
        <w:pStyle w:val="TextBody"/>
        <w:bidi w:val="0"/>
        <w:jc w:val="left"/>
        <w:rPr>
          <w:rFonts w:ascii="Times New Roman" w:hAnsi="Times New Roman"/>
          <w:color w:val="000000"/>
          <w:sz w:val="20"/>
        </w:rPr>
      </w:pPr>
      <w:r>
        <w:rPr>
          <w:rFonts w:ascii="Times New Roman" w:hAnsi="Times New Roman"/>
          <w:color w:val="000000"/>
          <w:sz w:val="20"/>
        </w:rPr>
        <w:t>Prior to the executive order, we have historically had a relatively high contract renewal rate, however, there can be no assurance that we will be able to renew our expiring management contracts on favorable terms, or at all. Also, while we are pleased with our track record in re-bid situations, we cannot assure that we will prevail in any such future situations.</w:t>
      </w:r>
    </w:p>
    <w:p>
      <w:pPr>
        <w:pStyle w:val="TextBody"/>
        <w:bidi w:val="0"/>
        <w:jc w:val="left"/>
        <w:rPr>
          <w:rFonts w:ascii="Times New Roman" w:hAnsi="Times New Roman"/>
          <w:color w:val="000000"/>
          <w:sz w:val="20"/>
        </w:rPr>
      </w:pPr>
      <w:r>
        <w:rPr>
          <w:rFonts w:ascii="Times New Roman" w:hAnsi="Times New Roman"/>
          <w:color w:val="000000"/>
          <w:sz w:val="20"/>
        </w:rPr>
        <w:t xml:space="preserve">Internationally, we are exploring opportunities in our current markets and will continue to actively bid on any opportunities that fit our target profile for profitability and operational risk. We are pleased to have been awarded a ten-year contract renewal for the continued delivery of secure transportation under our GEOAmey joint venture in the United Kingdom. In January 2023, our Australian subsidiary, GEO Australia, entered into a contract with the Department of Justice and Community Safety in the State of Victoria for the delivery of primary health services across thirteen public prisons. The contract commenced on July 1, 2023 and is expected to generate approximately AUD47.5 million, or $31.6 million based on average exchange rates for the year ended December 31, 2023, in incremental annualized revenue for GEO. </w:t>
      </w:r>
    </w:p>
    <w:p>
      <w:pPr>
        <w:pStyle w:val="TextBody"/>
        <w:bidi w:val="0"/>
        <w:jc w:val="left"/>
        <w:rPr>
          <w:rFonts w:ascii="Times New Roman" w:hAnsi="Times New Roman"/>
          <w:color w:val="000000"/>
          <w:sz w:val="20"/>
        </w:rPr>
      </w:pPr>
      <w:r>
        <w:rPr>
          <w:rFonts w:ascii="Times New Roman" w:hAnsi="Times New Roman"/>
          <w:color w:val="000000"/>
          <w:sz w:val="20"/>
        </w:rPr>
        <w:t xml:space="preserve">With respect to our reentry services, electronic monitoring services, and community-based services business, we are currently pursuing a number of business development opportunities. Related to opportunities for community-based reentry services, we are working with our existing federal, state, and local clients to leverage new opportunities for both residential reentry facilities as well as non-residential day reporting centers. With respect to the Department of Homeland Security's ISAP, the number of participants steadily increased throughout 2022, however, since the beginning of 2023, there has been a decline in ISAP participants as a result of recent changes in immigration and budgetary pressures. There are no assurances that there will not be a further decline in ISAP participants in 2024 and beyond. Title 42, which provided for restrictions at the Southwest border under the COVID public health emergency declaration, ended on May 11, 2023. We are focused on delivering high quality services and developing new and innovative technology solutions. To this end, we recently launched VeriWatch, a new wrist-worn GPS tracking device that allows for real-time and discrete monitoring of individuals under community supervision. We continue to expend resources on informing federal, state and local governments about the benefits of public-private partnerships, and we anticipate that there will be new opportunities in the future as those efforts continue to yield results. We believe we are well positioned to capitalize on any suitable opportunities that become available in this area. </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expenses consist of those expenses incurred in the operation and management of our contracts to provide services to our governmental clients. Labor and related costs represented approximately 66% and 63% of our operating expenses in 2023 and 2022, respectively. Additional significant operating expenses include food, utilities and inmate medical costs. In 2023 and 2022, operating expenses totaled approximately 72% and 70% of our consolidated revenues, respectively. Our operating expenses as a percentage of revenue in 2024 will be impacted by the opening of any new or existing facilities as a result of the cost of transitioning and/or start-up operations related to a facility opening. During 2024, we will incur carrying costs for facilities that were vacant in 2023.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corporate management salaries and benefits, professional fees and other administrative expenses. In both 2023 and 2022, general and administrative expenses totaled approximately 8% of our consolidated revenues. We expect general and administrative expenses as a percentage of revenue in 2024 to remain consistent or decrease as a result of cost savings initiatives.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Idle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our Secure Services segment, we are currently marketing 9,732 vacant beds with a net book value of approximately $251.2 million at seven of our idle facilities to potential customers. In our Reentry Services segment, we are currently marketing 1,689 vacant beds with a net book value of approximately $37.2 million at three of our idle facilities to potential customers. The combined annual carrying cost of these idle facilities in 2024 is estimated to be $26.2 million, including depreciation expense of $17.9 million. With the exception of a contract yet to be activated for one of our secure facilities, we currently do not have any firm commitments or agreements in place to activate these facilities but have ongoing contact with several potential customers. Historically, some facilities have been idle for multiple years before they received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new contract award. The per diem rates that we charge our clients often vary by contract across our portfolio. However, if the ten idle facilities in our Secure Services and Reentry Services segments were to be activated using our Secure Services and Reentry Services average per diem rate in 2023 (calculated as revenue divided by the number of mandays) and based on the average occupancy rate in our facilities for 2023, we would expect to receive annual incremental revenue of approximately $350 million and an increase in annual earnings per share of approximately $.28 to $.33 per share based on our average operating margin. Refer to discussion in Item I, Part I – Business under </w:t>
      </w:r>
      <w:r>
        <w:rPr>
          <w:rFonts w:ascii="Times New Roman" w:hAnsi="Times New Roman"/>
          <w:b/>
          <w:i/>
          <w:color w:val="000000"/>
          <w:sz w:val="20"/>
        </w:rPr>
        <w:t>Executive Order</w:t>
      </w:r>
      <w:r>
        <w:rPr>
          <w:rFonts w:ascii="Times New Roman" w:hAnsi="Times New Roman"/>
          <w:color w:val="000000"/>
          <w:sz w:val="20"/>
        </w:rPr>
        <w:t xml:space="preserve"> and </w:t>
      </w:r>
      <w:r>
        <w:rPr>
          <w:rFonts w:ascii="Times New Roman" w:hAnsi="Times New Roman"/>
          <w:b/>
          <w:i/>
          <w:color w:val="000000"/>
          <w:sz w:val="20"/>
        </w:rPr>
        <w:t>Contract Developments</w:t>
      </w:r>
      <w:r>
        <w:rPr>
          <w:rFonts w:ascii="Times New Roman" w:hAnsi="Times New Roman"/>
          <w:color w:val="000000"/>
          <w:sz w:val="20"/>
        </w:rPr>
        <w:t xml:space="preserve"> above for discussion of recent developments.</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Forward-Looking Statements — Safe Harbor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timely build and/or open facilities as planned, successfully manage such facilities and successfully integrate such facilities into our operations without substantial additional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estimate the government’s level of utilization of public-private partnerships for secure services and the impact of any modifications or reductions by our government customers of their utilization of public-private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project the size and growth of public-private partnerships for secure services in the U.S. and internationally and our ability to capitalize on opportunities for public-private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respond to any challenges or concerns that our government customers may raise regarding their use of public-private partnerships for secure services, including finding other government customers or alternative uses for facilities where a government customer has discontinued or announced that a contract with us will be discontinued;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adopted or proposed executive action or legislation aimed at limiting public-private partnerships for secure facilities, processing centers and community reentry centers or limiting or restricting the business and operations of financial institutions or others who do business with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respond to delays encountered by states pursuing public-private partnerships for secure services and cost savings initiatives implemented by a number of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activate the inactive beds at our idle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or increase occupancy rates at our facilities and the impact of fluctuations in occupancy levels on our revenues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termination of our REIT election and the discontinuation of quarterly dividend payments and our ability to maximize the use of cash flows to repay debt, deleverage and internally fund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realize the anticipated benefits of terminating our REIT election or those benefits may take longer to realize than expected, if at all, or may not offset the costs of terminating our REIT election and becoming a taxable C Corporation;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failed to remain qualified as a REIT for those years we elected REIT status, we would be subject to additional corporate income taxes and would not be able to deduct distributions to shareholders when computing our taxable income for those years;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diversify and grow our secure services, reentry, community-based services, monitoring services, evidence-based supervision and treatment programs and secure transportation services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win management contracts for which we have submitted proposals, retain existing management contracts, prevail in any challenge or protest involving the award of a management contract and meet any performance standards required by such management contracts;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new project development capital given the often short-term nature of the customers’ commitment to use newly developed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long-term earnings visibility;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conduct our operations in the United Kingdom and South Africa through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LIBOR transition;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instability of foreign exchange rates, exposing us to currency risks in Australia, the United Kingdom, and South Africa, or other countries in which we may choose to conduct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unreimbursed labor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rising medical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costs and expenses relating to ongoing litigation arising from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pursue an appeal to reverse the recent unfavorable verdict and judgments in the retrial of the lawsuits in the State of Washington, our company being required to record an accrual for the judgments in the future, and our ability to defend similar other pending litigation and the effect such litigation may have on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estimate on an annual basis, loss reserves related to general liability, workers’ compensation and automobile liability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fulfill our debt service obligations and its impact on our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deleverage and repay, refinance or otherwise address our debt maturities in an amount or on the timeline we expect,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current indebtedness levels, we may still incur more indebtedness, which could further exacerbate the risks relating to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covenants in the indentures governing the Convertible Notes, the 6.00% Senior Notes due 2026 and the covenants in the indentures governing the 2028 Registered Notes, the 2028 Private Exchange Notes and the Exchange Credit Agreement impose significant operating and financial restrictions which may adversely affect our ability to operate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servicing our indebtedness will require a significant amount of cash and our ability to generate cash depends on many factors beyond our control and we may not be able to generate the cash required to service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portions of our senior indebtedness have floating interest rates, an increase in interest rates would adversely affect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distributions from our subsidiaries to make payments on our indebtedness and these distributions may not be made;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satisfy our repurchase obligations in the event of a change of control because the terms of our indebtedness or lack of funds may prevent us from doing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conditional exchange feature of the 6.5% Exchangeable Senior Notes, if triggered, may adversely affect our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lien notes and the related guarantees are effectively subordinated to our and our subsidiary guarantors' current senior secured indebtedness and structurally subordinated to the indebtedness of our subsidiaries that do not guarantee the second lien notes;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difficult to realize the value of the collateral securing the second lien notes and related guarantees;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successfully complete any potential sales of additional Company-owned assets and businesses on commercially advantageous terms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conditions in the capital markets could prevent us from obtaining future financing on desirable terms, which could materially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loss of our facility management contracts, due to executive orders, terminations, non-renewals or competitive re-bids, which could adversely affect our results of operations and liquidity, including our ability to secure new facility management contracts from other government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depends on our ability to secure contracts to develop and manage new secure facilities, processing centers and community-based facilities and to secure contracts to provide electronic monitoring services, community-based reentry services and monitoring and supervision services, the demand for which is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meet state requirements for capital investment or locate land for the development of new facilities, which could adversely affect our results of operations and future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budgetary constraints may have a material adverse impact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for contracts may adversely affect the profitability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government appropriations, which may not be made on a timely basis or at all and may be adversely impacted by budgetary constraints at the federal, state, local and foreign government levels;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and political resistance to the use of public-private partnerships for secure facilities, electronic monitoring and supervision as alternatives to detention,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may negatively impact our ability to retain existing contracts and obtain new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significant start-up and operating costs on new contracts before receiving related revenues, which may impact our cash flows and may not be recouped;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extensive government regulation and applicable contractual requirements could have a material adverse effect on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community opposition to facility locations, which may adversely affect our ability to obtain new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expose us to various liabilities for which we may not have adequate insurance, including legal claims and proceedings, and may have a material adverse effect on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or maintain the insurance levels required by our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rising general insurance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pandemic outbreaks, global political events and other serious catastrophic events could disrupt operations and otherwise materially adversely affect our business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operations expose us to risks that could materially adversely affect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certain of our operations through joint ventures or consortiums, which may lead to disagreements with our joint venture partners or business partners and adversely affect our interest in the joint ventures or consortiums;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our senior management and our ability to attract and retain sufficient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profitability may be materially adversely affected by inflation;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risks associated with the ownership of real estate may increase costs, expose us to uninsured losses and adversely affect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facility construction and development activities may increase our costs related to such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rising cost and increasing difficulty of obtaining adequate levels of surety credit on favorable terms could adversely affect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in our relationship with our employees could adversely affect our business,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technological changes could cause our electronic monitoring products and technology, including our recently launched </w:t>
      </w:r>
      <w:r>
        <w:rPr>
          <w:rFonts w:ascii="Times New Roman" w:hAnsi="Times New Roman"/>
          <w:color w:val="111111"/>
          <w:sz w:val="20"/>
        </w:rPr>
        <w:t xml:space="preserve">BI VeriWatch </w:t>
      </w:r>
      <w:r>
        <w:rPr>
          <w:rFonts w:ascii="Times New Roman" w:hAnsi="Times New Roman"/>
          <w:color w:val="000000"/>
          <w:sz w:val="20"/>
        </w:rPr>
        <w:t>wrist-worn device, to become obsolete or require the redesign of our electronic monitoring products, which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any negative changes in the level of acceptance of or resistance to the use of electronic monitoring products, including our recently launched </w:t>
      </w:r>
      <w:r>
        <w:rPr>
          <w:rFonts w:ascii="Times New Roman" w:hAnsi="Times New Roman"/>
          <w:color w:val="111111"/>
          <w:sz w:val="20"/>
        </w:rPr>
        <w:t xml:space="preserve">BI VeriWatch </w:t>
      </w:r>
      <w:r>
        <w:rPr>
          <w:rFonts w:ascii="Times New Roman" w:hAnsi="Times New Roman"/>
          <w:color w:val="000000"/>
          <w:sz w:val="20"/>
        </w:rPr>
        <w:t>wrist-worn device, and services by governmental customers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a limited number of third parties to manufacture and supply quality infrastructure components for our electronic monitoring products. If our suppliers cannot provide the components or services we require in a timely manner and/or with such quality as we expect, our ability to market and sell our electronic monitoring products and services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delay or failure of the provision of our services or information systems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acquire, protect or maintain our intellectual property and patents in the electronic monitoring space could harm our ability to compete or grow;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suitable acquisitions or dispositions, and to successfully complete such acquisitions or dispositions;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risks related to corporate social responsibility;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vary substantially. If the market price of our common stock were to decline further in the future at a specific measurement time period that impacts our public float calculation, we could potentially lose our status as a well-known seasoned issuer and/or large accelerated filer;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shares of our common stock or securities convertible into common stock could adversely affect the market price of our common stock and may be dilutive to current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anti-takeover protections applicable to us may make an acquisition of us more difficult and reduce the market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maintain effective internal controls in accordance with Section 404 of the Sarbanes-Oxley Act of 2002 could have an adverse effect on our business and the trading price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issue additional debt securities that could limit our operating flexibility and negatively affect the value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anti-bribery and anti-corruption laws could subject us to penalties and other adverse consequences;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contained in our filings with the SEC, including, but not limited to, those detailed in this Annual Report on Form 10-K, our Quarterly Reports on Form 10-Q and our Current Reports on Form 8-K filed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undertake no obligation to update publicly any forward-looking statements, whether as a result of new information, future events or otherwise, except as required by law. All subsequent written and oral forward-looking statements attributable to us, or persons acting on our behalf, are expressly qualified in their entirety by the cautionary statements included in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sz w:val="20"/>
        </w:rPr>
      </w:pPr>
      <w:bookmarkStart w:id="15" w:name="item_7a_quantitative_qualitative_disclos"/>
      <w:bookmarkEnd w:id="15"/>
      <w:r>
        <w:rPr>
          <w:rFonts w:ascii="Times New Roman" w:hAnsi="Times New Roman"/>
          <w:b/>
          <w:color w:val="000000"/>
          <w:sz w:val="20"/>
        </w:rPr>
        <w:t>Item 7A.</w:t>
      </w:r>
      <w:r>
        <w:rPr>
          <w:rFonts w:ascii="Times New Roman" w:hAnsi="Times New Roman"/>
          <w:color w:val="000000"/>
          <w:sz w:val="20"/>
        </w:rPr>
        <w:t xml:space="preserve"> </w:t>
      </w:r>
      <w:r>
        <w:rPr>
          <w:rFonts w:ascii="Times New Roman" w:hAnsi="Times New Roman"/>
          <w:b/>
          <w:i/>
          <w:color w:val="000000"/>
          <w:sz w:val="20"/>
        </w:rPr>
        <w:t>Quantitative and Qualitative Disclosures About Market Risk</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exposed to market risks related to changes in interest rates with respect to our senior credit facility. Payments under the Senior Credit Facility are indexed to a variable interest rate. Based on borrowings outstanding as of December 31, 2023 under the Exchange Credit Agreement of $906.7 million, for every one percent increase in the interest rate applicable to the Exchange Credit Agreement, our total annual interest expense would increase by approximately $9.1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certain interest rate swap arrangements for hedging purposes, fixing the interest rate on certain of our variable rate debt. The difference between the floating rate and the swap rate on these instruments is recognized in interest expense within the respective entity. Because the interest rates with respect to these instruments are fixed, a hypothetical 100 basis point change in the current interest rate would not have a material impact on our financial condition 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Foreign Currency Exchange Rate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exposed to market risks related to fluctuations in foreign currency exchange rates between the U.S. Dollar, the Australian Dollar, the South African Rand and the British Pound currency exchange rates. Based upon our foreign currency exchange rate exposure as of December 31, 2023 with respect to our international operations, every 10 percent change in historical currency rates would have a $8.4 million effect on our financial position and a $1.3 million impact on our results of operations over the next fiscal year.</w:t>
      </w:r>
    </w:p>
    <w:p>
      <w:pPr>
        <w:pStyle w:val="TextBody"/>
        <w:bidi w:val="0"/>
        <w:spacing w:before="270" w:after="283"/>
        <w:jc w:val="left"/>
        <w:rPr>
          <w:rFonts w:ascii="Times New Roman" w:hAnsi="Times New Roman"/>
          <w:sz w:val="20"/>
        </w:rPr>
      </w:pPr>
      <w:bookmarkStart w:id="16" w:name="item_8_financial_statements_supplementar"/>
      <w:bookmarkEnd w:id="16"/>
      <w:r>
        <w:rPr>
          <w:rFonts w:ascii="Times New Roman" w:hAnsi="Times New Roman"/>
          <w:b/>
          <w:color w:val="000000"/>
          <w:sz w:val="20"/>
        </w:rPr>
        <w:t>Item 8.</w:t>
      </w:r>
      <w:r>
        <w:rPr>
          <w:rFonts w:ascii="Times New Roman" w:hAnsi="Times New Roman"/>
          <w:color w:val="000000"/>
          <w:sz w:val="20"/>
        </w:rPr>
        <w:t xml:space="preserve"> </w:t>
      </w:r>
      <w:r>
        <w:rPr>
          <w:rFonts w:ascii="Times New Roman" w:hAnsi="Times New Roman"/>
          <w:b/>
          <w:i/>
          <w:color w:val="000000"/>
          <w:sz w:val="20"/>
        </w:rPr>
        <w:t>Financial Statements and Supplementary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MANAGEMENT’S RESPONSIBILITY FOR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Shareholders of</w:t>
      </w:r>
    </w:p>
    <w:p>
      <w:pPr>
        <w:pStyle w:val="TextBody"/>
        <w:bidi w:val="0"/>
        <w:jc w:val="left"/>
        <w:rPr>
          <w:rFonts w:ascii="Times New Roman" w:hAnsi="Times New Roman"/>
          <w:color w:val="000000"/>
          <w:sz w:val="20"/>
        </w:rPr>
      </w:pPr>
      <w:r>
        <w:rPr>
          <w:rFonts w:ascii="Times New Roman" w:hAnsi="Times New Roman"/>
          <w:color w:val="000000"/>
          <w:sz w:val="20"/>
        </w:rPr>
        <w:t>The GEO Group,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conformity with accounting principles generally accepted in the United States. They include amounts based on judgments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Representations in the consolidated financial statements and the fairness and integrity of such statements are the responsibility of management. In order to meet management’s responsibility, the Company maintains a system of internal controls and procedures and a program of internal audits designed to provide reasonable assurance that our assets are controlled and safeguarded, that transactions are executed in accordance with management’s authorization and properly recorded, and that accounting records may be relied upon in the preparation of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have been audited by Grant Thornton LLP, independent registered public accountants, whose appointment by our Audit and Finance Committee was ratified by our shareholders. Their report, which is included in this Form 10-K, expresses an opinion as to whether management’s consolidated financial statements present fairly in all material respects, the Company's financial position, results of operations and cash flows for each of the three years in the period ended December 31, 2023 in conformity with accounting principles generally accepted in the United States of America. The effectiveness of our internal control over financial reporting as of December 31, 2023 has also been audited by Grant Thornton LLP, independent registered public accountants, as stated in their report which is included in this Form 10-K. Their audits were conducted in accordance with the standards of the Public Company Accounting Oversight Board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and Finance Committee of the Board of Directors meets periodically with representatives of management, the independent registered public accountants and our internal auditors to review matters relating to financial reporting, internal accounting controls and auditing. Both the internal auditors and the independent registered public accountants have unrestricted access to the Audit and Finance Committee to discuss the results of their examinations.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Brian R. Evans</w:t>
      </w:r>
    </w:p>
    <w:p>
      <w:pPr>
        <w:pStyle w:val="TextBody"/>
        <w:bidi w:val="0"/>
        <w:jc w:val="left"/>
        <w:rPr>
          <w:rFonts w:ascii="Times New Roman" w:hAnsi="Times New Roman"/>
          <w:i/>
          <w:color w:val="000000"/>
          <w:sz w:val="20"/>
        </w:rPr>
      </w:pPr>
      <w:r>
        <w:rPr>
          <w:rFonts w:ascii="Times New Roman" w:hAnsi="Times New Roman"/>
          <w:i/>
          <w:color w:val="000000"/>
          <w:sz w:val="20"/>
        </w:rPr>
        <w:t>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Shayn P. March</w:t>
      </w:r>
    </w:p>
    <w:p>
      <w:pPr>
        <w:pStyle w:val="TextBody"/>
        <w:bidi w:val="0"/>
        <w:jc w:val="left"/>
        <w:rPr>
          <w:rFonts w:ascii="Times New Roman" w:hAnsi="Times New Roman"/>
          <w:i/>
          <w:color w:val="000000"/>
          <w:sz w:val="20"/>
        </w:rPr>
      </w:pPr>
      <w:r>
        <w:rPr>
          <w:rFonts w:ascii="Times New Roman" w:hAnsi="Times New Roman"/>
          <w:i/>
          <w:color w:val="000000"/>
          <w:sz w:val="20"/>
        </w:rPr>
        <w:t>Acting Chief Financial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Securities Exchange Act of 1934. The Company’s internal control over financial reporting is a process designed under the supervision of the Company’s Chief Executive Officer and Chief Financial Officer that: (i) pertains to the maintenance of records that, in reasonable detail, accurately and fairly reflect the transactions and dispositions of the Company’s assets; (ii) provides reasonable assurance that transactions are recorded as necessary to permit preparation of financial statements for external reporting in accordance with accounting principles generally accepted in the United States, and that receipts and expenditures are being made only in accordance with authorization of the Company’s management and directors; and (iii) provides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the Company’s internal control over financial reporting as of December 31, 2023. In making its assessment of internal control over financial reporting, management used the criteria set forth in the Internal Control - Integrated Framework issued by the 2013 Committee of Sponsoring Organizations of the Treadway Commission ("COSO") (the "2013 Internal Control - Integrated Framework").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evaluated, with the participation of its Chief Executive Officer and Chief Financial Officer, its internal control over financial reporting as of December 31, 2023, based on the 2013 Internal Control — Integrated Framework. Based on this evaluation, the Company’s management concluded that as of December 31, 2023, its internal control over financial reporting is effective in providing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Grant Thornton LLP, the independent registered public accounting firm that audited the financial statements included in this Annual Report on Form 10-K, has issued an attestation report on our internal control over financial reporting as of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Board of Directors and Shareholders</w:t>
      </w:r>
    </w:p>
    <w:p>
      <w:pPr>
        <w:pStyle w:val="TextBody"/>
        <w:bidi w:val="0"/>
        <w:jc w:val="both"/>
        <w:rPr>
          <w:rFonts w:ascii="Times New Roman" w:hAnsi="Times New Roman"/>
          <w:color w:val="000000"/>
          <w:sz w:val="20"/>
        </w:rPr>
      </w:pPr>
      <w:r>
        <w:rPr>
          <w:rFonts w:ascii="Times New Roman" w:hAnsi="Times New Roman"/>
          <w:color w:val="000000"/>
          <w:sz w:val="20"/>
        </w:rPr>
        <w:t>The GEO Group, Inc.</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audited the internal control over financial reporting of The GEO Group, Inc. (a Florida corporation) and subsidiaries (the “Company”) as of December 31, 2023, based on criteria established in the 2013 </w:t>
      </w:r>
      <w:r>
        <w:rPr>
          <w:rFonts w:ascii="Times New Roman" w:hAnsi="Times New Roman"/>
          <w:i/>
          <w:color w:val="000000"/>
          <w:sz w:val="20"/>
        </w:rPr>
        <w:t>Internal Control—Integrated Framework</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the 2013 </w:t>
      </w:r>
      <w:r>
        <w:rPr>
          <w:rFonts w:ascii="Times New Roman" w:hAnsi="Times New Roman"/>
          <w:i/>
          <w:color w:val="000000"/>
          <w:sz w:val="20"/>
        </w:rPr>
        <w:t xml:space="preserve">Internal Control—Integrated Framework </w:t>
      </w:r>
      <w:r>
        <w:rPr>
          <w:rFonts w:ascii="Times New Roman" w:hAnsi="Times New Roman"/>
          <w:color w:val="000000"/>
          <w:sz w:val="20"/>
        </w:rPr>
        <w:t>issued by COSO.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financial statements of the Company as of and for the year ended December 31, 2023, and our report dated February 29, 2024 expressed an unqualified opinion on those financial statements.</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1"/>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8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GRANT THORNTON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Miami, Florida</w:t>
      </w:r>
    </w:p>
    <w:p>
      <w:pPr>
        <w:pStyle w:val="TextBody"/>
        <w:bidi w:val="0"/>
        <w:jc w:val="left"/>
        <w:rPr>
          <w:rFonts w:ascii="Times New Roman" w:hAnsi="Times New Roman"/>
          <w:color w:val="000000"/>
          <w:sz w:val="20"/>
        </w:rPr>
      </w:pPr>
      <w:r>
        <w:rPr>
          <w:rFonts w:ascii="Times New Roman" w:hAnsi="Times New Roman"/>
          <w:color w:val="000000"/>
          <w:sz w:val="20"/>
        </w:rPr>
        <w:t>February 29,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Board of Directors and Shareholders</w:t>
      </w:r>
    </w:p>
    <w:p>
      <w:pPr>
        <w:pStyle w:val="TextBody"/>
        <w:bidi w:val="0"/>
        <w:jc w:val="left"/>
        <w:rPr>
          <w:rFonts w:ascii="Times New Roman" w:hAnsi="Times New Roman"/>
          <w:color w:val="000000"/>
          <w:sz w:val="20"/>
        </w:rPr>
      </w:pPr>
      <w:r>
        <w:rPr>
          <w:rFonts w:ascii="Times New Roman" w:hAnsi="Times New Roman"/>
          <w:color w:val="000000"/>
          <w:sz w:val="20"/>
        </w:rPr>
        <w:t>The GEO Group, Inc.</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The Geo Group, Inc. (a Florida corporation) and subsidiaries (the “Company”) as of December 31, 2023 and 2022, the related consolidated statements of operations, comprehensive income, shareholders’ equity, and cash flows for each of the three years in the period ended December 31, 2023, and the related notes and financial statement schedule included under Item 15(a)(2)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also have audited, in accordance with the standards of the Public Company Accounting Oversight Board (United States) (“PCAOB”), the Company’s internal control over financial reporting as of December 31, 2023, based on criteria established in the 2013 Internal Control—Integrated Framework issued by the Committee of Sponsoring Organizations of the Treadway Commission (“COSO”), and our report dated February 29, 2024 expressed an unqualified opinion</w:t>
      </w:r>
      <w:r>
        <w:rPr>
          <w:rFonts w:ascii="Arial" w:hAnsi="Arial"/>
          <w:color w:val="0000FF"/>
          <w:sz w:val="18"/>
        </w:rPr>
        <w:t>.</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both"/>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Arial" w:hAnsi="Arial"/>
          <w:color w:val="000000"/>
          <w:sz w:val="18"/>
        </w:rPr>
        <w:t>.</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Critical audit matters</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Self-Insurance Reserves and Related Expenses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described further in Note 1 to the consolidated financial statements, the Company self-insures, up to certain policy-specified limits, certain risks related to general and workers’ compensation liability costs. The estimated cost of claims under these self-insurance programs is estimated and accrued as the claims are incurred (although actual settlement of the claims may not be made until future periods) and may subsequently be revised based on developments relating to such claims. We identified self-insurance reserves and related expenses (“self-insurance”) as a critical audit matter, specifically the reserves and related expenses related to the Company’s estimate for unpaid losses and projected ultimate losses. </w:t>
      </w:r>
    </w:p>
    <w:p>
      <w:pPr>
        <w:pStyle w:val="TextBody"/>
        <w:bidi w:val="0"/>
        <w:jc w:val="both"/>
        <w:rPr>
          <w:rFonts w:ascii="Times New Roman" w:hAnsi="Times New Roman"/>
          <w:color w:val="000000"/>
          <w:sz w:val="20"/>
        </w:rPr>
      </w:pPr>
      <w:r>
        <w:rPr>
          <w:rFonts w:ascii="Times New Roman" w:hAnsi="Times New Roman"/>
          <w:color w:val="000000"/>
          <w:sz w:val="20"/>
        </w:rPr>
        <w:t xml:space="preserve">The principal considerations for our determination that self-insurance reserves and related expenses for unpaid losses and projected ultimate losses is a critical audit matter are that the accrual for self-insurance has higher risk of estimation uncertainty due to the loss development factors, including the frequency and severity of claims, and inherent assumptions in actuarial methods used in determining the required reserves. The estimation uncertainty and complexity of the actuarial methods utilized involved especially subjective auditor judgment and an increased extent of effort, including the need to involve an auditor-engaged actuarial specialist. </w:t>
      </w:r>
    </w:p>
    <w:p>
      <w:pPr>
        <w:pStyle w:val="TextBody"/>
        <w:bidi w:val="0"/>
        <w:jc w:val="both"/>
        <w:rPr>
          <w:rFonts w:ascii="Times New Roman" w:hAnsi="Times New Roman"/>
          <w:color w:val="000000"/>
          <w:sz w:val="20"/>
        </w:rPr>
      </w:pPr>
      <w:r>
        <w:rPr>
          <w:rFonts w:ascii="Times New Roman" w:hAnsi="Times New Roman"/>
          <w:color w:val="000000"/>
          <w:sz w:val="20"/>
        </w:rPr>
        <w:t xml:space="preserve">Our audit procedures related to the self-insurance reserves included the following, among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We obtained an understanding, evaluated the design and tested the operating effectiveness of key internal controls over financial reporting relating to self-insurance, including, but not limited to controls that (i) validate that claims were reported and submitted accurately and timely, (ii) validate that internal claims data was reconciled to claims data maintained by the third-party administrator and submitted to the Company’s actuary and (iii) validate management’s process and review of the third-party actuary report, including, but not limited to controls over management’s review of the relevance, adequacy and appropriateness of the data, assumptions, valuation methods, and mathematical accuracy used to determine the required reserves as of the reporting date. </w:t>
      </w:r>
    </w:p>
    <w:p>
      <w:pPr>
        <w:pStyle w:val="TextBody"/>
        <w:bidi w:val="0"/>
        <w:jc w:val="both"/>
        <w:rPr>
          <w:rFonts w:ascii="Times New Roman" w:hAnsi="Times New Roman"/>
          <w:color w:val="000000"/>
          <w:sz w:val="20"/>
        </w:rPr>
      </w:pPr>
      <w:r>
        <w:rPr>
          <w:rFonts w:ascii="Times New Roman" w:hAnsi="Times New Roman"/>
          <w:color w:val="000000"/>
          <w:sz w:val="20"/>
        </w:rPr>
        <w:t xml:space="preserve"> We utilized an auditor-engaged actuarial specialist in evaluating management’s methods and assumptions. </w:t>
      </w:r>
    </w:p>
    <w:p>
      <w:pPr>
        <w:pStyle w:val="TextBody"/>
        <w:bidi w:val="0"/>
        <w:jc w:val="both"/>
        <w:rPr>
          <w:rFonts w:ascii="Times New Roman" w:hAnsi="Times New Roman"/>
          <w:color w:val="000000"/>
          <w:sz w:val="20"/>
        </w:rPr>
      </w:pPr>
      <w:r>
        <w:rPr>
          <w:rFonts w:ascii="Times New Roman" w:hAnsi="Times New Roman"/>
          <w:color w:val="000000"/>
          <w:sz w:val="20"/>
        </w:rPr>
        <w:t xml:space="preserve"> We performed analytics that include a review of prior projections to current actual results to evaluate the reasonableness of changes in estimated ultimate losses. </w:t>
      </w:r>
    </w:p>
    <w:p>
      <w:pPr>
        <w:pStyle w:val="TextBody"/>
        <w:bidi w:val="0"/>
        <w:jc w:val="both"/>
        <w:rPr>
          <w:rFonts w:ascii="Times New Roman" w:hAnsi="Times New Roman"/>
          <w:color w:val="000000"/>
          <w:sz w:val="20"/>
        </w:rPr>
      </w:pPr>
      <w:r>
        <w:rPr>
          <w:rFonts w:ascii="Times New Roman" w:hAnsi="Times New Roman"/>
          <w:color w:val="000000"/>
          <w:sz w:val="20"/>
        </w:rPr>
        <w:t xml:space="preserve"> We reconciled claims data maintained by the third-party administrator to the claims data submitted to the Company’s actuary used in the development of the loss triangles and selecting loss development factors. </w:t>
      </w:r>
    </w:p>
    <w:p>
      <w:pPr>
        <w:pStyle w:val="TextBody"/>
        <w:bidi w:val="0"/>
        <w:jc w:val="both"/>
        <w:rPr>
          <w:rFonts w:ascii="Times New Roman" w:hAnsi="Times New Roman"/>
          <w:color w:val="000000"/>
          <w:sz w:val="20"/>
        </w:rPr>
      </w:pPr>
      <w:r>
        <w:rPr>
          <w:rFonts w:ascii="Times New Roman" w:hAnsi="Times New Roman"/>
          <w:color w:val="000000"/>
          <w:sz w:val="20"/>
        </w:rPr>
        <w:t xml:space="preserve"> We selected a sample of underlying claims and reviewed the information utilized by management such as insurance claims and legal records to (i) test management’s estimation process to determine if the reserve was reasonable and (ii) test the accuracy of the significant claim data attributes. </w:t>
      </w:r>
    </w:p>
    <w:p>
      <w:pPr>
        <w:pStyle w:val="TextBody"/>
        <w:bidi w:val="0"/>
        <w:jc w:val="both"/>
        <w:rPr>
          <w:rFonts w:ascii="Times New Roman" w:hAnsi="Times New Roman"/>
          <w:sz w:val="20"/>
        </w:rPr>
      </w:pPr>
      <w:r>
        <w:rPr>
          <w:rFonts w:ascii="Times New Roman" w:hAnsi="Times New Roman"/>
          <w:b/>
          <w:i/>
          <w:color w:val="000000"/>
          <w:sz w:val="20"/>
        </w:rPr>
        <w:t>Evaluation of Certain Idle Facilities for Impairment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property and equipment, net of approximately $2 billion as of December 31, 2023, which includes approximately $288 million related to 10 idle facilities. As described further in Note 1 to the consolidated financial statements, the Company tests idle facilities for impairment upon notification that the facilities will no longer be utilized by the customer. In addition, the Company performs an impairment analysis for each of the facilities that have remained idle. The estimates of recoverability are based on projected undiscounted cash flows associated with actual marketing efforts, and in some instances, third-party appraisals or, in other instances, projected undiscounted cash flows that are comparable to historical cash flows from management contracts at similar facilities and sensitivity analyses that consider reductions to such cash flows. When the estimated undiscounted cash flows associated with the asset are less than their carrying value, an impairment is recognized as the difference between the carrying value of the asset and its fair value. We identified management’s evaluation of three idle facilities, Rivers Correctional Facility, D.Ray James Correctional Facility and Northlake, for impairment as a critical audit matter. </w:t>
      </w:r>
    </w:p>
    <w:p>
      <w:pPr>
        <w:pStyle w:val="TextBody"/>
        <w:bidi w:val="0"/>
        <w:jc w:val="both"/>
        <w:rPr>
          <w:rFonts w:ascii="Times New Roman" w:hAnsi="Times New Roman"/>
          <w:color w:val="000000"/>
          <w:sz w:val="20"/>
        </w:rPr>
      </w:pPr>
      <w:r>
        <w:rPr>
          <w:rFonts w:ascii="Times New Roman" w:hAnsi="Times New Roman"/>
          <w:color w:val="000000"/>
          <w:sz w:val="20"/>
        </w:rPr>
        <w:t xml:space="preserve">The principal considerations for our determination that management’s evaluation of the three idle facilities for impairment is a critical audit matter is the higher risk of estimation uncertainty due to the subjective nature of management’s estimates used in the projected undiscounted cash flows and in the third party appraisals. These estimates are particularly sensitive to the assumption as to whether the Company will obtain contracts to utilize idle facilities or be able to sell the facilities in the future, which can be affected by expectations about market developments and public policy as well as management’s intent to hold and operate each facility over the term and in the manner assumed in the analysis. </w:t>
      </w:r>
    </w:p>
    <w:p>
      <w:pPr>
        <w:pStyle w:val="TextBody"/>
        <w:bidi w:val="0"/>
        <w:jc w:val="both"/>
        <w:rPr>
          <w:rFonts w:ascii="Times New Roman" w:hAnsi="Times New Roman"/>
          <w:color w:val="000000"/>
          <w:sz w:val="20"/>
        </w:rPr>
      </w:pPr>
      <w:r>
        <w:rPr>
          <w:rFonts w:ascii="Times New Roman" w:hAnsi="Times New Roman"/>
          <w:color w:val="000000"/>
          <w:sz w:val="20"/>
        </w:rPr>
        <w:t xml:space="preserve">Our audit procedures related to management’s evaluation of the three idle facilities for impairment included the following, among others: </w:t>
      </w:r>
    </w:p>
    <w:p>
      <w:pPr>
        <w:pStyle w:val="TextBody"/>
        <w:bidi w:val="0"/>
        <w:jc w:val="both"/>
        <w:rPr>
          <w:rFonts w:ascii="Times New Roman" w:hAnsi="Times New Roman"/>
          <w:color w:val="000000"/>
          <w:sz w:val="20"/>
        </w:rPr>
      </w:pPr>
      <w:r>
        <w:rPr>
          <w:rFonts w:ascii="Times New Roman" w:hAnsi="Times New Roman"/>
          <w:color w:val="000000"/>
          <w:sz w:val="20"/>
        </w:rPr>
        <w:t> We obtained an understanding, evaluated the design and tested the operating effectiveness of key internal controls over financial reporting relating to management’s evaluation of idle facilities for impairment, including but not limited to controls that (i)validate management’s review of the key inputs into the projected undiscounted cash flows, (ii) validate management’s review of evidence supporting projected utilization of idle facilities and the assumptions utilized in the estimated cash flows and (iii) validate management’s process and review of the third-party appraisals, including, but not limited to controls over management’s review of the relevance, adequacy and appropriateness of the data, assumptions, valuation methods, and mathematical accuracy used to determine the real estate valuation as of October 1, 2023.</w:t>
      </w:r>
    </w:p>
    <w:p>
      <w:pPr>
        <w:pStyle w:val="TextBody"/>
        <w:bidi w:val="0"/>
        <w:jc w:val="both"/>
        <w:rPr>
          <w:rFonts w:ascii="Times New Roman" w:hAnsi="Times New Roman"/>
          <w:color w:val="000000"/>
          <w:sz w:val="20"/>
        </w:rPr>
      </w:pPr>
      <w:r>
        <w:rPr>
          <w:rFonts w:ascii="Times New Roman" w:hAnsi="Times New Roman"/>
          <w:color w:val="000000"/>
          <w:sz w:val="20"/>
        </w:rPr>
        <w:t xml:space="preserve"> For the three idle facilities, we evaluated the reasonableness of management’s projected undiscounted cash flow by evaluating evidence to support the projected utilization of the facilities, including actual marketing efforts, and comparing relevant inputs used in the projections to those of similar facilities and where applicable industry data. </w:t>
      </w:r>
    </w:p>
    <w:p>
      <w:pPr>
        <w:pStyle w:val="TextBody"/>
        <w:bidi w:val="0"/>
        <w:jc w:val="both"/>
        <w:rPr>
          <w:rFonts w:ascii="Times New Roman" w:hAnsi="Times New Roman"/>
          <w:color w:val="000000"/>
          <w:sz w:val="20"/>
        </w:rPr>
      </w:pPr>
      <w:r>
        <w:rPr>
          <w:rFonts w:ascii="Times New Roman" w:hAnsi="Times New Roman"/>
          <w:color w:val="000000"/>
          <w:sz w:val="20"/>
        </w:rPr>
        <w:t xml:space="preserve"> For the three idle facilities, we utilized our internal valuation specialists in evaluating the model used and key underlying assumptions for reasonableness in the third-party appraisals. </w:t>
      </w:r>
    </w:p>
    <w:p>
      <w:pPr>
        <w:pStyle w:val="TextBody"/>
        <w:bidi w:val="0"/>
        <w:jc w:val="both"/>
        <w:rPr>
          <w:rFonts w:ascii="Times New Roman" w:hAnsi="Times New Roman"/>
          <w:color w:val="000000"/>
          <w:sz w:val="20"/>
        </w:rPr>
      </w:pPr>
      <w:r>
        <w:rPr>
          <w:rFonts w:ascii="Times New Roman" w:hAnsi="Times New Roman"/>
          <w:color w:val="000000"/>
          <w:sz w:val="20"/>
        </w:rPr>
        <w:t xml:space="preserve"> We tested the data submitted to the Company’s valuation specialists for accuracy and tested the mathematical accuracy of the third-party appraisal report. </w:t>
      </w:r>
    </w:p>
    <w:p>
      <w:pPr>
        <w:pStyle w:val="TextBody"/>
        <w:bidi w:val="0"/>
        <w:jc w:val="both"/>
        <w:rPr>
          <w:rFonts w:ascii="Times New Roman" w:hAnsi="Times New Roman"/>
          <w:color w:val="000000"/>
          <w:sz w:val="20"/>
        </w:rPr>
      </w:pPr>
      <w:r>
        <w:rPr>
          <w:rFonts w:ascii="Times New Roman" w:hAnsi="Times New Roman"/>
          <w:color w:val="000000"/>
          <w:sz w:val="20"/>
        </w:rPr>
        <w:t xml:space="preserve"> We performed a retrospective review of the Company’s historical experience in selling facilities or securing new facility management contracts to utilize facilities that had been previously idled for periods comparable to or in excess of the periods the Company's currently idle facilities have been idle, including assessing the recoverability of the net book value of the previously idled facilities.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GRANT THORNTON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Miami, Florida</w:t>
      </w:r>
    </w:p>
    <w:p>
      <w:pPr>
        <w:pStyle w:val="TextBody"/>
        <w:bidi w:val="0"/>
        <w:jc w:val="left"/>
        <w:rPr>
          <w:rFonts w:ascii="Times New Roman" w:hAnsi="Times New Roman"/>
          <w:color w:val="000000"/>
          <w:sz w:val="20"/>
        </w:rPr>
      </w:pPr>
      <w:r>
        <w:rPr>
          <w:rFonts w:ascii="Times New Roman" w:hAnsi="Times New Roman"/>
          <w:color w:val="000000"/>
          <w:sz w:val="20"/>
        </w:rPr>
        <w:t>February 29,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Years Ended December 31, 2023, 2022 and 2021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18"/>
        <w:gridCol w:w="146"/>
        <w:gridCol w:w="211"/>
        <w:gridCol w:w="931"/>
        <w:gridCol w:w="166"/>
        <w:gridCol w:w="146"/>
        <w:gridCol w:w="211"/>
        <w:gridCol w:w="931"/>
        <w:gridCol w:w="166"/>
        <w:gridCol w:w="146"/>
        <w:gridCol w:w="211"/>
        <w:gridCol w:w="931"/>
        <w:gridCol w:w="391"/>
      </w:tblGrid>
      <w:tr>
        <w:trPr/>
        <w:tc>
          <w:tcPr>
            <w:tcW w:w="5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5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91" w:type="dxa"/>
            <w:tcBorders/>
            <w:shd w:fill="FFFFFF" w:val="clear"/>
            <w:vAlign w:val="center"/>
          </w:tcPr>
          <w:p>
            <w:pPr>
              <w:pStyle w:val="TableContents"/>
              <w:bidi w:val="0"/>
              <w:spacing w:before="0" w:after="283"/>
              <w:jc w:val="center"/>
              <w:rPr/>
            </w:pPr>
            <w:r>
              <w:rPr/>
              <w:t> </w:t>
            </w:r>
          </w:p>
        </w:tc>
      </w:tr>
      <w:tr>
        <w:trPr/>
        <w:tc>
          <w:tcPr>
            <w:tcW w:w="5618"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2,256,612</w:t>
            </w:r>
          </w:p>
        </w:tc>
        <w:tc>
          <w:tcPr>
            <w:tcW w:w="391" w:type="dxa"/>
            <w:tcBorders/>
            <w:shd w:fill="CFF0FC" w:val="clear"/>
            <w:vAlign w:val="center"/>
          </w:tcPr>
          <w:p>
            <w:pPr>
              <w:pStyle w:val="TableContents"/>
              <w:bidi w:val="0"/>
              <w:spacing w:before="0" w:after="283"/>
              <w:jc w:val="left"/>
              <w:rPr/>
            </w:pPr>
            <w:r>
              <w:rPr/>
              <w:t> </w:t>
            </w:r>
          </w:p>
        </w:tc>
      </w:tr>
      <w:tr>
        <w:trPr/>
        <w:tc>
          <w:tcPr>
            <w:tcW w:w="5618"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Expenses (excluding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1,744,228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1,629,046</w:t>
            </w:r>
          </w:p>
        </w:tc>
        <w:tc>
          <w:tcPr>
            <w:tcW w:w="391" w:type="dxa"/>
            <w:tcBorders/>
            <w:shd w:fill="FFFFFF" w:val="clear"/>
            <w:vAlign w:val="center"/>
          </w:tcPr>
          <w:p>
            <w:pPr>
              <w:pStyle w:val="TableContents"/>
              <w:bidi w:val="0"/>
              <w:spacing w:before="0" w:after="283"/>
              <w:jc w:val="left"/>
              <w:rPr/>
            </w:pPr>
            <w:r>
              <w:rPr/>
              <w:t> </w:t>
            </w:r>
          </w:p>
        </w:tc>
      </w:tr>
      <w:tr>
        <w:trPr/>
        <w:tc>
          <w:tcPr>
            <w:tcW w:w="5618"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135,177</w:t>
            </w:r>
          </w:p>
        </w:tc>
        <w:tc>
          <w:tcPr>
            <w:tcW w:w="391" w:type="dxa"/>
            <w:tcBorders/>
            <w:shd w:fill="CFF0FC" w:val="clear"/>
            <w:vAlign w:val="center"/>
          </w:tcPr>
          <w:p>
            <w:pPr>
              <w:pStyle w:val="TableContents"/>
              <w:bidi w:val="0"/>
              <w:spacing w:before="0" w:after="283"/>
              <w:jc w:val="left"/>
              <w:rPr/>
            </w:pPr>
            <w:r>
              <w:rPr/>
              <w:t> </w:t>
            </w:r>
          </w:p>
        </w:tc>
      </w:tr>
      <w:tr>
        <w:trPr/>
        <w:tc>
          <w:tcPr>
            <w:tcW w:w="5618"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204,306</w:t>
            </w:r>
          </w:p>
        </w:tc>
        <w:tc>
          <w:tcPr>
            <w:tcW w:w="391" w:type="dxa"/>
            <w:tcBorders/>
            <w:shd w:fill="FFFFFF" w:val="clear"/>
            <w:vAlign w:val="center"/>
          </w:tcPr>
          <w:p>
            <w:pPr>
              <w:pStyle w:val="TableContents"/>
              <w:bidi w:val="0"/>
              <w:spacing w:before="0" w:after="283"/>
              <w:jc w:val="left"/>
              <w:rPr/>
            </w:pPr>
            <w:r>
              <w:rPr/>
              <w:t> </w:t>
            </w:r>
          </w:p>
        </w:tc>
      </w:tr>
      <w:tr>
        <w:trPr/>
        <w:tc>
          <w:tcPr>
            <w:tcW w:w="5618"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352,389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383,945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288,083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Interest and 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24,007</w:t>
            </w:r>
          </w:p>
        </w:tc>
        <w:tc>
          <w:tcPr>
            <w:tcW w:w="391" w:type="dxa"/>
            <w:tcBorders/>
            <w:shd w:fill="FFFFFF" w:val="clear"/>
            <w:vAlign w:val="center"/>
          </w:tcPr>
          <w:p>
            <w:pPr>
              <w:pStyle w:val="TableContents"/>
              <w:bidi w:val="0"/>
              <w:spacing w:before="0" w:after="283"/>
              <w:jc w:val="left"/>
              <w:rPr/>
            </w:pPr>
            <w:r>
              <w:rPr/>
              <w:t> </w:t>
            </w:r>
          </w:p>
        </w:tc>
      </w:tr>
      <w:tr>
        <w:trPr/>
        <w:tc>
          <w:tcPr>
            <w:tcW w:w="5618"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(129,460</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8"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(Loss) Gain on Extinguishment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391" w:type="dxa"/>
            <w:tcBorders/>
            <w:shd w:fill="FFFFFF" w:val="clear"/>
            <w:vAlign w:val="center"/>
          </w:tcPr>
          <w:p>
            <w:pPr>
              <w:pStyle w:val="TableContents"/>
              <w:bidi w:val="0"/>
              <w:spacing w:before="0" w:after="283"/>
              <w:jc w:val="left"/>
              <w:rPr/>
            </w:pPr>
            <w:r>
              <w:rPr/>
              <w:t> </w:t>
            </w:r>
          </w:p>
        </w:tc>
      </w:tr>
      <w:tr>
        <w:trPr/>
        <w:tc>
          <w:tcPr>
            <w:tcW w:w="5618"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Net Gain on Dispositions of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Income Before Income Taxes and Equity in Earnings of Affiliates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192,822</w:t>
            </w:r>
          </w:p>
        </w:tc>
        <w:tc>
          <w:tcPr>
            <w:tcW w:w="391" w:type="dxa"/>
            <w:tcBorders/>
            <w:shd w:fill="FFFFFF" w:val="clear"/>
            <w:vAlign w:val="center"/>
          </w:tcPr>
          <w:p>
            <w:pPr>
              <w:pStyle w:val="TableContents"/>
              <w:bidi w:val="0"/>
              <w:spacing w:before="0" w:after="283"/>
              <w:jc w:val="left"/>
              <w:rPr/>
            </w:pPr>
            <w:r>
              <w:rPr/>
              <w:t> </w:t>
            </w:r>
          </w:p>
        </w:tc>
      </w:tr>
      <w:tr>
        <w:trPr/>
        <w:tc>
          <w:tcPr>
            <w:tcW w:w="5618"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122,730</w:t>
            </w:r>
          </w:p>
        </w:tc>
        <w:tc>
          <w:tcPr>
            <w:tcW w:w="391" w:type="dxa"/>
            <w:tcBorders/>
            <w:shd w:fill="CFF0FC" w:val="clear"/>
            <w:vAlign w:val="center"/>
          </w:tcPr>
          <w:p>
            <w:pPr>
              <w:pStyle w:val="TableContents"/>
              <w:bidi w:val="0"/>
              <w:spacing w:before="0" w:after="283"/>
              <w:jc w:val="left"/>
              <w:rPr/>
            </w:pPr>
            <w:r>
              <w:rPr/>
              <w:t> </w:t>
            </w:r>
          </w:p>
        </w:tc>
      </w:tr>
      <w:tr>
        <w:trPr/>
        <w:tc>
          <w:tcPr>
            <w:tcW w:w="56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Equity in Earnings of Affiliates, net of income tax provision of $868, $740</w:t>
            </w:r>
            <w:r>
              <w:rPr>
                <w:rFonts w:ascii="Times New Roman" w:hAnsi="Times New Roman"/>
                <w:color w:val="000000"/>
                <w:sz w:val="20"/>
              </w:rPr>
              <w:t> </w:t>
            </w:r>
            <w:r>
              <w:rPr>
                <w:rFonts w:ascii="Times New Roman" w:hAnsi="Times New Roman"/>
                <w:b/>
                <w:i/>
                <w:color w:val="000000"/>
                <w:sz w:val="20"/>
              </w:rPr>
              <w:t>and $1,035</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77,233</w:t>
            </w:r>
          </w:p>
        </w:tc>
        <w:tc>
          <w:tcPr>
            <w:tcW w:w="391" w:type="dxa"/>
            <w:tcBorders/>
            <w:shd w:fill="CFF0FC" w:val="clear"/>
            <w:vAlign w:val="center"/>
          </w:tcPr>
          <w:p>
            <w:pPr>
              <w:pStyle w:val="TableContents"/>
              <w:bidi w:val="0"/>
              <w:spacing w:before="0" w:after="283"/>
              <w:jc w:val="left"/>
              <w:rPr/>
            </w:pPr>
            <w:r>
              <w:rPr/>
              <w:t> </w:t>
            </w:r>
          </w:p>
        </w:tc>
      </w:tr>
      <w:tr>
        <w:trPr/>
        <w:tc>
          <w:tcPr>
            <w:tcW w:w="5618"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Loss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Net Income Attributable to The GEO Group, Inc.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Weighted Average Common Shares Outstanding:</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6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Income per Common Share Attributable to The GEO Group, Inc.:</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618" w:type="dxa"/>
            <w:tcBorders/>
            <w:shd w:fill="FFFFFF" w:val="clear"/>
            <w:vAlign w:val="center"/>
          </w:tcPr>
          <w:p>
            <w:pPr>
              <w:pStyle w:val="TableContents"/>
              <w:bidi w:val="0"/>
              <w:spacing w:before="0" w:after="283"/>
              <w:ind w:left="200" w:right="0" w:firstLine="200"/>
              <w:jc w:val="left"/>
              <w:rPr>
                <w:rFonts w:ascii="Times New Roman" w:hAnsi="Times New Roman"/>
                <w:b/>
                <w:i/>
                <w:color w:val="000000"/>
                <w:sz w:val="20"/>
              </w:rPr>
            </w:pPr>
            <w:r>
              <w:rPr>
                <w:rFonts w:ascii="Times New Roman" w:hAnsi="Times New Roman"/>
                <w:b/>
                <w:i/>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6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per share — 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8" w:type="dxa"/>
            <w:tcBorders/>
            <w:shd w:fill="FFFFFF" w:val="clear"/>
            <w:vAlign w:val="center"/>
          </w:tcPr>
          <w:p>
            <w:pPr>
              <w:pStyle w:val="TableContents"/>
              <w:bidi w:val="0"/>
              <w:spacing w:before="0" w:after="283"/>
              <w:ind w:left="200" w:right="0" w:firstLine="200"/>
              <w:jc w:val="left"/>
              <w:rPr>
                <w:rFonts w:ascii="Times New Roman" w:hAnsi="Times New Roman"/>
                <w:b/>
                <w:i/>
                <w:color w:val="000000"/>
                <w:sz w:val="20"/>
              </w:rPr>
            </w:pPr>
            <w:r>
              <w:rPr>
                <w:rFonts w:ascii="Times New Roman" w:hAnsi="Times New Roman"/>
                <w:b/>
                <w:i/>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6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per share —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Dividends declared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Years Ended December 31, 2023, 2022 and 2021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3"/>
        <w:gridCol w:w="146"/>
        <w:gridCol w:w="211"/>
        <w:gridCol w:w="781"/>
        <w:gridCol w:w="166"/>
        <w:gridCol w:w="146"/>
        <w:gridCol w:w="211"/>
        <w:gridCol w:w="781"/>
        <w:gridCol w:w="166"/>
        <w:gridCol w:w="146"/>
        <w:gridCol w:w="211"/>
        <w:gridCol w:w="676"/>
        <w:gridCol w:w="211"/>
      </w:tblGrid>
      <w:tr>
        <w:trPr/>
        <w:tc>
          <w:tcPr>
            <w:tcW w:w="6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9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6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77,233</w:t>
            </w:r>
          </w:p>
        </w:tc>
        <w:tc>
          <w:tcPr>
            <w:tcW w:w="211" w:type="dxa"/>
            <w:tcBorders/>
            <w:shd w:fill="CFF0FC" w:val="clear"/>
            <w:vAlign w:val="center"/>
          </w:tcPr>
          <w:p>
            <w:pPr>
              <w:pStyle w:val="TableContents"/>
              <w:bidi w:val="0"/>
              <w:spacing w:before="0" w:after="283"/>
              <w:jc w:val="left"/>
              <w:rPr/>
            </w:pPr>
            <w:r>
              <w:rPr/>
              <w:t> </w:t>
            </w:r>
          </w:p>
        </w:tc>
      </w:tr>
      <w:tr>
        <w:trPr/>
        <w:tc>
          <w:tcPr>
            <w:tcW w:w="63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marketable securities, net of income tax provision (benefit) of $253, $(255) and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CFF0FC" w:val="clear"/>
            <w:vAlign w:val="center"/>
          </w:tcPr>
          <w:p>
            <w:pPr>
              <w:pStyle w:val="TableContents"/>
              <w:bidi w:val="0"/>
              <w:spacing w:before="0" w:after="283"/>
              <w:jc w:val="left"/>
              <w:rPr/>
            </w:pPr>
            <w:r>
              <w:rPr/>
              <w:t> </w:t>
            </w:r>
          </w:p>
        </w:tc>
      </w:tr>
      <w:tr>
        <w:trPr/>
        <w:tc>
          <w:tcPr>
            <w:tcW w:w="63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liability adjustment, net of income tax provision (benefit) of $(88), $1,500 and $902,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w:t>
            </w:r>
          </w:p>
        </w:tc>
        <w:tc>
          <w:tcPr>
            <w:tcW w:w="211" w:type="dxa"/>
            <w:tcBorders/>
            <w:shd w:fill="CFF0FC" w:val="clear"/>
            <w:vAlign w:val="center"/>
          </w:tcPr>
          <w:p>
            <w:pPr>
              <w:pStyle w:val="TableContents"/>
              <w:bidi w:val="0"/>
              <w:spacing w:before="0" w:after="283"/>
              <w:jc w:val="left"/>
              <w:rPr/>
            </w:pPr>
            <w:r>
              <w:rPr/>
              <w:t> </w:t>
            </w:r>
          </w:p>
        </w:tc>
      </w:tr>
      <w:tr>
        <w:trPr/>
        <w:tc>
          <w:tcPr>
            <w:tcW w:w="63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derivative instrument classified as cash flow hedge, net of income tax provision (benefit) of $(161), $1,640 and $592,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79,616</w:t>
            </w:r>
          </w:p>
        </w:tc>
        <w:tc>
          <w:tcPr>
            <w:tcW w:w="211" w:type="dxa"/>
            <w:tcBorders/>
            <w:shd w:fill="FFFFFF" w:val="clear"/>
            <w:vAlign w:val="center"/>
          </w:tcPr>
          <w:p>
            <w:pPr>
              <w:pStyle w:val="TableContents"/>
              <w:bidi w:val="0"/>
              <w:spacing w:before="0" w:after="283"/>
              <w:jc w:val="left"/>
              <w:rPr/>
            </w:pPr>
            <w:r>
              <w:rPr/>
              <w:t> </w:t>
            </w:r>
          </w:p>
        </w:tc>
      </w:tr>
      <w:tr>
        <w:trPr/>
        <w:tc>
          <w:tcPr>
            <w:tcW w:w="6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The GEO Group, Inc.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2023 and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196"/>
        <w:gridCol w:w="826"/>
        <w:gridCol w:w="166"/>
        <w:gridCol w:w="146"/>
        <w:gridCol w:w="196"/>
        <w:gridCol w:w="826"/>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w:t>
              <w:br/>
              <w:t>share data)</w:t>
            </w:r>
          </w:p>
        </w:tc>
        <w:tc>
          <w:tcPr>
            <w:tcW w:w="611" w:type="dxa"/>
            <w:tcBorders/>
            <w:shd w:fill="FFFFFF" w:val="clear"/>
            <w:vAlign w:val="center"/>
          </w:tcPr>
          <w:p>
            <w:pPr>
              <w:pStyle w:val="TableContents"/>
              <w:bidi w:val="0"/>
              <w:spacing w:before="0" w:after="283"/>
              <w:jc w:val="center"/>
              <w:rPr/>
            </w:pPr>
            <w:r>
              <w:rPr/>
              <w:t> </w:t>
            </w:r>
          </w:p>
        </w:tc>
      </w:tr>
      <w:tr>
        <w:trPr/>
        <w:tc>
          <w:tcPr>
            <w:tcW w:w="9594" w:type="dxa"/>
            <w:gridSpan w:val="8"/>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611" w:type="dxa"/>
            <w:tcBorders/>
            <w:shd w:fill="CFF0FC" w:val="clear"/>
            <w:vAlign w:val="center"/>
          </w:tcPr>
          <w:p>
            <w:pPr>
              <w:pStyle w:val="TableContents"/>
              <w:bidi w:val="0"/>
              <w:spacing w:before="0" w:after="283"/>
              <w:jc w:val="center"/>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95,073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Accounts receivable, net of credit loss reserve of $606</w:t>
            </w:r>
            <w:r>
              <w:rPr>
                <w:rFonts w:ascii="Times New Roman" w:hAnsi="Times New Roman"/>
                <w:color w:val="000000"/>
                <w:sz w:val="20"/>
              </w:rPr>
              <w:t> </w:t>
            </w:r>
            <w:r>
              <w:rPr>
                <w:rFonts w:ascii="Times New Roman" w:hAnsi="Times New Roman"/>
                <w:color w:val="000000"/>
                <w:sz w:val="18"/>
              </w:rPr>
              <w:t>and $809,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390,023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416,399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528,505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555,008</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Restricted Cash and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111,691</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1,944,278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2,002,021</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Operating Lease Right-of-Use Assets,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90,950</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Assets Held for Sale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Deferred Income Tax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8,005</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755,199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755,199</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147,688</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Other Non-Current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3,696,406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3,760,383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594" w:type="dxa"/>
            <w:gridSpan w:val="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SHAREHOLDERS’ EQUITY</w:t>
            </w:r>
          </w:p>
        </w:tc>
        <w:tc>
          <w:tcPr>
            <w:tcW w:w="611" w:type="dxa"/>
            <w:tcBorders/>
            <w:shd w:fill="FFFFFF" w:val="clear"/>
            <w:vAlign w:val="center"/>
          </w:tcPr>
          <w:p>
            <w:pPr>
              <w:pStyle w:val="TableContents"/>
              <w:bidi w:val="0"/>
              <w:spacing w:before="0" w:after="283"/>
              <w:jc w:val="center"/>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79,312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payroll and related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53,225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237,369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finance lease liabilities, long-term debt and non-recourse debt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437,212</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Deferred Income Tax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75,849</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75,288</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73,801</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Long-Term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1,725,502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1,933,145</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Commitments and Contingencies (Note 16)</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Shareholders’ Equity</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 $0.01</w:t>
            </w:r>
            <w:r>
              <w:rPr>
                <w:rFonts w:ascii="Times New Roman" w:hAnsi="Times New Roman"/>
                <w:color w:val="000000"/>
                <w:sz w:val="20"/>
              </w:rPr>
              <w:t> </w:t>
            </w:r>
            <w:r>
              <w:rPr>
                <w:rFonts w:ascii="Times New Roman" w:hAnsi="Times New Roman"/>
                <w:color w:val="000000"/>
                <w:sz w:val="18"/>
              </w:rPr>
              <w:t>par value, 30,000,000</w:t>
            </w:r>
            <w:r>
              <w:rPr>
                <w:rFonts w:ascii="Times New Roman" w:hAnsi="Times New Roman"/>
                <w:color w:val="000000"/>
                <w:sz w:val="20"/>
              </w:rPr>
              <w:t> </w:t>
            </w:r>
            <w:r>
              <w:rPr>
                <w:rFonts w:ascii="Times New Roman" w:hAnsi="Times New Roman"/>
                <w:color w:val="000000"/>
                <w:sz w:val="18"/>
              </w:rPr>
              <w:t>shares authorized, none</w:t>
            </w:r>
            <w:r>
              <w:rPr>
                <w:rFonts w:ascii="Times New Roman" w:hAnsi="Times New Roman"/>
                <w:color w:val="000000"/>
                <w:sz w:val="20"/>
              </w:rPr>
              <w:t> </w:t>
            </w:r>
            <w:r>
              <w:rPr>
                <w:rFonts w:ascii="Times New Roman" w:hAnsi="Times New Roman"/>
                <w:color w:val="000000"/>
                <w:sz w:val="18"/>
              </w:rPr>
              <w:t>issued or outstanding</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 $0.01</w:t>
            </w:r>
            <w:r>
              <w:rPr>
                <w:rFonts w:ascii="Times New Roman" w:hAnsi="Times New Roman"/>
                <w:color w:val="000000"/>
                <w:sz w:val="20"/>
              </w:rPr>
              <w:t> </w:t>
            </w:r>
            <w:r>
              <w:rPr>
                <w:rFonts w:ascii="Times New Roman" w:hAnsi="Times New Roman"/>
                <w:color w:val="000000"/>
                <w:sz w:val="18"/>
              </w:rPr>
              <w:t>par value, 187,500,000</w:t>
            </w:r>
            <w:r>
              <w:rPr>
                <w:rFonts w:ascii="Times New Roman" w:hAnsi="Times New Roman"/>
                <w:color w:val="000000"/>
                <w:sz w:val="20"/>
              </w:rPr>
              <w:t> </w:t>
            </w:r>
            <w:r>
              <w:rPr>
                <w:rFonts w:ascii="Times New Roman" w:hAnsi="Times New Roman"/>
                <w:color w:val="000000"/>
                <w:sz w:val="18"/>
              </w:rPr>
              <w:t>shares authorized, 130,297,248</w:t>
            </w:r>
            <w:r>
              <w:rPr>
                <w:rFonts w:ascii="Times New Roman" w:hAnsi="Times New Roman"/>
                <w:color w:val="000000"/>
                <w:sz w:val="20"/>
              </w:rPr>
              <w:t> </w:t>
            </w:r>
            <w:r>
              <w:rPr>
                <w:rFonts w:ascii="Times New Roman" w:hAnsi="Times New Roman"/>
                <w:color w:val="000000"/>
                <w:sz w:val="18"/>
              </w:rPr>
              <w:t>and 128,912,410</w:t>
            </w:r>
            <w:r>
              <w:rPr>
                <w:rFonts w:ascii="Times New Roman" w:hAnsi="Times New Roman"/>
                <w:color w:val="000000"/>
                <w:sz w:val="20"/>
              </w:rPr>
              <w:t> </w:t>
            </w:r>
            <w:r>
              <w:rPr>
                <w:rFonts w:ascii="Times New Roman" w:hAnsi="Times New Roman"/>
                <w:color w:val="000000"/>
                <w:sz w:val="18"/>
              </w:rPr>
              <w:t>issued and 126,087,401</w:t>
            </w:r>
            <w:r>
              <w:rPr>
                <w:rFonts w:ascii="Times New Roman" w:hAnsi="Times New Roman"/>
                <w:color w:val="000000"/>
                <w:sz w:val="20"/>
              </w:rPr>
              <w:t> </w:t>
            </w:r>
            <w:r>
              <w:rPr>
                <w:rFonts w:ascii="Times New Roman" w:hAnsi="Times New Roman"/>
                <w:color w:val="000000"/>
                <w:sz w:val="18"/>
              </w:rPr>
              <w:t>and 124,060,038</w:t>
            </w:r>
            <w:r>
              <w:rPr>
                <w:rFonts w:ascii="Times New Roman" w:hAnsi="Times New Roman"/>
                <w:color w:val="000000"/>
                <w:sz w:val="20"/>
              </w:rPr>
              <w:t> </w:t>
            </w:r>
            <w:r>
              <w:rPr>
                <w:rFonts w:ascii="Times New Roman" w:hAnsi="Times New Roman"/>
                <w:color w:val="000000"/>
                <w:sz w:val="18"/>
              </w:rPr>
              <w:t>outstanding,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1,299,193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1,291,363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Retained earnings (accumulated deficit)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Treasury stock, 4,209,847</w:t>
            </w:r>
            <w:r>
              <w:rPr>
                <w:rFonts w:ascii="Times New Roman" w:hAnsi="Times New Roman"/>
                <w:color w:val="000000"/>
                <w:sz w:val="20"/>
              </w:rPr>
              <w:t> </w:t>
            </w:r>
            <w:r>
              <w:rPr>
                <w:rFonts w:ascii="Times New Roman" w:hAnsi="Times New Roman"/>
                <w:color w:val="000000"/>
                <w:sz w:val="18"/>
              </w:rPr>
              <w:t>and 4,852,372</w:t>
            </w:r>
            <w:r>
              <w:rPr>
                <w:rFonts w:ascii="Times New Roman" w:hAnsi="Times New Roman"/>
                <w:color w:val="000000"/>
                <w:sz w:val="20"/>
              </w:rPr>
              <w:t> </w:t>
            </w:r>
            <w:r>
              <w:rPr>
                <w:rFonts w:ascii="Times New Roman" w:hAnsi="Times New Roman"/>
                <w:color w:val="000000"/>
                <w:sz w:val="18"/>
              </w:rPr>
              <w:t>shares at cost,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shareholders’ equity attributable to The GEO Group, Inc.</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1,166,398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shareholders’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1,165,088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Shareholders’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3,696,406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3,760,383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Year Ended December 31, 2023, 2022 and 2021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3"/>
        <w:gridCol w:w="146"/>
        <w:gridCol w:w="181"/>
        <w:gridCol w:w="646"/>
        <w:gridCol w:w="151"/>
        <w:gridCol w:w="146"/>
        <w:gridCol w:w="181"/>
        <w:gridCol w:w="721"/>
        <w:gridCol w:w="151"/>
        <w:gridCol w:w="146"/>
        <w:gridCol w:w="181"/>
        <w:gridCol w:w="646"/>
        <w:gridCol w:w="396"/>
      </w:tblGrid>
      <w:tr>
        <w:trPr/>
        <w:tc>
          <w:tcPr>
            <w:tcW w:w="6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65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50" w:type="dxa"/>
            <w:gridSpan w:val="10"/>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396" w:type="dxa"/>
            <w:tcBorders/>
            <w:shd w:fill="FFFFFF" w:val="clear"/>
            <w:vAlign w:val="center"/>
          </w:tcPr>
          <w:p>
            <w:pPr>
              <w:pStyle w:val="TableContents"/>
              <w:bidi w:val="0"/>
              <w:spacing w:before="0" w:after="283"/>
              <w:jc w:val="center"/>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Flow from Operating Activities:</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righ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107,183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171,692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77,233</w:t>
            </w:r>
          </w:p>
        </w:tc>
        <w:tc>
          <w:tcPr>
            <w:tcW w:w="396" w:type="dxa"/>
            <w:tcBorders/>
            <w:shd w:fill="FFFFFF" w:val="cle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attributable to noncontrolling interests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attributable to The GEO Group, Inc.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107,325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171,813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77,418</w:t>
            </w:r>
          </w:p>
        </w:tc>
        <w:tc>
          <w:tcPr>
            <w:tcW w:w="396" w:type="dxa"/>
            <w:tcBorders/>
            <w:shd w:fill="FFFFFF" w:val="cle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income attributable to The GEO Group, Inc.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6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Depreciation and amortization expense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125,784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132,925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135,177</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6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Deferred tax provision (benefit)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(13,126</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86,380</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6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Amortization of debt issuance costs, discount and/or premium and other non-cash interest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12,030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9,004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7,498</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6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15,065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19,199</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6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Loss (gain) on extinguishment of debt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8,532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(4,693</w:t>
            </w:r>
          </w:p>
        </w:tc>
        <w:tc>
          <w:tcPr>
            <w:tcW w:w="3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Provision for doubtful accounts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6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Equity in earnings of affiliates, net of tax</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(4,534</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(4,771</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(7,141</w:t>
            </w:r>
          </w:p>
        </w:tc>
        <w:tc>
          <w:tcPr>
            <w:tcW w:w="3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Loss (gain) on sale/disposal of property and equipment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8,447</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6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Net gain on disposition of assets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(4,691</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(32,332</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(5,499</w:t>
            </w:r>
          </w:p>
        </w:tc>
        <w:tc>
          <w:tcPr>
            <w:tcW w:w="3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Dividends received from unconsolidated joint ventures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8,263</w:t>
            </w:r>
          </w:p>
        </w:tc>
        <w:tc>
          <w:tcPr>
            <w:tcW w:w="396" w:type="dxa"/>
            <w:tcBorders/>
            <w:shd w:fill="CFF0FC" w:val="clear"/>
            <w:vAlign w:val="center"/>
          </w:tcPr>
          <w:p>
            <w:pPr>
              <w:pStyle w:val="TableContents"/>
              <w:bidi w:val="0"/>
              <w:spacing w:before="0" w:after="283"/>
              <w:jc w:val="lef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Changes in assets and liabilities, net of acquisition:</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6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Changes in accounts receivable, prepaid expenses and other assets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(52,980</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9,466</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65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Changes in contract receivable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6,231</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65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Changes in accounts payable, 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(58,111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284,933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296,412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282,635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Flow from Investing Activities:</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righ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Insurance proceeds - damaged property</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w:t>
            </w:r>
          </w:p>
        </w:tc>
        <w:tc>
          <w:tcPr>
            <w:tcW w:w="396" w:type="dxa"/>
            <w:tcBorders/>
            <w:shd w:fill="FFFFFF" w:val="cle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sale of real estate and other assets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19,583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101,419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25,369</w:t>
            </w:r>
          </w:p>
        </w:tc>
        <w:tc>
          <w:tcPr>
            <w:tcW w:w="396" w:type="dxa"/>
            <w:tcBorders/>
            <w:shd w:fill="CFF0FC" w:val="clear"/>
            <w:vAlign w:val="center"/>
          </w:tcPr>
          <w:p>
            <w:pPr>
              <w:pStyle w:val="TableContents"/>
              <w:bidi w:val="0"/>
              <w:spacing w:before="0" w:after="283"/>
              <w:jc w:val="lef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 received on note receivable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8,000</w:t>
            </w:r>
          </w:p>
        </w:tc>
        <w:tc>
          <w:tcPr>
            <w:tcW w:w="396" w:type="dxa"/>
            <w:tcBorders/>
            <w:shd w:fill="FFFFFF" w:val="cle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restricted investments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(7,151</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(8,433</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(18,739</w:t>
            </w:r>
          </w:p>
        </w:tc>
        <w:tc>
          <w:tcPr>
            <w:tcW w:w="3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Capital expenditures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(69,394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(53,737</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FFFFFF" w:val="cle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Flow from Financing Activities:</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righ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on long-term debt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(208,390</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(680,850</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(360,296</w:t>
            </w:r>
          </w:p>
        </w:tc>
        <w:tc>
          <w:tcPr>
            <w:tcW w:w="3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long term debt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435,000</w:t>
            </w:r>
          </w:p>
        </w:tc>
        <w:tc>
          <w:tcPr>
            <w:tcW w:w="396" w:type="dxa"/>
            <w:tcBorders/>
            <w:shd w:fill="FFFFFF" w:val="cle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on non-recourse debt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(5,676</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(21,575</w:t>
            </w:r>
          </w:p>
        </w:tc>
        <w:tc>
          <w:tcPr>
            <w:tcW w:w="3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Taxes paid related to net share settlements of equity awards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(3,443</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(2,090</w:t>
            </w:r>
          </w:p>
        </w:tc>
        <w:tc>
          <w:tcPr>
            <w:tcW w:w="3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Debt issuance costs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(2,396</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(41,536</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(9,587</w:t>
            </w:r>
          </w:p>
        </w:tc>
        <w:tc>
          <w:tcPr>
            <w:tcW w:w="3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the sale of treasury shares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stock options exercised</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396" w:type="dxa"/>
            <w:tcBorders/>
            <w:shd w:fill="CFF0FC" w:val="clear"/>
            <w:vAlign w:val="center"/>
          </w:tcPr>
          <w:p>
            <w:pPr>
              <w:pStyle w:val="TableContents"/>
              <w:bidi w:val="0"/>
              <w:spacing w:before="0" w:after="283"/>
              <w:jc w:val="lef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in connection with ESPP</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w:t>
            </w:r>
          </w:p>
        </w:tc>
        <w:tc>
          <w:tcPr>
            <w:tcW w:w="396" w:type="dxa"/>
            <w:tcBorders/>
            <w:shd w:fill="FFFFFF" w:val="cle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Dividends paid</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(30,486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(208,083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(699,100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11,263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Effect of Exchange Rate Changes on Cash, Cash Equivalents and Restricted Cash and Cash Equivalents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(3,692</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513" w:type="dxa"/>
            <w:tcBorders/>
            <w:shd w:fill="FFFFFF" w:val="cle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Net Increase (Decrease) in Cash, Cash Equivalents and Restricted Cash and Cash Equivalents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(404,479</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236,469</w:t>
            </w:r>
          </w:p>
        </w:tc>
        <w:tc>
          <w:tcPr>
            <w:tcW w:w="396" w:type="dxa"/>
            <w:tcBorders/>
            <w:shd w:fill="FFFFFF" w:val="cle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Cash Equivalents and Restricted Cash and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143,843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548,322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311,853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Cash Equivalents and Restricted 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159,867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143,843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548,322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Supplemental Disclosures</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righ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Cash paid during the year for:</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righ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Income taxes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49,483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Interest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198,710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103,752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122,162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righ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Assets obtained from finance lease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1,198</w:t>
            </w:r>
          </w:p>
        </w:tc>
        <w:tc>
          <w:tcPr>
            <w:tcW w:w="396" w:type="dxa"/>
            <w:tcBorders>
              <w:top w:val="double" w:sz="6"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Principal Exchanges of Debt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1,620,318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Debt Issuance Costs in Accrued Expenses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shares of common stock to retirement liability</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3,600</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Right-of-use assets obtained from operating lease liabilities (subsequent to initial adoption)</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10,786</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Capital expenditures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7,340</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Years Ended December 31, 2023, 2022 and 2021</w:t>
      </w:r>
    </w:p>
    <w:p>
      <w:pPr>
        <w:pStyle w:val="TextBody"/>
        <w:bidi w:val="0"/>
        <w:jc w:val="left"/>
        <w:rPr/>
      </w:pPr>
      <w:r>
        <w:rPr/>
        <w:t> </w:t>
      </w:r>
    </w:p>
    <w:tbl>
      <w:tblPr>
        <w:tblW w:w="10227" w:type="dxa"/>
        <w:jc w:val="left"/>
        <w:tblInd w:w="0" w:type="dxa"/>
        <w:tblLayout w:type="fixed"/>
        <w:tblCellMar>
          <w:top w:w="28" w:type="dxa"/>
          <w:left w:w="28" w:type="dxa"/>
          <w:bottom w:w="28" w:type="dxa"/>
          <w:right w:w="28" w:type="dxa"/>
        </w:tblCellMar>
      </w:tblPr>
      <w:tblGrid>
        <w:gridCol w:w="871"/>
        <w:gridCol w:w="146"/>
        <w:gridCol w:w="146"/>
        <w:gridCol w:w="496"/>
        <w:gridCol w:w="151"/>
        <w:gridCol w:w="146"/>
        <w:gridCol w:w="166"/>
        <w:gridCol w:w="376"/>
        <w:gridCol w:w="151"/>
        <w:gridCol w:w="146"/>
        <w:gridCol w:w="166"/>
        <w:gridCol w:w="586"/>
        <w:gridCol w:w="151"/>
        <w:gridCol w:w="146"/>
        <w:gridCol w:w="197"/>
        <w:gridCol w:w="644"/>
        <w:gridCol w:w="151"/>
        <w:gridCol w:w="146"/>
        <w:gridCol w:w="234"/>
        <w:gridCol w:w="682"/>
        <w:gridCol w:w="151"/>
        <w:gridCol w:w="146"/>
        <w:gridCol w:w="151"/>
        <w:gridCol w:w="390"/>
        <w:gridCol w:w="151"/>
        <w:gridCol w:w="146"/>
        <w:gridCol w:w="166"/>
        <w:gridCol w:w="541"/>
        <w:gridCol w:w="151"/>
        <w:gridCol w:w="146"/>
        <w:gridCol w:w="246"/>
        <w:gridCol w:w="625"/>
        <w:gridCol w:w="151"/>
        <w:gridCol w:w="146"/>
        <w:gridCol w:w="182"/>
        <w:gridCol w:w="644"/>
        <w:gridCol w:w="19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3"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GEO Group Inc. Shareholders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w:t>
              <w:br/>
              <w:t>of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 Earnings (Accumulated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w:t>
              <w:br/>
              <w:t>of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b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Shareholders’</w:t>
              <w:b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14" w:type="dxa"/>
            <w:gridSpan w:val="34"/>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 thousands)</w:t>
            </w:r>
          </w:p>
        </w:tc>
        <w:tc>
          <w:tcPr>
            <w:tcW w:w="196" w:type="dxa"/>
            <w:tcBorders/>
            <w:shd w:fill="FFFFFF" w:val="clear"/>
            <w:vAlign w:val="center"/>
          </w:tcPr>
          <w:p>
            <w:pPr>
              <w:pStyle w:val="TableContents"/>
              <w:bidi w:val="0"/>
              <w:spacing w:before="0" w:after="283"/>
              <w:jc w:val="center"/>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Balance, January 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121,318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1,262,267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(222,892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(104,946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912,082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Proceeds from stock options 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96" w:type="dxa"/>
            <w:tcBorders/>
            <w:shd w:fill="FFFFFF" w:val="clear"/>
            <w:vAlign w:val="center"/>
          </w:tcPr>
          <w:p>
            <w:pPr>
              <w:pStyle w:val="TableContents"/>
              <w:bidi w:val="0"/>
              <w:spacing w:before="0" w:after="283"/>
              <w:jc w:val="lef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19,199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19,199</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Shares withheld for net settlements of share-based awards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(2,087</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(2,090</w:t>
            </w:r>
          </w:p>
        </w:tc>
        <w:tc>
          <w:tcPr>
            <w:tcW w:w="1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canceled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Dividends -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(30,486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(30,486</w:t>
            </w:r>
          </w:p>
        </w:tc>
        <w:tc>
          <w:tcPr>
            <w:tcW w:w="1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adjustments to Additional Paid-In-Capital [2]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(3,447</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(3,447</w:t>
            </w:r>
          </w:p>
        </w:tc>
        <w:tc>
          <w:tcPr>
            <w:tcW w:w="1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Purchase of treasury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w:t>
            </w:r>
          </w:p>
        </w:tc>
        <w:tc>
          <w:tcPr>
            <w:tcW w:w="1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w:t>
            </w:r>
          </w:p>
        </w:tc>
        <w:tc>
          <w:tcPr>
            <w:tcW w:w="196" w:type="dxa"/>
            <w:tcBorders/>
            <w:shd w:fill="FFFFFF" w:val="clear"/>
            <w:vAlign w:val="center"/>
          </w:tcPr>
          <w:p>
            <w:pPr>
              <w:pStyle w:val="TableContents"/>
              <w:bidi w:val="0"/>
              <w:spacing w:before="0" w:after="283"/>
              <w:jc w:val="lef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77,233</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Balance,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122,472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1,276,213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(175,960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975,016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Proceeds from stock options 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96" w:type="dxa"/>
            <w:tcBorders/>
            <w:shd w:fill="FFFFFF" w:val="clear"/>
            <w:vAlign w:val="center"/>
          </w:tcPr>
          <w:p>
            <w:pPr>
              <w:pStyle w:val="TableContents"/>
              <w:bidi w:val="0"/>
              <w:spacing w:before="0" w:after="283"/>
              <w:jc w:val="lef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16,204</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Shares withheld for net settlements of share-based awards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(1,302</w:t>
            </w:r>
          </w:p>
        </w:tc>
        <w:tc>
          <w:tcPr>
            <w:tcW w:w="1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canceled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w:t>
            </w:r>
          </w:p>
        </w:tc>
        <w:tc>
          <w:tcPr>
            <w:tcW w:w="1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171,813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171,692</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Balance,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1,291,363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1,165,088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Proceeds from stock options 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w:t>
            </w:r>
          </w:p>
        </w:tc>
        <w:tc>
          <w:tcPr>
            <w:tcW w:w="196" w:type="dxa"/>
            <w:tcBorders/>
            <w:shd w:fill="FFFFFF" w:val="clear"/>
            <w:vAlign w:val="center"/>
          </w:tcPr>
          <w:p>
            <w:pPr>
              <w:pStyle w:val="TableContents"/>
              <w:bidi w:val="0"/>
              <w:spacing w:before="0" w:after="283"/>
              <w:jc w:val="lef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15,065</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Shares withheld for net settlements of share-based awards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(3,439</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(3,443</w:t>
            </w:r>
          </w:p>
        </w:tc>
        <w:tc>
          <w:tcPr>
            <w:tcW w:w="1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Restricted stock canceled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 of treasury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(4,174</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9,924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5,750</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96" w:type="dxa"/>
            <w:tcBorders/>
            <w:shd w:fill="FFFFFF" w:val="clear"/>
            <w:vAlign w:val="center"/>
          </w:tcPr>
          <w:p>
            <w:pPr>
              <w:pStyle w:val="TableContents"/>
              <w:bidi w:val="0"/>
              <w:spacing w:before="0" w:after="283"/>
              <w:jc w:val="lef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107,325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107,183</w:t>
            </w:r>
          </w:p>
        </w:tc>
        <w:tc>
          <w:tcPr>
            <w:tcW w:w="196"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Balance,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126,087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1,299,193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1,290,314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rFonts w:ascii="Times New Roman" w:hAnsi="Times New Roman"/>
          <w:color w:val="000000"/>
          <w:sz w:val="18"/>
        </w:rPr>
      </w:pPr>
      <w:r>
        <w:rPr>
          <w:rFonts w:ascii="Times New Roman" w:hAnsi="Times New Roman"/>
          <w:color w:val="000000"/>
          <w:sz w:val="18"/>
        </w:rPr>
        <w:t>[1] During the years ended December 31, 2023, 2022 and 2021, the Company withheld shares through net share settlements to satisfy statutory tax withholding requirements upon vesting of shares of restricted stock held by employees.</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[2] Represents reclassifications between equity and other non-current liabilities in connection with an Amended and Restated Executive Retirement Agreement with the Company's former CEO. The former CEO's retirement payment will no longer be settled with a fixed number of shares but will instead be paid in cash. Refer to Note 13 – Benefit Plans for further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sz w:val="20"/>
        </w:rPr>
      </w:pPr>
      <w:r>
        <w:rPr>
          <w:rFonts w:ascii="Times New Roman" w:hAnsi="Times New Roman"/>
          <w:b/>
          <w:color w:val="000000"/>
          <w:sz w:val="20"/>
        </w:rPr>
        <w:t>For the Years Ended</w:t>
      </w:r>
      <w:r>
        <w:rPr>
          <w:rFonts w:ascii="Times New Roman" w:hAnsi="Times New Roman"/>
          <w:color w:val="000000"/>
          <w:sz w:val="20"/>
        </w:rPr>
        <w:t xml:space="preserve"> </w:t>
      </w:r>
      <w:r>
        <w:rPr>
          <w:rFonts w:ascii="Times New Roman" w:hAnsi="Times New Roman"/>
          <w:b/>
          <w:color w:val="000000"/>
          <w:sz w:val="20"/>
        </w:rPr>
        <w:t>December 31, 2023, 2022 and 2021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Business Organization, Operations and Significant Accounting Policies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GEO Group, Inc., a Florida corporation, and subsidiaries (the “Company” or “GEO”) specializes in the ownership, leasing and management of secure facilities, processing centers and reentry centers in the United States, Australia and South Africa. The Company owns, leases and operates a broad range of facilities including maximum, medium and minimum-security facilities, processing centers, as well as community-based reentry facilities and offers an expanded delivery of rehabilitation services under its 'GEO Continuum of Care' platform. The 'GEO Continuum of Care' platform integrates enhanced rehabilitative programs, which are evidence-based and include cognitive behavioral treatment and post-release services and provides academic and vocational classes in life skills and treatment programs while helping individuals reintegrate into their communities. The Company develops new facilities based on contract awards, using its project development expertise and experience to design, construct and finance what it believes are state-of-the-art facilities that maximize security and efficiency. The Company provides innovative compliance technologies, industry-leading monitoring services, and evidence-based supervision and treatment programs for community-based parolees, probationers and pretrial defendants. The Company also provides secure transportation services for offender and detainee populations as contracted domestically and in the United Kingdom through its joint venture GEOAmey Ltd. (“GEOAmey”). As of December 31, 2023, GEO's worldwide operations included the ownership and/or management of approximately 81,000 beds at 100 secure and community services facilities, including idle facilities and projects under development, and also includes the provision of reentry and electronic monitoring and supervision services for thousands of individuals, including an array of technology products including radio frequency, GPS, and alcohol monitoring devices.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GEO operated as a real estate investment trust ("REIT") from January 1, 2013 through December 31, 2020. As a REIT, the Company provided services and conducted other business activities through taxable REIT subsidiaries ("TRSs"). A TRS is a subsidiary of a REIT that is subject to applicable corporate income tax rates and certain qualification requirements. The Company's use of TRSs permitted GEO to engage in certain business activities in which the REIT could not engage directly, so long as those activities were conducted in entities that elected to be treated as TRSs under the Internal Revenue Code of 1986, as amended, and enabled GEO to, among other things, provide correctional services at facilities it owns and at facilities owned by its government partners. A TRS is not subject to the distribution requirements applicable to REITs so it may retain income generated by its operations for reinvestment.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December 2, 2021, the Company announced that its Board unanimously approved a plan to terminate the Company's REIT status and become a taxable C Corporation, effective for the year ended December 31, 2021. As a result, the Company is no longer required to operate under REIT rules, including the requirement to distribute at least 90% of REIT taxable income to its stockholders, which provides the Company with greater flexibility to use its free cash flow. Effective January 1, 2021, the Company is subject to federal and state income taxes on its taxable income at applicable tax rates and is no longer entitled to a tax deduction for dividends paid. The Company operated as a REIT for the 2020 tax year, and existing REIT requirements and limitations remained in place until December 31, 2020. The Board also voted unanimously to discontinue the Company's quarterly dividend.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a result of GEO’s Board announcing the change in corporate structure to a taxable C Corporation in fiscal year 2021, the Company incurred a one-time, non-cash deferred tax charge of approximately $70.8 million during the fourth quarter of 2021. GEO also incurred approximately $29.3 million in incremental income tax expense in the fourth quarter of 2021 due to the resulting higher corporate tax rate for 2021, including a catch-up tax expense of approximately $16.8 million in connection with the first three quarters of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have been prepared in conformity with accounting principles generally accepted in the United States of America. The significant accounting policies of the Company are described below.</w:t>
      </w:r>
    </w:p>
    <w:p>
      <w:pPr>
        <w:pStyle w:val="TextBody"/>
        <w:bidi w:val="0"/>
        <w:jc w:val="left"/>
        <w:rPr/>
      </w:pPr>
      <w:r>
        <w:rPr/>
        <w:t> </w:t>
      </w:r>
    </w:p>
    <w:p>
      <w:pPr>
        <w:pStyle w:val="TextBody"/>
        <w:bidi w:val="0"/>
        <w:spacing w:before="7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the Company and its wholly owned subsidiaries. The equity method of accounting is used for investments in non-controlled affiliates in which the Company’s ownership ranges from 20 to 50 percent, or in instances in which the Company is able to exercise significant influence but not control. The Company reports South Africa Custodial Services ("SACS") and its 50% owned joint venture in the United Kingdom, GEOAmey, under the equity method of accounting. Noncontrolling interests in consolidated entities represent equity that other investors have contributed to South Africa Custodial Management ("SACM"). Non-controlling interests are adjusted for income and losses allocable to the other shareholders in these entities. All significant intercompany balances and transactions have been eliminated.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70" w:after="283"/>
        <w:jc w:val="left"/>
        <w:rPr>
          <w:rFonts w:ascii="Times New Roman" w:hAnsi="Times New Roman"/>
          <w:b/>
          <w:i/>
          <w:color w:val="000000"/>
          <w:sz w:val="20"/>
        </w:rPr>
      </w:pPr>
      <w:r>
        <w:rPr>
          <w:rFonts w:ascii="Times New Roman" w:hAnsi="Times New Roman"/>
          <w:b/>
          <w:i/>
          <w:color w:val="000000"/>
          <w:sz w:val="20"/>
        </w:rPr>
        <w:t>Reclassifications</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 xml:space="preserve">Certain amounts in the prior period financial statements have been reclassified to conform to the current period financial statements. These reclassifications had no effect on the previously reported results of operations and represent the reclassification of certain expenses from operating expenses to other income/expense that were not significant.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of America requires management to make certain estimates, judgments and assumptions that affect the reported amounts of assets and liabilities and disclosure of contingent assets and liabilities at the date of the financial statements and the reported amounts of revenues and expenses during the reporting period. The Company’s significant estimates include reserves for self-insured retention related to general liability and workers’ compensation insurance, projected cash flows used to evaluate asset impairment, useful lives of its property, equipment and intangible assets. These estimates and assumptions affect the reported amounts of assets and liabilities at the date of the financial statements and the reported amounts of revenues and expenses during the reporting period. While the Company believes that such estimates are reasonable when considered in conjunction with the consolidated financial statements taken as a whole, the actual amounts of such estimates, when known, will vary from these estimates. If actual results significantly differ from the Company’s estimates, the Company’s financial condition and results of operations could be materially impacted.</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discussed above, on December 2, 2021, GEO’s Board unanimously approved a plan to terminate the Company's REIT status and become a taxable C Corporation, effective for the year ended December 31, 2021. In connection with terminating the Company’s REIT status, the Board also voted unanimously to discontinue the Company's quarterly dividend.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Cash and cash equivalents include all interest-bearing deposits or investments with original maturities of three months or less when purchased. The Company maintains cash and cash equivalents with various financial institutions. These financial institutions are located throughout the United States, Australia, South Africa and the United Kingdom. As of December 31, 2023 and 2022, the Company had $35.8 million and $19.7 million in cash and cash equivalents held by its international subsidiaries, respectively.</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maintains deposits of cash in excess of federally insured limits with certain financial institutions and accordingly the Company is subject to credit risk. Other than cash, financial instruments that potentially subject the Company to concentrations of credit risk consist principally of trade accounts receivable, investments in marketable securities, long-term debt and financial instruments used in hedging activities. The Company’s cash management and investment policies restrict investments to low-risk, highly liquid securities, and the Company performs periodic evaluations of the credit standing of the financial institutions with which it deals.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Accounts receivable consists primarily of trade accounts receivable due from federal, state, local and international government agencies for operating and managing secure facilities, providing community-based services, providing electronic monitoring and supervision services, providing construction and design services and providing residential and transportation services. The Company generates receivables with its governmental clients and with other parties in the normal course of business as a result of billing and receiving payment. The Company regularly reviews outstanding receivables and provides for estimated losses through a credit loss reserve. In evaluating the level of credit loss reserves, the Company makes judgments regarding its customers’ ability to make required payments, economic events and other factors. As the financial condition of these parties change, circumstances develop or additional information becomes available, adjustments to the credit loss reserve may be required. The Company also performs ongoing credit evaluations for some of its customers’ financial conditions and generally does not require collateral. Generally, the Company receives payment for these services thirty to sixty days in arrears. However, certain of the Company’s accounts receivable are paid by customers after the completion of their program year and therefore can be aged in excess of one year. The Company maintains reserves for potential credit losses, and such losses traditionally have been within its expectations. Actual write-offs are charged against the credit loss reserve when collection efforts have been unsuccessful. As of December 31, 2023 and 2022, the Company's trade receivables that were considered to be long-term were not significant.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Restricted Cash and Cash Equivalents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and cash equivalents reported on the consolidated balance sheets that sum to the total of the same such amounts shown in the 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92"/>
        <w:gridCol w:w="146"/>
        <w:gridCol w:w="271"/>
        <w:gridCol w:w="1005"/>
        <w:gridCol w:w="166"/>
        <w:gridCol w:w="146"/>
        <w:gridCol w:w="271"/>
        <w:gridCol w:w="1005"/>
        <w:gridCol w:w="166"/>
        <w:gridCol w:w="146"/>
        <w:gridCol w:w="271"/>
        <w:gridCol w:w="1005"/>
        <w:gridCol w:w="215"/>
      </w:tblGrid>
      <w:tr>
        <w:trPr/>
        <w:tc>
          <w:tcPr>
            <w:tcW w:w="5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3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506,491</w:t>
            </w:r>
          </w:p>
        </w:tc>
        <w:tc>
          <w:tcPr>
            <w:tcW w:w="215" w:type="dxa"/>
            <w:tcBorders/>
            <w:shd w:fill="CFF0FC" w:val="clear"/>
            <w:vAlign w:val="center"/>
          </w:tcPr>
          <w:p>
            <w:pPr>
              <w:pStyle w:val="TableContents"/>
              <w:bidi w:val="0"/>
              <w:spacing w:before="0" w:after="283"/>
              <w:jc w:val="left"/>
              <w:rPr/>
            </w:pPr>
            <w:r>
              <w:rPr/>
              <w:t> </w:t>
            </w:r>
          </w:p>
        </w:tc>
      </w:tr>
      <w:tr>
        <w:trPr/>
        <w:tc>
          <w:tcPr>
            <w:tcW w:w="5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 - current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20,161</w:t>
            </w:r>
          </w:p>
        </w:tc>
        <w:tc>
          <w:tcPr>
            <w:tcW w:w="215" w:type="dxa"/>
            <w:tcBorders/>
            <w:shd w:fill="FFFFFF" w:val="clear"/>
            <w:vAlign w:val="center"/>
          </w:tcPr>
          <w:p>
            <w:pPr>
              <w:pStyle w:val="TableContents"/>
              <w:bidi w:val="0"/>
              <w:spacing w:before="0" w:after="283"/>
              <w:jc w:val="left"/>
              <w:rPr/>
            </w:pPr>
            <w:r>
              <w:rPr/>
              <w:t> </w:t>
            </w:r>
          </w:p>
        </w:tc>
      </w:tr>
      <w:tr>
        <w:trPr/>
        <w:tc>
          <w:tcPr>
            <w:tcW w:w="5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investments - non-current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0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0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0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76,158</w:t>
            </w:r>
          </w:p>
        </w:tc>
        <w:tc>
          <w:tcPr>
            <w:tcW w:w="215" w:type="dxa"/>
            <w:tcBorders/>
            <w:shd w:fill="CFF0FC" w:val="clear"/>
            <w:vAlign w:val="center"/>
          </w:tcPr>
          <w:p>
            <w:pPr>
              <w:pStyle w:val="TableContents"/>
              <w:bidi w:val="0"/>
              <w:spacing w:before="0" w:after="283"/>
              <w:jc w:val="left"/>
              <w:rPr/>
            </w:pPr>
            <w:r>
              <w:rPr/>
              <w:t> </w:t>
            </w:r>
          </w:p>
        </w:tc>
      </w:tr>
      <w:tr>
        <w:trPr/>
        <w:tc>
          <w:tcPr>
            <w:tcW w:w="5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Restricted investments - non-current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and cash equivalents shown in the statement of cash flows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548,322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included in restricted cash and cash equivalents are attributable to certain contractual cash restriction requirements at the </w:t>
      </w:r>
    </w:p>
    <w:p>
      <w:pPr>
        <w:pStyle w:val="TextBody"/>
        <w:bidi w:val="0"/>
        <w:jc w:val="left"/>
        <w:rPr>
          <w:rFonts w:ascii="Times New Roman" w:hAnsi="Times New Roman"/>
          <w:color w:val="000000"/>
          <w:sz w:val="20"/>
        </w:rPr>
      </w:pPr>
      <w:r>
        <w:rPr>
          <w:rFonts w:ascii="Times New Roman" w:hAnsi="Times New Roman"/>
          <w:color w:val="000000"/>
          <w:sz w:val="20"/>
        </w:rPr>
        <w:t>Company's wholly owned Australian subsidiary related to non-recourse debt (which were included in Restricted Cash and cash equivalents current) and asset replacement funds contractually required to be maintained and other guarantees. The Company sold shares/units in certain of its wholly owned Australian subsidiaries related to its Ravenhall facility in September 2022. Upon the sale, the restricted cash related to these subsidiaries was transferred to the buyer. As such, the Company has no current restricted cash and cash equivalents at December 31, 2023 or 2022. Refer to Note 16 - Commitments, Contingencies and Other Matters for further information. Restricted investments - non-current (included in Restricted Cash and Investments in the accompanying consolidated balance sheets) consists of the Company's rabbi trust established for an employee and employer contributions to The GEO Group, Inc. Non-qualified Deferred Compensation Plan, its rabbi trust established for its Executive Chairman's retirement account held in a money market fund, investments in equity and fixed income mutual funds and money market funds held in the Company’s captive insurance subsidiary, Florina, and certain contractual cash requirements at the Company’s wholly owned Australian subsidiary related to certain performance guarantees at its Ravenhall facility. The investments held in the rabbi trust related to The GEO Group, Inc. Non-Qualified Deferred Compensation Plan and the investments in equity and fixed income mutual funds held in Florina are restricted investments that are not considered to be restricted cash and cash equivalents in the accompanying consolidated statements of cash flows. Refer to Note 8 - Financial Instruments.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Prepaid expenses and other current assets include assets that are expected to be realized within the next fiscal year. Prepaid expenses represents $40.2 million and $38.9 million of the total balance as of December 31, 2023 and 2022. Other current assets consist primarily of food and uniform inventory. Included in the balance at December 31, 2023 is approximately $5.8 million of federal, state and international tax overpayments that will be applied against tax payments in 2024. Included in the balance at December 31, 2022 is approximately $11.3 million of federal, state and international tax overpayments that were applied against tax payments in 2023.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Inventory, which consists primarily of component parts related to electronic monitoring equipment, is stated at the lower of average cost or net realizable value and is approximately $25.1 million and $20.7 million at December 31, 2023 and 2022, respectively. Inventory is included in Other Non-Current Assets in the accompanying consolidated balance sheets.</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Property and equipment are stated at cost, less accumulated amortization and depreciation. Depreciation is computed using the straight-line method over the estimated useful lives of the related assets. Buildings and improvements are depreciated over 2 to 50 years. Equipment and furniture and fixtures are depreciated over 3 to 10 years. Leasehold improvements are amortized on a straight-line basis over the shorter of the useful life of the improvement or the term of the lease. The Company performs ongoing evaluations of the estimated useful lives of the property and equipment for depreciation purposes. The estimated useful lives are determined and continually evaluated based on the period over which services are expected to be rendered by the asset. If the assessment indicates that assets will be used for a longer or shorter period than previously anticipated, the useful lives of the assets are revised, resulting in a change in estimate. The Company has not made any such changes in estimates during the years ended December 31, 2023, 2022 and 2021. Maintenance and repairs are expensed as incurred. Interest is capitalized in connection with the construction of company-owned secure facilities. Cost for self-constructed secure facilities includes direct materials and labor, capitalized interest and certain other indirect costs associated with construction of the facility, such as property taxes, other indirect labor and related benefits and payroll taxes. The Company begins the capitalization of costs during the pre-construction phase, which is the period during which costs are incurred to evaluate the site and continues until the facility is substantially complete and ready for occupancy. Labor costs capitalized for the years ended December 31, 2023, 2022 and 2021 were not significant. The capitalized costs of real estate projects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are assigned to individual components of the project based on specific identification. Capitalized interest is recorded as part of the asset to which it relates and is amortized over the asset’s estimated useful life. Refer to Note 5 - Property and Equipment.</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Assets Held for Sale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December 31, 2023, the Company had no properties classified as assets held for sale. As of December 31, 2022, the Company had one property classified as held for sale included in its U.S Secure Services segment in the accompanying consolidated balance sheet. The Company classifies a long-lived asset (disposal group) as held for sale in the period in which all of the following criteria are met (i) Management, having the authority to approve the action, commits to a plan to sell the asset (disposal group), (ii) the asset (disposal group) is available for immediate sale in its present condition subject only to the terms that are usual and customary for sales of such assets (disposal groups),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as permitted,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 The Company records assets held for sale at the lower of cost or estimated fair value and estimates fair value by using third party appraisers or other valuation techniques. The Company does not record depreciation for assets held for sale. Any gain or loss on the sale of operating assets is included in the operating income of the reportable segment to which it relates.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property that was classified as held for sale at December 31, 2022 was a parcel of undeveloped land located in Texas. At December 31, 2022, the aggregate carrying value of this property was approximately $0.5 million.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Asset Impairments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summarizes the Company’s idled facilities as of December 31, 2023 and their respective carrying values, excluding equipment and other assets that can be easily transferred to other facilities. </w:t>
      </w:r>
    </w:p>
    <w:tbl>
      <w:tblPr>
        <w:tblW w:w="10205" w:type="dxa"/>
        <w:jc w:val="left"/>
        <w:tblInd w:w="0" w:type="dxa"/>
        <w:tblLayout w:type="fixed"/>
        <w:tblCellMar>
          <w:top w:w="28" w:type="dxa"/>
          <w:left w:w="28" w:type="dxa"/>
          <w:bottom w:w="28" w:type="dxa"/>
          <w:right w:w="28" w:type="dxa"/>
        </w:tblCellMar>
      </w:tblPr>
      <w:tblGrid>
        <w:gridCol w:w="2488"/>
        <w:gridCol w:w="146"/>
        <w:gridCol w:w="724"/>
        <w:gridCol w:w="146"/>
        <w:gridCol w:w="155"/>
        <w:gridCol w:w="611"/>
        <w:gridCol w:w="146"/>
        <w:gridCol w:w="146"/>
        <w:gridCol w:w="155"/>
        <w:gridCol w:w="611"/>
        <w:gridCol w:w="146"/>
        <w:gridCol w:w="146"/>
        <w:gridCol w:w="272"/>
        <w:gridCol w:w="1011"/>
        <w:gridCol w:w="146"/>
        <w:gridCol w:w="146"/>
        <w:gridCol w:w="295"/>
        <w:gridCol w:w="944"/>
        <w:gridCol w:w="146"/>
        <w:gridCol w:w="146"/>
        <w:gridCol w:w="272"/>
        <w:gridCol w:w="1011"/>
        <w:gridCol w:w="196"/>
      </w:tblGrid>
      <w:tr>
        <w:trPr/>
        <w:tc>
          <w:tcPr>
            <w:tcW w:w="2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w:t>
              <w:br/>
              <w:t>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6" w:type="dxa"/>
            <w:tcBorders/>
            <w:shd w:fill="FFFFFF" w:val="clear"/>
            <w:vAlign w:val="center"/>
          </w:tcPr>
          <w:p>
            <w:pPr>
              <w:pStyle w:val="TableContents"/>
              <w:bidi w:val="0"/>
              <w:spacing w:before="0" w:after="283"/>
              <w:jc w:val="center"/>
              <w:rPr/>
            </w:pPr>
            <w:r>
              <w:rPr/>
              <w:t> </w:t>
            </w:r>
          </w:p>
        </w:tc>
      </w:tr>
      <w:tr>
        <w:trPr/>
        <w:tc>
          <w:tcPr>
            <w:tcW w:w="24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Secure </w:t>
              <w:br/>
              <w:t>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w:t>
              <w:br/>
              <w:t>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196" w:type="dxa"/>
            <w:tcBorders/>
            <w:shd w:fill="FFFFFF" w:val="clear"/>
            <w:vAlign w:val="center"/>
          </w:tcPr>
          <w:p>
            <w:pPr>
              <w:pStyle w:val="TableContents"/>
              <w:bidi w:val="0"/>
              <w:spacing w:before="0" w:after="283"/>
              <w:jc w:val="center"/>
              <w:rPr/>
            </w:pPr>
            <w:r>
              <w:rPr/>
              <w:t> </w:t>
            </w:r>
          </w:p>
        </w:tc>
      </w:tr>
      <w:tr>
        <w:trPr/>
        <w:tc>
          <w:tcPr>
            <w:tcW w:w="2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Idled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Design </w:t>
              <w:br/>
              <w:t>Capacity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 Ray James Correctional Facility</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49,743</w:t>
            </w:r>
          </w:p>
        </w:tc>
        <w:tc>
          <w:tcPr>
            <w:tcW w:w="196" w:type="dxa"/>
            <w:tcBorders/>
            <w:shd w:fill="FFFFFF" w:val="clear"/>
            <w:vAlign w:val="center"/>
          </w:tcPr>
          <w:p>
            <w:pPr>
              <w:pStyle w:val="TableContents"/>
              <w:bidi w:val="0"/>
              <w:spacing w:before="0" w:after="283"/>
              <w:jc w:val="left"/>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Northlake Correctional Facility</w:t>
            </w:r>
          </w:p>
        </w:tc>
        <w:tc>
          <w:tcPr>
            <w:tcW w:w="14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73,937</w:t>
            </w:r>
          </w:p>
        </w:tc>
        <w:tc>
          <w:tcPr>
            <w:tcW w:w="196" w:type="dxa"/>
            <w:tcBorders/>
            <w:shd w:fill="CFF0FC" w:val="cle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 Correctional Facility</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36,234</w:t>
            </w:r>
          </w:p>
        </w:tc>
        <w:tc>
          <w:tcPr>
            <w:tcW w:w="196" w:type="dxa"/>
            <w:tcBorders/>
            <w:shd w:fill="FFFFFF" w:val="clear"/>
            <w:vAlign w:val="center"/>
          </w:tcPr>
          <w:p>
            <w:pPr>
              <w:pStyle w:val="TableContents"/>
              <w:bidi w:val="0"/>
              <w:spacing w:before="0" w:after="283"/>
              <w:jc w:val="left"/>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Big Spring Correctional Facility</w:t>
            </w:r>
          </w:p>
        </w:tc>
        <w:tc>
          <w:tcPr>
            <w:tcW w:w="14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30,186</w:t>
            </w:r>
          </w:p>
        </w:tc>
        <w:tc>
          <w:tcPr>
            <w:tcW w:w="196" w:type="dxa"/>
            <w:tcBorders/>
            <w:shd w:fill="CFF0FC" w:val="cle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Flightline Correctional Facility</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33,203</w:t>
            </w:r>
          </w:p>
        </w:tc>
        <w:tc>
          <w:tcPr>
            <w:tcW w:w="196" w:type="dxa"/>
            <w:tcBorders/>
            <w:shd w:fill="FFFFFF" w:val="clear"/>
            <w:vAlign w:val="center"/>
          </w:tcPr>
          <w:p>
            <w:pPr>
              <w:pStyle w:val="TableContents"/>
              <w:bidi w:val="0"/>
              <w:spacing w:before="0" w:after="283"/>
              <w:jc w:val="left"/>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McFarland Female Community</w:t>
              <w:br/>
              <w:t>   Reentry Facility</w:t>
            </w:r>
          </w:p>
        </w:tc>
        <w:tc>
          <w:tcPr>
            <w:tcW w:w="14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96" w:type="dxa"/>
            <w:tcBorders/>
            <w:shd w:fill="CFF0FC" w:val="cle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Cheyenne Mountain Recovery Center [1]</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17,566</w:t>
            </w:r>
          </w:p>
        </w:tc>
        <w:tc>
          <w:tcPr>
            <w:tcW w:w="196" w:type="dxa"/>
            <w:tcBorders/>
            <w:shd w:fill="FFFFFF" w:val="clear"/>
            <w:vAlign w:val="center"/>
          </w:tcPr>
          <w:p>
            <w:pPr>
              <w:pStyle w:val="TableContents"/>
              <w:bidi w:val="0"/>
              <w:spacing w:before="0" w:after="283"/>
              <w:jc w:val="left"/>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Hector Garza Center</w:t>
            </w:r>
          </w:p>
        </w:tc>
        <w:tc>
          <w:tcPr>
            <w:tcW w:w="14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w:t>
            </w:r>
          </w:p>
        </w:tc>
        <w:tc>
          <w:tcPr>
            <w:tcW w:w="196" w:type="dxa"/>
            <w:tcBorders/>
            <w:shd w:fill="CFF0FC" w:val="cle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Delaney Hall</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25,368</w:t>
            </w:r>
          </w:p>
        </w:tc>
        <w:tc>
          <w:tcPr>
            <w:tcW w:w="196" w:type="dxa"/>
            <w:tcBorders/>
            <w:shd w:fill="FFFFFF" w:val="clear"/>
            <w:vAlign w:val="center"/>
          </w:tcPr>
          <w:p>
            <w:pPr>
              <w:pStyle w:val="TableContents"/>
              <w:bidi w:val="0"/>
              <w:spacing w:before="0" w:after="283"/>
              <w:jc w:val="left"/>
              <w:rPr/>
            </w:pPr>
            <w:r>
              <w:rPr/>
              <w:t> </w:t>
            </w:r>
          </w:p>
        </w:tc>
      </w:tr>
      <w:tr>
        <w:trPr/>
        <w:tc>
          <w:tcPr>
            <w:tcW w:w="2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Coleman Hall</w:t>
            </w:r>
          </w:p>
        </w:tc>
        <w:tc>
          <w:tcPr>
            <w:tcW w:w="14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46" w:type="dxa"/>
            <w:tcBorders/>
            <w:shd w:fill="CFF0FC" w:val="cle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288,434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[1] This facility is under a contract that is yet to be activated.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was no indication of impairment related to the Company’s idle facilities during the years ended December 31, 2023, 2022 or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reviews long-lived assets to be held and used for impairment whenever events or changes in circumstances indicate that the carrying amount of such assets may not be fully recoverable. Events that would trigger an impairment assessment include deterioration of profits for a business segment that has long-lived assets, or when other changes occur that might impair recovery of long-lived assets such as the termination of a management contract or a prolonged decrease in population. If impairment indicators are present, the Company performs a recoverability test to determine whether or not an impairment loss should be measured.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tests idle facilities for impairment upon notification that the facilities will no longer be utilized by the customer. If a long-lived asset is part of a group that includes other assets, the unit of accounting for the long-lived asset is its group. Generally, the Company groups assets by facility for the purpose of considering whether any impairment exists. The estimates of recoverability are based on projected undiscounted cash flows associated with actual marketing efforts where available or, in other instances, projected undiscounted cash flows that are comparable to historical cash flows from management contracts achieved in the past at that facility or at similar facilities and probability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weighted cash flows. The Company's probability weighted cash flows include adjustments to projected cash flows compared to the historical cash flows due to current business conditions which impact per diem rates as well as labor and other operating costs, changes related to facility mission due to changes in prospective clients, and changes in projected capacity and occupancy rates. The Company performs the impairment analysis on an annual basis, or more frequently as needed, for each of the idle facilities and takes into consideration updates each quarter for market developments affecting the potential utilization of each of the facilities in order to identify events that may cause the Company to reconsider the most recent assumptions. Such events could include negotiations with a prospective customer for the utilization of an idle facility at terms significantly less favorable than the terms used in the Company's most recent impairment analysis, or changes in legislation surrounding a particular facility that could impact the Company's ability to house certain types of individuals at such facility. Further, a substantial increase in the number of available beds at other facilities the Company owns, or in the marketplace, could lead to deterioration in market conditions and projected cash flows. Although they are not frequently received, an unsolicited offer to purchase any of the Company's idle facilities, at amounts that are less than their carrying value could also cause the Company to reconsider the assumptions used in the most recent impairment analysis. The Company has identified marketing prospects to utilize each of the remaining currently idled facilities and has determined that no current impairment exists. The Company has also received valuations from a third party on certain facilities. However, the Company can provide no assurance that it will be able to secure management contracts to utilize its idle facilities, or that it will not incur impairment charges in the future. In all cases, the undiscounted cash flows in the Company’s analysis as of December 31, 2023, exceeded the carrying amounts of each facility, therefore no impairment charges were recorded.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evaluations also take into consideration historical experience in securing new facility management contracts to utilize facilities that had been previously idled for periods comparable to or in excess of the periods the Company's currently idle facilities have been idle. Such previously idled facilities are currently being operated under contracts that generate cash flows resulting in the recoverability of the net book value of the previously idled facilities by substantial amounts. Due to a variety of factors, the lead time to negotiate contracts with federal and state agencies to utilize idle bed capacity is generally lengthy which has historically resulted in periods of idleness similar to the ones the Company is currently experiencing.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their nature, these estimates contain uncertainties with respect to the extent and timing of the respective cash flows due to potential delays or material changes to forecasted terms and conditions in contracts with prospective customers that could impact the estimate of projected cash flows. Notwithstanding the effects the current economy has had on the Company's customers for available beds in the short term which has led to the Company’s decision to idle certain facilities, the Company believes the long-term trends favor an increase in the utilization of its idle facilities. This belief is also based on the Company's experience in working with governmental agencies faced with significant budgetary challenges which is a primary contributing factor to the lack of appropriated funding to build new bed capacity by federal and state agencies.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determines whether a contract is or contains a lease if the contract conveys the right to control the use of identified property, plant or equipment (an identified asset) for a period of time in exchange for consideration. For leases with terms greater than 12 months, the Company records the related asset and obligation at the present value of the lease payments over the term of the lease. Many of GEO's leases include rental escalation clauses, renewal options and/or termination options that are factored into the determination of lease payments when appropriate. Only renewal or termination options that are reasonably certain to be exercised by the Company are included in the lease term which is used in the calculation of lease liabilities and right-of-use assets. In addition, lease agreements may include periodic adjustments to payment amounts for inflation or other variables, or may require payments for taxes, insurance, maintenance or other expenses, which are generally referred to as non-lease components. The Company accounts for non-lease components together with the related lease components for all classes of leased assets. The Company does not typically enter into lease agreements that contain a residual guarantee or that provide for variable lease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available, the Company uses the rate implicit in the lease to discount lease payments to present value, however, most of GEO's lease agreements do not provide a readily determinable implicit rate. Therefore, the Company must estimate its incremental borrowing rate to discount the lease payments based on information available at lease commencement.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leases where the Company is the lessor, upon adoption of ASC 842, the Company elected to also apply the practical expedient to not </w:t>
      </w:r>
    </w:p>
    <w:p>
      <w:pPr>
        <w:pStyle w:val="TextBody"/>
        <w:bidi w:val="0"/>
        <w:jc w:val="both"/>
        <w:rPr>
          <w:rFonts w:ascii="Times New Roman" w:hAnsi="Times New Roman"/>
          <w:color w:val="000000"/>
          <w:sz w:val="20"/>
        </w:rPr>
      </w:pPr>
      <w:r>
        <w:rPr>
          <w:rFonts w:ascii="Times New Roman" w:hAnsi="Times New Roman"/>
          <w:color w:val="000000"/>
          <w:sz w:val="20"/>
        </w:rPr>
        <w:t xml:space="preserve">separate non-lease components from the associated lease component if certain criteria are met for each class of underlying assets. Lease components are elements of an arrangement that provide the customer with the right to use an identified asset. Non-lease components are distinct elements of a contract that are not related to securing the use of the leased asset and revenue is recognized in accordance with ASC 606. The Company considers common area maintenance ("CAM") and service income associated with tenant work orders to be non-lease components because they represent delivery of a separate service but are not considered a cost of securing the identified asset. In the case of the Company’s business, the identified asset would be the leased real estate. The Company assessed and concluded that the timing and pattern of transfer for non-lease components and the associated lease component are the same. The Company determined that the predominant component was the lease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component and as such its leases continue to qualify as operating leases. The Company made a policy election to account for and present the lease component and the non-lease component as a single component in revenue.</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Assets Held under Finance Leases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Assets held under finance leases are recorded at the lower of the net present value of the minimum lease payments or the fair value of the leased asset at the inception of the lease. Amortization expense is recognized using the straight-line method over the shorter of the estimated useful life of the asset or the term of the related lease and is included in depreciation expense.</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Goodwill and Other Intangible Assets, Net</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recorded goodwill as a result of its business combinations. Goodwill is recorded as the difference, if any, between the aggregate consideration paid for an acquisition and the fair value of the net tangible assets and other intangible assets acquired. The Company's goodwill is not amortized and is tested for impairment annually on the first day of the fourth quarter, and whenever events or circumstances arise that indicate impairment may have occurred. Impairment testing is performed for all reporting units that contain goodwill. The reporting units are the same as the reportable segments for U.S. Secure Services, Electronic Monitoring and Supervision Services, Reentry Services and International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annual measurement date of October 1, 2023, the Company's management elected to qualitatively assess the Company's goodwill for impairment for two of its reporting units. Under provisions of the qualitative analysis, when testing goodwill for impairment, the Company first assesses qualitative factors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 Company performs a quantitative impairment test to identify goodwill impairment and measures the amount of goodwill impairment loss to be recognized, if any. The Company will also perform a quantitative test if it has been several years since the last one. The qualitative factors used by the Company’s management to determine the likelihood that the fair value of the reporting unit is less than the carrying amount include, among other things, a review of overall economic conditions and their current and future impact on the Company’s existing business, the Company’s financial performance and stock price, industry outlook and market competition. With respect to the qualitative assessments, management determined that, as of October 1, 2023, it was more likely than not that the fair values of the reporting units exceeded their carrying values. The Company performed a quantitative analysis for its Electronic Monitoring and Supervision Services reporting unit using a third-party valuation firm to determine the estimated fair value of the reporting unit using a discounted cash flow model. A discount rate of 11.5% was utilized to adjust the cash flow forecasts based on the Company’s estimate of a market participant’s weighted-average cost of capital. Growth rates for sales and profits were determined using inputs from the Company’s long-term planning process. The Company also made estimates for discount rates and other factors based on market conditions, historical experience and other economic factors. Changes in these factors could significantly impact the fair value of the reporting unit. With respect to the Electronic Monitoring and Supervision Services reporting unit that was assessed quantitatively, management determined that the fair value exceeded its carrying value by a significant amount. A significant change in one or combination of the assumptions discussed above could have impacted the estimated fair value of the reporting unit. If the Company’s expectations of future results and cash flows decrease significantly or other economic conditions deteriorate, goodwill may be further impaired. No impairment charges were recorded for the years ended December 31, 2023, 2022 or 2021.</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Other Intangible Assets,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has also recorded other finite and indefinite lived intangible assets as a result of previously completed business combinations. Other acquired finite and indefinite lived intangible assets are recognized separately if the benefit of the intangible asset is obtained through contractual or other legal rights, or if the intangible asset can be sold, transferred, licensed, rented or exchanged, regardless of the Company’s intent to do so. The Company’s intangible assets include facility management contracts, trade names and technology. The facility management contracts represent customer relationships in the form of management contracts acquired at the time of each business combination; the value of BI’s and Protocol Criminal Justice, Inc.'s ("Protocol") trade names represent, among other intangible benefits, name recognition to its customers and intellectual property rights; and the acquired technology represented BI’s innovation with respect to its GPS tracking, monitoring, radio frequency monitoring, voice verification monitoring and alcohol compliance systems which became fully amortized as of December 31, 2023. When establishing useful lives, the Company considers the period and the pattern in which the economic benefits of the intangible asset are consumed or otherwise used up; or, if that pattern cannot be reliably determined, using a straight-line amortization method over a period that may be shorter than the ultimate life of such intangible asset. The Company also considers the impact of renewal terms when establishing useful lives. The Company currently amortizes its acquired facility management contracts over periods ranging from three to twenty-one years and its acquired technology over seven years to eight years. There is no residual value associated with the Company’s finite-lived intangible assets. The Company reviews its trade name assets for impairment whenever events or changes in circumstances indicate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that the carrying amount of such assets may not be fully recoverable. The Company does not amortize its indefinite lived intangible assets. The Company reviews its indefinite lived intangible assets annually or more frequently if events or changes in circumstances indicate that the asset might be impaired. The qualitative factors used by GEO’s management to determine the likelihood that the fair value of the reporting unit is less than the carrying amount include, among other things, a review of overall economic conditions and their current and future impact on our existing business, our financial performance and stock price, industry outlook and market competition. These reviews resulted in no significant impairment to the carrying value of the indefinite lived intangible assets for all periods presented. The Company records the costs associated with renewal and extension of facility management contracts as expenses in the period they are incurred.</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Internal-Use Software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Costs incurred to develop software for internal use are capitalized and amortized over the estimated useful lives of the software. Costs related to design or maintenance of internal-use software are expensed as incurred. As of December 31, 2023 and 2022, included in Property and Equipment, Net is approximately $12.6 million and $9.9 million of capitalized internal-use software costs, respectively.</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Debt issuance costs, net of accumulated amortization of $15.3 million and $44.1 million, totaling $43.8 million and $32.5 million at December 31, 2023 and 2022, respectively, are included in Long-Term Debt, Non-Recourse Debt and Other Non-Current Assets in the accompanying Consolidated Balance Sheets and are amortized to interest expense using the effective interest method over the term of the related debt. Refer to Note 11 - Debt for discussion of debt issuance costs written off in connection with the Company's exchange offer.</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Lease Revenue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The Company leases nine of its owned facilities to unrelated parties. Six of which have a month to month term through June 2024. The carrying value of these leased facilities as of December 31, 2023 is $47.0 million, net of accumulated depreciation of $24.2 million. For the additional three leased facilities, one facility has a term that expires in February 2025. The carrying value of this leased facility as of December 31, 2023 was $1.9 million, net of accumulated depreciation of $0.7 million. One facility has a term of sixty-six months with one-year renewal options which base term expires in October 2028. The carrying value of this leased facility as of December 31, 2023 was $76.0 million, net of accumulated depreciation of $32.8 million. The remaining facility has a term of twenty years with renewals and expires in October 2041. The carrying value of this leased facility as of December 31, 2023 was $21.7 million, net of accumulated depreciation of $17.0 million. Rental income, included in Revenues, for leased facilities for the years ended December 31, 2023, 2022 and 2021 was approximately $11.4 million, $5.6 million and $1.8 million. As of December 31, 2023, future minimum rentals to be received on these leases are as follows: </w:t>
      </w:r>
    </w:p>
    <w:p>
      <w:pPr>
        <w:pStyle w:val="TextBody"/>
        <w:bidi w:val="0"/>
        <w:jc w:val="left"/>
        <w:rPr/>
      </w:pPr>
      <w:r>
        <w:rPr/>
        <w:t> </w:t>
      </w:r>
    </w:p>
    <w:tbl>
      <w:tblPr>
        <w:tblW w:w="2498" w:type="dxa"/>
        <w:jc w:val="left"/>
        <w:tblInd w:w="0" w:type="dxa"/>
        <w:tblLayout w:type="fixed"/>
        <w:tblCellMar>
          <w:top w:w="28" w:type="dxa"/>
          <w:left w:w="28" w:type="dxa"/>
          <w:bottom w:w="28" w:type="dxa"/>
          <w:right w:w="28" w:type="dxa"/>
        </w:tblCellMar>
      </w:tblPr>
      <w:tblGrid>
        <w:gridCol w:w="1006"/>
        <w:gridCol w:w="146"/>
        <w:gridCol w:w="245"/>
        <w:gridCol w:w="910"/>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Rental</w:t>
            </w:r>
          </w:p>
        </w:tc>
        <w:tc>
          <w:tcPr>
            <w:tcW w:w="191" w:type="dxa"/>
            <w:tcBorders/>
            <w:shd w:fill="FFFFFF" w:val="clear"/>
            <w:vAlign w:val="center"/>
          </w:tcPr>
          <w:p>
            <w:pPr>
              <w:pStyle w:val="TableContents"/>
              <w:bidi w:val="0"/>
              <w:spacing w:before="0" w:after="283"/>
              <w:jc w:val="center"/>
              <w:rPr/>
            </w:pPr>
            <w:r>
              <w:rPr/>
              <w:t> </w:t>
            </w:r>
          </w:p>
        </w:tc>
      </w:tr>
      <w:tr>
        <w:trPr/>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91"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w:t>
            </w:r>
          </w:p>
        </w:tc>
        <w:tc>
          <w:tcPr>
            <w:tcW w:w="191"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12,525</w:t>
            </w:r>
          </w:p>
        </w:tc>
        <w:tc>
          <w:tcPr>
            <w:tcW w:w="191"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w:t>
            </w:r>
          </w:p>
        </w:tc>
        <w:tc>
          <w:tcPr>
            <w:tcW w:w="191"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11,214</w:t>
            </w:r>
          </w:p>
        </w:tc>
        <w:tc>
          <w:tcPr>
            <w:tcW w:w="191"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Variable Interest Entities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evaluates its joint ventures and other entities in which it has a variable interest (a “VIE”), generally in the form of investments, loans, guarantees, or equity in order to determine if it has a controlling financial interest and is required to consolidate the entity as a result. The reporting entity with a variable interest that provides the entity with a controlling financial interest in the VIE will have both of the following characteristics: (i) the power to direct the activities of a VIE that most significantly impact the VIE's economic performance and (ii) the obligation to absorb the losses of the VIE that could potentially be significant to the VIE or the right to receive benefits from the VIE that could potentially be significant to the VIE.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consolidate its 50% owned South African joint venture interest in SACS, a VIE. SACS joint venture investors are GEO and Kensani Corrections, Pty. Ltd (an independent third party); each partner owns a 50% share. The Company has determined it is not the primary beneficiary of SACS since it does not have the power to direct the activities of SACS that most significantly impact its performance. As such, the Company's investment in this entity is accounted for under the equity method of accounting. SACS was established and subsequently, in 2001, was awarded a 25-year contract to design, finance and build the Kutama Sinthumule Correctional Centre in Louis Trichardt, South Africa. To fund the construction of the prison, SACS obtained long-term financing from its equity partners and lenders,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repayment of which is fully guaranteed by the South African government, except in the event of default, in which case the government guarantee is reduced to 80%. The Company's maximum exposure for loss under this contract is limited to its investment in the joint venture of approximately $9.1 million at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consolidate its 50% owned joint venture in the United Kingdom. In February 2011, GEO UK, executed a Shareholders Agreement (the “Shareholders Agreement”) with Amey Community Limited (“Amey”) and Amey UK PLC (“Amey Guarantor”) to form GEOAmey, a private company limited by shares incorporated in England and Wales. GEOAmey was formed by GEO UK and Amey (an independent third party) for the purpose of performing escort and related custody services in England, Wales and Scotland. In order to form this private company, GEOAmey issued share capital of £100 divided into 100 shares of £1 each and allocated the shares 50/50 to GEO UK and Amey. GEO UK and Amey each have three directors appointed to the Board of Directors and neither party has the power to direct the activities that most significantly impact the performance of GEOAmey. As such, the Company's investment in this entity is accounted for under the equity method of accounting. The Company's maximum exposure for loss under this contract is limited to its investment in the joint venture of approximately $11.2 million at December 31, 2023.</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defines fair value as the price that would be received to sell an asset or paid to transfer a liability in an orderly transaction between market participants at the measurement date (“exit price”). The Company carries certain of its assets and liabilities at fair value, measured on a recurring basis, in the accompanying Consolidated Balance Sheets. The Company also has certain assets and liabilities which are not carried at fair value in its accompanying Consolidated Balance Sheets and discloses the fair value measurements compared to the carrying values as of each balance sheet date. The Company’s fair value measurements are disclosed in Note 8 - Financial Instruments and Note 9 - Fair Value of Assets and Liabilities. The Company establishes fair value of its assets and liabilities using a fair value hierarchy that prioritizes the inputs to valuation techniques used to measure fair value into three broad levels which distinguish between assumptions based on market data (observable inputs) and the Company’s assumptions (unobservable inputs). The level in the fair value hierarchy within which the respective fair value measurement falls is determined based on the lowest level input that is significant to the measurement in its entirety. Level 1 inputs are quoted market prices in active markets for identical assets or liabilities. Level 2 inputs are other than quotable market prices included in Level 1 that are observable for the asset or liability either directly or indirectly through corroboration with observable market data. Level 3 inputs are unobservable inputs for the assets or liabilities that reflect management’s own assumptions about the assumptions market participants would use in pricing the asset or liability. The Company recognizes transfers between Levels 1, 2 and 3 as of the actual date of the event or change in circumstances that cause the transfer.</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is recognized when control of the promised goods or services is transferred to GEO's customers, in an amount that reflects the consideration GEO expects to be entitled to in exchange for those goods or services. Sales, value-added and other taxes GEO collects concurrent with revenue producing activities and that are subsequently remitted to governmental authorities are excluded from revenues. The guidance distinguishes between goods and services. The definition of services under the guidance includes everything other than goods. As such, in the case of GEO, this guidance views the provision of housing and electronic monitoring as a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a contract includes variable consideration, GEO determines an estimate of the variable consideration and evaluates whether the estimate needs to be constrained; therefore, GEO includes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One of GEO's international contracts, related to its Ravenhall facility (discussed further below), contains a provision where a significant portion of the revenue for the contract is based on the performance of certain targets. These performance targets are based on specific criteria to be met over specific periods of time. Such criteria include the Company's ability to achieve certain contractual benchmarks relative to the quality of service it provides, non-occurrence of certain disruptive events, effectiveness of its quality control programs and its responsiveness to customer requirements. The performance of these targets is measured quarterly and there was no significant constraint on the estimate of such variable consideration for this contract during the years ended December 31, 2023, 2022 and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 does not disclose the value of unsatisfied performance obligations for (i) contracts with an expected length of one year or less and (ii) contracts for which revenue is recognized at the amount to which GEO has the right to invoice for services performed, which is generally the case for all of GEO's contracts. Incidental items that are immaterial in the context of the contract are recognized as expense. GEO generally does not incur incremental costs related to obtaining a contract with its customers that would meet the requirement for capitalization. There were no assets recognized from costs to obtain a contract with a customer at December 31, 2023 or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of revenue recognition may differ from the timing of invoicing to customers. GEO records a receivable when services are performed which are due from its customers based on the passage of time. GEO records a contract liability if consideration is received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advance of the performance of services. Generally, GEO's customers do not provide payment in advance of the performance of services. Therefore, any contract liability is not significant at December 31, 2023 or 2022. Revenue recognized during the years ended December 31, 2023 and 2022 that was included in the opening balance of unearned revenue was not significant. There have been no significant amounts of revenue recorded in the periods presented from performance obligations either wholly or partially satisfied in prior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right to consideration under GEO's contracts is only dependent on the passage of time and is therefore considered to be unconditional. Payment terms and conditions vary by contract type although terms generally include a requirement of payment within 30 days after performance obligations are satisfied and generally do not include a significant financing component. There have been no significant changes in receivables or unearned revenue balances during the periods other than regular invoicing and collection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disaggregates GEO's revenue by major source and also provides a reconciliation with revenue information disclosed for reportable segments in Note 14 - Business Segments and Geographic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5"/>
        <w:gridCol w:w="146"/>
        <w:gridCol w:w="211"/>
        <w:gridCol w:w="931"/>
        <w:gridCol w:w="146"/>
        <w:gridCol w:w="146"/>
        <w:gridCol w:w="418"/>
        <w:gridCol w:w="1548"/>
        <w:gridCol w:w="146"/>
        <w:gridCol w:w="146"/>
        <w:gridCol w:w="237"/>
        <w:gridCol w:w="880"/>
        <w:gridCol w:w="146"/>
        <w:gridCol w:w="146"/>
        <w:gridCol w:w="226"/>
        <w:gridCol w:w="840"/>
        <w:gridCol w:w="146"/>
        <w:gridCol w:w="146"/>
        <w:gridCol w:w="211"/>
        <w:gridCol w:w="931"/>
        <w:gridCol w:w="193"/>
      </w:tblGrid>
      <w:tr>
        <w:trPr/>
        <w:tc>
          <w:tcPr>
            <w:tcW w:w="2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0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 (in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w:t>
              <w:br/>
              <w:t>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3" w:type="dxa"/>
            <w:tcBorders/>
            <w:shd w:fill="FFFFFF" w:val="clear"/>
            <w:vAlign w:val="center"/>
          </w:tcPr>
          <w:p>
            <w:pPr>
              <w:pStyle w:val="TableContents"/>
              <w:bidi w:val="0"/>
              <w:spacing w:before="0" w:after="283"/>
              <w:jc w:val="center"/>
              <w:rPr/>
            </w:pPr>
            <w:r>
              <w:rPr/>
              <w:t> </w:t>
            </w:r>
          </w:p>
        </w:tc>
      </w:tr>
      <w:tr>
        <w:trPr/>
        <w:tc>
          <w:tcPr>
            <w:tcW w:w="2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Secure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1,140,548</w:t>
            </w:r>
          </w:p>
        </w:tc>
        <w:tc>
          <w:tcPr>
            <w:tcW w:w="193" w:type="dxa"/>
            <w:tcBorders/>
            <w:shd w:fill="CFF0FC"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Community-based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166,987</w:t>
            </w:r>
          </w:p>
        </w:tc>
        <w:tc>
          <w:tcPr>
            <w:tcW w:w="193" w:type="dxa"/>
            <w:tcBorders/>
            <w:shd w:fill="FFFFFF" w:val="clear"/>
            <w:vAlign w:val="center"/>
          </w:tcPr>
          <w:p>
            <w:pPr>
              <w:pStyle w:val="TableContents"/>
              <w:bidi w:val="0"/>
              <w:spacing w:before="0" w:after="283"/>
              <w:jc w:val="left"/>
              <w:rPr/>
            </w:pPr>
            <w:r>
              <w:rPr/>
              <w:t> </w:t>
            </w:r>
          </w:p>
        </w:tc>
      </w:tr>
      <w:tr>
        <w:trPr/>
        <w:tc>
          <w:tcPr>
            <w:tcW w:w="2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Only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15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576,731</w:t>
            </w:r>
          </w:p>
        </w:tc>
        <w:tc>
          <w:tcPr>
            <w:tcW w:w="193" w:type="dxa"/>
            <w:tcBorders/>
            <w:shd w:fill="CFF0FC"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Services and Other Reentry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528,901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1,518,292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2,413,167</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4"/>
        <w:gridCol w:w="146"/>
        <w:gridCol w:w="211"/>
        <w:gridCol w:w="931"/>
        <w:gridCol w:w="146"/>
        <w:gridCol w:w="146"/>
        <w:gridCol w:w="377"/>
        <w:gridCol w:w="1395"/>
        <w:gridCol w:w="146"/>
        <w:gridCol w:w="146"/>
        <w:gridCol w:w="232"/>
        <w:gridCol w:w="860"/>
        <w:gridCol w:w="146"/>
        <w:gridCol w:w="146"/>
        <w:gridCol w:w="226"/>
        <w:gridCol w:w="840"/>
        <w:gridCol w:w="146"/>
        <w:gridCol w:w="146"/>
        <w:gridCol w:w="211"/>
        <w:gridCol w:w="931"/>
        <w:gridCol w:w="193"/>
      </w:tblGrid>
      <w:tr>
        <w:trPr/>
        <w:tc>
          <w:tcPr>
            <w:tcW w:w="2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8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2022 (in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w:t>
              <w:br/>
              <w:t>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3" w:type="dxa"/>
            <w:tcBorders/>
            <w:shd w:fill="FFFFFF" w:val="clear"/>
            <w:vAlign w:val="center"/>
          </w:tcPr>
          <w:p>
            <w:pPr>
              <w:pStyle w:val="TableContents"/>
              <w:bidi w:val="0"/>
              <w:spacing w:before="0" w:after="283"/>
              <w:jc w:val="center"/>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 Secure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1,109,923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1,109,923</w:t>
            </w:r>
          </w:p>
        </w:tc>
        <w:tc>
          <w:tcPr>
            <w:tcW w:w="193" w:type="dxa"/>
            <w:tcBorders/>
            <w:shd w:fill="CFF0FC" w:val="cle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 Community-based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155,932</w:t>
            </w:r>
          </w:p>
        </w:tc>
        <w:tc>
          <w:tcPr>
            <w:tcW w:w="193"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 Youth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13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Only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522,021</w:t>
            </w:r>
          </w:p>
        </w:tc>
        <w:tc>
          <w:tcPr>
            <w:tcW w:w="193"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Services and Other Reentry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588,851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2,376,727</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4"/>
        <w:gridCol w:w="146"/>
        <w:gridCol w:w="211"/>
        <w:gridCol w:w="931"/>
        <w:gridCol w:w="146"/>
        <w:gridCol w:w="146"/>
        <w:gridCol w:w="377"/>
        <w:gridCol w:w="1395"/>
        <w:gridCol w:w="146"/>
        <w:gridCol w:w="146"/>
        <w:gridCol w:w="232"/>
        <w:gridCol w:w="860"/>
        <w:gridCol w:w="146"/>
        <w:gridCol w:w="146"/>
        <w:gridCol w:w="226"/>
        <w:gridCol w:w="840"/>
        <w:gridCol w:w="146"/>
        <w:gridCol w:w="146"/>
        <w:gridCol w:w="211"/>
        <w:gridCol w:w="931"/>
        <w:gridCol w:w="193"/>
      </w:tblGrid>
      <w:tr>
        <w:trPr/>
        <w:tc>
          <w:tcPr>
            <w:tcW w:w="2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8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2021 (in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Secure</w:t>
              <w:br/>
              <w:t> 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Electronic Monitoring and Supervision 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Reentry Services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3" w:type="dxa"/>
            <w:tcBorders/>
            <w:shd w:fill="FFFFFF" w:val="clear"/>
            <w:vAlign w:val="center"/>
          </w:tcPr>
          <w:p>
            <w:pPr>
              <w:pStyle w:val="TableContents"/>
              <w:bidi w:val="0"/>
              <w:spacing w:before="0" w:after="283"/>
              <w:jc w:val="center"/>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 Secure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1,127,688</w:t>
            </w:r>
          </w:p>
        </w:tc>
        <w:tc>
          <w:tcPr>
            <w:tcW w:w="193" w:type="dxa"/>
            <w:tcBorders/>
            <w:shd w:fill="CFF0FC" w:val="cle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 Community-based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150,888</w:t>
            </w:r>
          </w:p>
        </w:tc>
        <w:tc>
          <w:tcPr>
            <w:tcW w:w="193"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Owned and Leased - Youth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13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33,920</w:t>
            </w:r>
          </w:p>
        </w:tc>
        <w:tc>
          <w:tcPr>
            <w:tcW w:w="193" w:type="dxa"/>
            <w:tcBorders/>
            <w:shd w:fill="CFF0FC" w:val="cle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Only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579,074</w:t>
            </w:r>
          </w:p>
        </w:tc>
        <w:tc>
          <w:tcPr>
            <w:tcW w:w="193"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Services and Other Reentry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1,488,936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2,256,612</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Owned and Leased - Secure Services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GEO recognizes revenue for secure housing services where GEO owns or leases the facility as services are performed. GEO provides for the safe and secure housing and care of incarcerated individuals under public-private partnerships with federal, state and local government agencies. This includes providing 24-hour care and supervision, including but not limited to, such services as medical, transportation, food service, laundry services and various programming activities. These tasks are considered to be activities to fulfill the safe and secure housing performance obligation and are not considered to be individually separate promises in the contract. Each of these activities is highly interrelated and GEO performs a significant level of integration of these activities. GEO has identified these activities as a bundle of services and determined that each day of the promised service is distinct. The services provided are part of a series of distinct services that are substantially the same and are measured using the same measure of progress (time-based output method). GEO has determined that revenue for these services are recognized over time as its customers simultaneously receive and consume the benefits as the services are performed, which is on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continual daily basis, and GEO has a right to payment for performance completed to date. Time-based output methods of revenue recognition are considered to be a faithful depiction of GEO's efforts to fulfill its obligations under its contracts and therefore reflect the transfer of services to its customers. GEO's customers generally pay for these services based on a net rate per day per individual or on a fixed monthly rate.</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Owned and Leased - Community-based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GEO recognizes revenue for community-based reentry services where GEO owns or leases the facility in a manner similar to its secure services discussed above. GEO provides individuals nearing the end of their judicially imposed sentence with the resources necessary to productively transition back into society. Through its residential reentry centers, GEO provides federal and state parolees and probationers with temporary housing, rehabilitation, substance abuse counseling and vocational and educational programs. These activities are considered to be a bundle of services which are a part of a series of distinct services recognized over time based on the same criteria as discussed above for secure services revenues. GEO's customers also generally pay for these services based on a net rate per day per individual or on a fixed monthly rate.</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Owned and Leased - Youth Services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GEO recognized revenues for youth services where GEO owned or leased the facility in the same manner as discussed above for the housing, supervision, care and rehabilitation of troubled youth residents. The activities to house and care for troubled youth residents were also considered to be a bundle of services which are part of a series of distinct services recognized over time based on the same criteria discussed for the previous two revenue streams. GEO's customers generally paid for these services based on a net rate per day per individual. On July 1, 2021, the Company completed a divestiture of its youth division.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Managed Only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GEO recognizes revenue for its managed only contracts in the same manner as its Owned and Leased Secure Services and Owned and Leased Community-based contracts as discussed above. The primary exception is that GEO does not own or lease the facility. The facility is owned by the customer. In certain circumstances, GEO's customers may request that GEO make certain capital improvements to the facility or make other payments related to the facility. These payments are amortized as a reduction of revenues over the life of the contract. GEO's customers generally pay for these services based on a net rate per day per individual or a fixed monthly rate.</w:t>
      </w:r>
    </w:p>
    <w:p>
      <w:pPr>
        <w:pStyle w:val="TextBody"/>
        <w:bidi w:val="0"/>
        <w:spacing w:before="270" w:after="283"/>
        <w:jc w:val="left"/>
        <w:rPr>
          <w:rFonts w:ascii="Times New Roman" w:hAnsi="Times New Roman"/>
          <w:sz w:val="20"/>
        </w:rPr>
      </w:pPr>
      <w:r>
        <w:rPr>
          <w:rFonts w:ascii="Times New Roman" w:hAnsi="Times New Roman"/>
          <w:b/>
          <w:color w:val="000000"/>
          <w:sz w:val="20"/>
        </w:rPr>
        <w:t>Electronic Monitoring and Supervision Services and Other Reentry</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Electronic Monitoring and Supervision Services and Other Reentry revenue consist of the Company's contracts with federal and various state and local governments to provide location, alcohol and drug detecting electronic monitoring and case management services to individuals on an as needed or as requested basis. This category also includes the Company's day reporting centers.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 recognizes revenues for electronic monitoring and case management services as the services are performed. Services provided consist of community-based supervision (home visits), in-person reporting, telephonic reporting and GPS and other electronic monitoring as well as overall contract management services. The rates for the various services are considered to be stated at their individual stand-alone selling prices. GEO has determined that the services to be provided are recognized over time based on the unit of occurrence of the various services as its customer simultaneously receives and consumes the benefits as the services are performed and GEO has a right to payment for performance completed to date. Generally, these services are paid based on a net rate per occurrence and a monthly fee for management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Company's electronic monitoring contracts include providing monitoring equipment and related monitoring services activities (using internal proprietary software platforms) to its customers. These tasks are considered to be activities to fulfill the promise to provide electronic monitoring services to individuals and are not considered to be individually separate promises in the contract. In the context of the contract, the equipment and monitoring service is not considered to be capable of being distinct as the customer typically cannot benefit from the equipment or monitoring service on its own or with other readily available resources. Management has identified these activities as a bundle of services and determined that each day or unit of the promised service is distinct. These services are part of a series of distinct services that are substantially the same and are measured using the same measure of progress (time-based output method) and are therefore accounted for as a single performance obligation. GEO has determined that services are recognized over time as the customer simultaneously receives and consumes the benefits as the services are performed and GEO has a right to payment for performance completed to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Services provided for GEO's day reporting centers are similar to its Owned and Leased Community-based services discussed above with the exception of temporary housing.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carryforwards are expected to be recovered or settled. The effect on deferred tax assets and liabilities as a result of a change in tax rates is recognized as income in the period that includes the enactment date. Refer to Note 16 - Income Taxes. For years prior to 2021, the Company was taxed as a REIT and did not expect to pay federal income taxes at the REIT level (including its qualified REIT subsidiaries). However, our wholly owned taxable REIT subsidiaries were fully subject to federal, state and foreign income taxes, as applicable. While a REIT, the Company was required to distribute at least 90% of its REIT level taxable income to shareholders, and the resulting dividends paid deduction offset its REIT taxable income. Consequently, while a REIT, since the Company did not expect to pay taxes on its REIT taxable income, it was not able to recognize deferred tax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income taxes are determined based on the estimated future tax effects of differences between the financial statement and tax basis of assets and liabilities given the provisions of enacted tax laws. Significant judgments are required to determine the consolidated provision for income taxes. Deferred income tax provisions and benefits are based on changes to the assets or liabilities from year to year. Realization of the Company’s deferred tax assets is dependent upon many factors such as tax regulations applicable to the jurisdictions in which the Company operates, estimates of future taxable income and the character of such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Company must use judgment in addressing uncertainties in the application of complex tax laws and regulations. If actual circumstances differ from the Company’s assumptions, adjustments to the carrying value of deferred tax assets or liabilities may be required, which may result in an adverse impact on the results of its operations and its effective tax rate. Valuation allowances are recorded related to deferred tax assets based on the “more likely than not” criteria. The Company has not made any significant changes to the way it accounts for its deferred tax assets and liabilities in any year presented in the consolidated financial statements. Based on its estimate of future earnings and its favorable earnings history, the Company currently expects full realization of the deferred tax assets net of any recorded valuation allowances. Furthermore, tax positions taken by the Company may not be fully sustained upon examination by the taxing authorities. In determining the adequacy of our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Reserves for Insurance Losses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nature of the Company’s business exposes it to various types of third-party legal claims, including, but not limited to, civil rights claims relating to conditions of confinement and/or mistreatment, sexual misconduct claims brought by individuals within our care, medical malpractice claims,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electronic monitoring products, personnel or individuals within our care, including damages arising from the escape of an individual in the Company’s care or from a disturbance or riot at a facility. In addition, the Company’s management contracts generally require it to indemnify the governmental agency against any damages to which the governmental agency may be subject in connection with such claims or litigation. The Company maintains a broad program of insurance coverage for these general types of claims, except for claims relating to employment matters, for which the Company carries no insurance. There can be no assurance that the Company’s insurance coverage will be adequate to cover all claims to which it may be exposed. It is the Company’s general practice to bring merged or acquired companies into its corporate master policies in order to take advantage of certain economies of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 2021, GEO formed a wholly owned captive insurance subsidiary, Florina Insurance Company, Inc. (“Florina”), to enhance its risk financing strategies. Florina is incorporated in the state of Vermont and is licensed and regulated by the state of Vermont, including with respect to its insurance programs, levels of liquidity and other requirements. GEO began procuring insurance policies to cover deductibles for workers’ compensation, general liability, automobile liability, medical professional liability and directors' and officers’ liability as well as procuring insurance policies for excess liability and excess medical professional liability through Florina effective October 1, 2021. Florina holds cash and investments in order to meet solvency requirements and meet financial obligations as presented, including an investment portfolio of marketable fixed income and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currently maintains a general liability policy and excess liability policies with total limits of $75.0 million per occurrence and $95.0 million total general liability annual aggregate limits covering the operations of U.S. Secure Services, Reentry Services and Electronic Monitoring and Supervision Services. The Company has an occurrence based liability insurance program with a specific loss limit of $40.0 million per occurrence and in the aggregate related to medical professional liability claims arising out of correctional healthcare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uninsured for any claims in excess of these limits. We also maintain insurance to cover property and other casualty risks including, workers’ compensation, environmental liability, cybersecurity liability and automobile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most casualty insurance policies, the Company carries substantial deductibles or self-insured retentions of $4.0 million per occurrence for general liability and $5.0 million per occurrence for medical professional liability, $2.0 million per occurrence for workers’ compensation, $2.5 million per occurrence for directors' and officers’ liability and $1.0 million per occurrence for automobile liability. In addition, certain of the Company’s facilities located in Florida and other high-risk hurricane areas carry substantial windstorm deductibles.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and the Pacific Northwest may prevent the Company from insuring some of its facilities to full replacement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operations in South Africa and Australia, the Company utilizes a combination of locally procured insurance and global policies to meet contractual insurance requirements and protect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insurance policies discussed above, the Company’s most significant insurance reserves relate to workers’ compensation, general liability and auto claims. These reserves, which include Florina’s reserves and GEO’s legacy reserves and administrative costs for the plans, are undiscounted and were $65.6 million and $79.0 million as of December 31, 2023 and 2022, respectively, and are included in Accrued Expenses in the accompanying Consolidated Balance Sheets. The Company uses statistical and actuarial methods to estimate amounts for claims that have been reported but not paid and claims incurred but not reported. In applying these methods and assessing their results, the Company considers such factors as historical frequency and severity of claims at each of its facilities, claim development, payment patterns and changes in the nature of its business, among other factors. Such factors are analyzed for each of the Company’s business segments. The Company estimates may be impacted by such factors as increases in the market price for medical services and unpredictability of the size of jury awards. The Company also may experience variability between its estimates and the actual settlement due to limitations inherent in the estimation process, including its ability to estimate costs of processing and settling claims in a timely manner as well as its ability to accurately estimate the Company’s exposure at the onset of a claim. Because the Company has high deductible insurance policies, the amount of its insurance expense is dependent on its ability to control its claims experience. If actual losses related to insurance claims significantly differ from the Company’s estimates, its financial condition, results of operations and cash flows could be materially adversely impacted.</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Comprehensive Income (Loss)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Comprehensive income (loss) represents the change in shareholders’ equity from transactions and other events and circumstances arising from non-shareholder sources. The Company’s total comprehensive income is comprised of net income attributable to GEO, net income attributable to noncontrolling interests, foreign currency translation adjustments that arise from consolidating foreign operations that do not impact cash flows, net unrealized gains and/ or losses on derivative instruments, and pension liability adjustments in the consolidated statements of shareholders’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accumulated other comprehensive loss attributable to GEO included in the consolidated statement of shareholders' equity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3"/>
        <w:gridCol w:w="146"/>
        <w:gridCol w:w="218"/>
        <w:gridCol w:w="764"/>
        <w:gridCol w:w="166"/>
        <w:gridCol w:w="146"/>
        <w:gridCol w:w="270"/>
        <w:gridCol w:w="732"/>
        <w:gridCol w:w="166"/>
        <w:gridCol w:w="146"/>
        <w:gridCol w:w="594"/>
        <w:gridCol w:w="1359"/>
        <w:gridCol w:w="166"/>
        <w:gridCol w:w="146"/>
        <w:gridCol w:w="311"/>
        <w:gridCol w:w="710"/>
        <w:gridCol w:w="166"/>
        <w:gridCol w:w="146"/>
        <w:gridCol w:w="211"/>
        <w:gridCol w:w="736"/>
        <w:gridCol w:w="213"/>
      </w:tblGrid>
      <w:tr>
        <w:trPr/>
        <w:tc>
          <w:tcPr>
            <w:tcW w:w="2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br/>
              <w:t>attributable</w:t>
              <w:br/>
              <w:t>to The GEO</w:t>
              <w:br/>
              <w:t>Group, Inc.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 gain on</w:t>
              <w:br/>
              <w:t>derivatives,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Marketable Securities,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br/>
              <w:t>adjustments,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2023</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other comprehensive income (loss)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2023</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12"/>
        <w:gridCol w:w="146"/>
        <w:gridCol w:w="223"/>
        <w:gridCol w:w="781"/>
        <w:gridCol w:w="166"/>
        <w:gridCol w:w="146"/>
        <w:gridCol w:w="237"/>
        <w:gridCol w:w="709"/>
        <w:gridCol w:w="166"/>
        <w:gridCol w:w="146"/>
        <w:gridCol w:w="599"/>
        <w:gridCol w:w="1369"/>
        <w:gridCol w:w="166"/>
        <w:gridCol w:w="146"/>
        <w:gridCol w:w="255"/>
        <w:gridCol w:w="766"/>
        <w:gridCol w:w="166"/>
        <w:gridCol w:w="146"/>
        <w:gridCol w:w="211"/>
        <w:gridCol w:w="736"/>
        <w:gridCol w:w="213"/>
      </w:tblGrid>
      <w:tr>
        <w:trPr/>
        <w:tc>
          <w:tcPr>
            <w:tcW w:w="2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br/>
              <w:t>attributable</w:t>
              <w:br/>
              <w:t> to The GEO</w:t>
              <w:br/>
              <w:t>Group, Inc.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 on</w:t>
              <w:br/>
              <w:t>derivatives,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Marketable Securities,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br/>
              <w:t>adjustments,</w:t>
              <w:b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2022</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(20,216</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other comprehensive income (loss)</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2022</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reclassifications out of accumulated other comprehensive income (loss) during the years ended December 31, 2023 or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foreign currency translation adjustment, net of tax, related to noncontrolling interests was not significant for the years ended December 31, 2023 or 2022.</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Foreign Currency Translation</w:t>
      </w:r>
    </w:p>
    <w:p>
      <w:pPr>
        <w:pStyle w:val="TextBody"/>
        <w:bidi w:val="0"/>
        <w:spacing w:before="180" w:after="283"/>
        <w:jc w:val="left"/>
        <w:rPr>
          <w:rFonts w:ascii="Times New Roman" w:hAnsi="Times New Roman"/>
          <w:sz w:val="20"/>
        </w:rPr>
      </w:pPr>
      <w:r>
        <w:rPr>
          <w:rFonts w:ascii="Times New Roman" w:hAnsi="Times New Roman"/>
          <w:color w:val="000000"/>
          <w:sz w:val="20"/>
        </w:rPr>
        <w:t>The Company’s foreign operations use their local currencies as their functional currencies. Assets and liabilities of the operations are translated at the exchange rates in effect on the balance sheet date and shareholders’ equity is translated at historical rates. Income statement items are translated at the average exchange rates for the year. Any adjustment resulting from translating the financial statements of the foreign subsidia</w:t>
      </w:r>
      <w:r>
        <w:rPr>
          <w:rFonts w:ascii="Times New Roman" w:hAnsi="Times New Roman"/>
          <w:color w:val="252525"/>
          <w:sz w:val="20"/>
        </w:rPr>
        <w:t>ry is reflected as other comprehensive income, net of related tax. Gains and losses on foreign currency transactions are included in the statement of operations.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Derivatives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Company’s primary objective in holding derivatives is to reduce the volatility of earnings and cash flows associated with changes in interest rates. The Company measures its derivative financial instruments at fair value and records derivatives as either assets or liabilities on the balance sheet. For derivatives that are designed as and qualify as effective cash flow hedges, the portion of gain or loss on the derivative instrument effective at offsetting changes in the hedged item is reported as a component of accumulated other comprehensive income and reclassified into earnings when the hedged transaction affects earnings. For derivative instruments that are designated as and qualify as effective fair value hedges, the gain or loss on the derivative instruments as well as the offsetting gain or loss on the hedged items attributable to the hedged risk is recognized in current earnings as interest income (expense) during the period of the change in fair values. For derivative instruments that do not meet the requirements for hedge accounting, changes in fair value are recorded in earnings. Derivative instruments are classified in the same category as cash flows from the items being hedged and any related gains and losses are reported as financing activities in the Consolidated Statement of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formally documents all relationships between hedging instruments and hedge items, as well as its risk-management objective and strategy for undertaking various hedge transactions. This process includes attributing all derivatives that are designated as cash flow hedges to floating rate liabilities and attributing all derivatives that are designated as fair value hedges to fixed rate liabilities. The Company also assesses whether each derivative is highly effective in offsetting changes in the cash flows of the hedged item. Fluctuations in the value of the derivative instruments are generally offset by changes in the hedged item; however, if it is determined that a derivative is not highly effective as a hedge or if a derivative ceases to be a highly effective hedge, the Company will discontinue hedge accounting prospectively for the affected derivative.</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recognizes the cost of stock-based compensation awards based upon the grant date fair value of those awards. The impact of forfeitures that may occur prior to vesting is also estimated and considered in the amount recognized. Stock-based compensation expense is recognized ratably over the requisite service period, which is typically the vesting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stock-based option awards was estimated using the Black-Scholes option-pricing model with the following weighted average assumptions for options awarded during years 2023, 2022 and 2021:</w:t>
      </w:r>
    </w:p>
    <w:p>
      <w:pPr>
        <w:pStyle w:val="TextBody"/>
        <w:bidi w:val="0"/>
        <w:jc w:val="left"/>
        <w:rPr/>
      </w:pPr>
      <w:r>
        <w:rPr/>
        <w:t> </w:t>
      </w:r>
    </w:p>
    <w:tbl>
      <w:tblPr>
        <w:tblW w:w="6097" w:type="dxa"/>
        <w:jc w:val="left"/>
        <w:tblInd w:w="0" w:type="dxa"/>
        <w:tblLayout w:type="fixed"/>
        <w:tblCellMar>
          <w:top w:w="28" w:type="dxa"/>
          <w:left w:w="28" w:type="dxa"/>
          <w:bottom w:w="28" w:type="dxa"/>
          <w:right w:w="28" w:type="dxa"/>
        </w:tblCellMar>
      </w:tblPr>
      <w:tblGrid>
        <w:gridCol w:w="2281"/>
        <w:gridCol w:w="146"/>
        <w:gridCol w:w="200"/>
        <w:gridCol w:w="640"/>
        <w:gridCol w:w="271"/>
        <w:gridCol w:w="146"/>
        <w:gridCol w:w="200"/>
        <w:gridCol w:w="640"/>
        <w:gridCol w:w="271"/>
        <w:gridCol w:w="146"/>
        <w:gridCol w:w="171"/>
        <w:gridCol w:w="669"/>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 years</w:t>
            </w:r>
          </w:p>
        </w:tc>
        <w:tc>
          <w:tcPr>
            <w:tcW w:w="316" w:type="dxa"/>
            <w:tcBorders/>
            <w:shd w:fill="FFFFFF" w:val="clear"/>
            <w:vAlign w:val="center"/>
          </w:tcPr>
          <w:p>
            <w:pPr>
              <w:pStyle w:val="TableContents"/>
              <w:bidi w:val="0"/>
              <w:spacing w:before="0" w:after="283"/>
              <w:jc w:val="righ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 [1]</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As previously discussed, the Board elected to terminate the Company’s REIT election and discontinue its quarterly dividend. The assumptions above were used to determine the fair value of stock-based option awards granted prior to the Board’s suspension and discontinuation of quarterly 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uses historical data to estimate award exercises and employee terminations/forfeitures within the valuation model. The expected term of the awards represents the period of time that awards granted are expected to be outstanding and is based on historical data and expected holding periods. The maximum contractual term of stock-based option awards is ten years. The Company issues shares of its common stock upon the exercise of stock-based option awards out of its reserve established for its Amended and Restated 2018 Stock Option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restricted stock share-based awards that contain a performance condition, the achievement of the targets must be probable before any share-based compensation is recorded. If subsequent to the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restricted stock share-based awards that contain a market condition, the probability of satisfying the market condition is considered in the estimate of grant-date fair value and previously recorded compensation expense is not reversed if the market condition is never met. The fair value of restricted stock awards granted in 2023, 2022 and 2021 with market-based performance conditions was determined based on a Monte Carlo simulation, which calculates a range of possible outcomes and the probabilities that they will occur, using the following average key assumptions:</w:t>
      </w:r>
    </w:p>
    <w:p>
      <w:pPr>
        <w:pStyle w:val="TextBody"/>
        <w:bidi w:val="0"/>
        <w:jc w:val="left"/>
        <w:rPr/>
      </w:pPr>
      <w:r>
        <w:rPr/>
        <w:t> </w:t>
      </w:r>
    </w:p>
    <w:tbl>
      <w:tblPr>
        <w:tblW w:w="4963" w:type="dxa"/>
        <w:jc w:val="left"/>
        <w:tblInd w:w="0" w:type="dxa"/>
        <w:tblLayout w:type="fixed"/>
        <w:tblCellMar>
          <w:top w:w="28" w:type="dxa"/>
          <w:left w:w="28" w:type="dxa"/>
          <w:bottom w:w="28" w:type="dxa"/>
          <w:right w:w="28" w:type="dxa"/>
        </w:tblCellMar>
      </w:tblPr>
      <w:tblGrid>
        <w:gridCol w:w="1831"/>
        <w:gridCol w:w="146"/>
        <w:gridCol w:w="146"/>
        <w:gridCol w:w="466"/>
        <w:gridCol w:w="271"/>
        <w:gridCol w:w="146"/>
        <w:gridCol w:w="146"/>
        <w:gridCol w:w="466"/>
        <w:gridCol w:w="271"/>
        <w:gridCol w:w="146"/>
        <w:gridCol w:w="146"/>
        <w:gridCol w:w="466"/>
        <w:gridCol w:w="3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316"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Earnings Per Share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Basic earnings per share of common stock is computed by dividing the net income attributable to The GEO Group, Inc. available to common stockholders by the weighted-average number of common shares outstanding for the period. Net income attributable to The GEO Group, Inc. available to common stockholders represents net income attributable to The GEO Group, Inc. reduced by an allocation of earnings to participating securities. The 6.50% Exchangeable Notes due 2026, which contain non-forfeitable rights to dividends declared and paid on the shares of common stock, are participating securities and are included in the computation of earnings per share pursuant to the two-class method. Diluted EPS is calculated under the if-converted method and the two-class method for each class of shareholders using the weighted average number of shares attributable to each class. The calculation that results in the lowest diluted earnings per share amount for common stock is reported in the Company’s financial statements.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following accounting standard will be adopted in future periods: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2023, the FASB issued ASU No. 2023-07, Improvements to Reportable Segment Disclosures (Topic 280). This ASU updates reportable segment disclosure requirements by requiring disclosures of significant reportable segment expenses that are regularly provided to the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retrospectively to all prior periods presented in the financial statements. Early adoption is also permitted. This ASU will likely result in the Company including the additional required disclosures when adopted. The Company is currently evaluating the provisions of this ASU and expect to adopt them for the year ending December 31, 2024.</w:t>
      </w:r>
    </w:p>
    <w:p>
      <w:pPr>
        <w:pStyle w:val="TextBody"/>
        <w:bidi w:val="0"/>
        <w:jc w:val="left"/>
        <w:rPr>
          <w:rFonts w:ascii="Times New Roman" w:hAnsi="Times New Roman"/>
          <w:color w:val="000000"/>
          <w:sz w:val="20"/>
        </w:rPr>
      </w:pPr>
      <w:r>
        <w:rPr>
          <w:rFonts w:ascii="Times New Roman" w:hAnsi="Times New Roman"/>
          <w:color w:val="000000"/>
          <w:sz w:val="20"/>
        </w:rPr>
        <w:t>In December 2023, the FASB issued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Company's consolidated financial statements, once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recent accounting pronouncements issued by the FASB (including its Emerging Issues Task Force), the American Institute of Certified Public Accountants and the SEC did not, or are not expected to, have a material effect on the Company's results of operations or financial position.</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Shareholders’ Equity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Each holder of the Company’s common stock is entitled to one vote per share on all matters to be voted upon by the Company’s shareholders. Upon any liquidation, dissolution or winding up of the Company, the holders of common stock are entitled to share equally in all assets available for distribution after payment of all liabilities, subject to the liquidation preference of shares of preferred stock, if any, then outstanding.</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previously discussed, on December 2, 2021, the Company announced that its Board unanimously approved a plan to terminate the Company's REIT status and become a taxable C Corporation, effective for the year ended December 31, 2021. As a result, the Company is no longer required to operate under REIT rules, including the requirement to distribute at least 90% of its taxable income to its stockholders. The Board also voted unanimously to discontinue the Company's quarterly dividend.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April 1994, the Company’s Board authorized 30 million shares of “blank check” preferred stock. The Board is authorized to determine the rights and privileges of any future issuance of preferred stock such as voting and dividend rights, liquidation privileges, redemption rights and conversion privileges. As of December 31, 2023 and 2022, there were no shares of preferred stock outstanding.</w:t>
      </w:r>
    </w:p>
    <w:p>
      <w:pPr>
        <w:pStyle w:val="TextBody"/>
        <w:bidi w:val="0"/>
        <w:spacing w:before="90" w:after="160"/>
        <w:jc w:val="left"/>
        <w:rPr>
          <w:rFonts w:ascii="Times New Roman" w:hAnsi="Times New Roman"/>
          <w:b/>
          <w:i/>
          <w:color w:val="000000"/>
          <w:sz w:val="20"/>
        </w:rPr>
      </w:pPr>
      <w:r>
        <w:rPr>
          <w:rFonts w:ascii="Times New Roman" w:hAnsi="Times New Roman"/>
          <w:b/>
          <w:i/>
          <w:color w:val="000000"/>
          <w:sz w:val="20"/>
        </w:rPr>
        <w:t>Automatic Shelf Registration on Form S-3</w:t>
      </w:r>
    </w:p>
    <w:p>
      <w:pPr>
        <w:pStyle w:val="TextBody"/>
        <w:bidi w:val="0"/>
        <w:jc w:val="left"/>
        <w:rPr>
          <w:rFonts w:ascii="Times New Roman" w:hAnsi="Times New Roman"/>
          <w:color w:val="000000"/>
          <w:sz w:val="20"/>
        </w:rPr>
      </w:pPr>
      <w:r>
        <w:rPr>
          <w:rFonts w:ascii="Times New Roman" w:hAnsi="Times New Roman"/>
          <w:color w:val="000000"/>
          <w:sz w:val="20"/>
        </w:rPr>
        <w:t>On October 30, 2023, the Company filed an automatic shelf registration statement on Form S-3 with the Securities and Exchange Commission (the “SEC”) that enables the Company to offer for sale, from time to time and as the capital markets permit, an unspecified amount of common stock, preferred stock, debt securities, guarantees of debt securities, warrants and units. The shelf registration statement became automatically effective upon filing and is valid for three years.</w:t>
      </w:r>
    </w:p>
    <w:p>
      <w:pPr>
        <w:pStyle w:val="TextBody"/>
        <w:bidi w:val="0"/>
        <w:jc w:val="left"/>
        <w:rPr>
          <w:rFonts w:ascii="Times New Roman" w:hAnsi="Times New Roman"/>
          <w:b/>
          <w:i/>
          <w:color w:val="000000"/>
          <w:sz w:val="20"/>
        </w:rPr>
      </w:pPr>
      <w:r>
        <w:rPr>
          <w:rFonts w:ascii="Times New Roman" w:hAnsi="Times New Roman"/>
          <w:b/>
          <w:i/>
          <w:color w:val="000000"/>
          <w:sz w:val="20"/>
        </w:rPr>
        <w:t>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28, 2023, in connection with the shelf registration, the Company filed with the SEC a prospectus supplement related to the offer and sale from time to time of our common stock at an aggregate offering price of up to $300 million through sales agents. Sales of shares of GEO's 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year ended December 31, 2023.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Noncontrolling Interests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includes the results of operations and financial position of SACM or the “joint venture”, its majority-owned subsidiary, in its consolidated financial statements. SACM was established in 2001 to operate correctional centers in South Africa. The joint venture currently provides security and other management services for the Kutama Sinthumule Correctional Centre in the Republic of South Africa under a 25-year management contract which commenced in February 2002. The Company’s and the joint venture partner’s shares in the profits of the joint venture are 88.75% and 11.25%, respectively. There were no changes in the Company’s ownership percentage of the consolidated subsidiary during the years ended December 31, 2023, 2022 and 2021.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Board has adopted The GEO Group, Inc. Amended and Restated 2018 Stock Incentive Plan (the "2018 Amended and Restated Plan"), which was approved by the Company's shareholders on April 28, 2021. The 2018 Amended and Restated Plan supersedes the previous 2018 Stock Incentive Plan. As of the date the 2018 Amended and Restated Plan was approved by the Company’s shareholders, it provided for a reserve of an additional 16,800,000 shares of common stock that may be issued pursuant to awards granted under the 2018 Amended and Restated Plan. The Company filed a Form S-8 registration statement related to the 2018 Amended and Restated Plan on June 15,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2018 Amended and Restated Plan, the vesting period and, in the case of stock options, the exercise price per share, are determined by the terms of each grant agreement. All stock options that have been granted under the Company plans are exercisable at the fair market value of the common stock at the date of the grant. Generally, the stock options vest and become exercisable ratably over a four-year period. All stock options awarded under the 2018 Amended and Restated Plan expire no later than ten years after the date of the grant. When options are exercised, the Company issues shares of common stock related to the exercised options.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compensation expense related to the Company plan for the years ended December 31, 2023, 2022 and 2021 as follows (in thousands):</w:t>
      </w:r>
    </w:p>
    <w:p>
      <w:pPr>
        <w:pStyle w:val="TextBody"/>
        <w:bidi w:val="0"/>
        <w:jc w:val="left"/>
        <w:rPr/>
      </w:pPr>
      <w:r>
        <w:rPr/>
        <w:t> </w:t>
      </w:r>
    </w:p>
    <w:tbl>
      <w:tblPr>
        <w:tblW w:w="5863" w:type="dxa"/>
        <w:jc w:val="left"/>
        <w:tblInd w:w="0" w:type="dxa"/>
        <w:tblLayout w:type="fixed"/>
        <w:tblCellMar>
          <w:top w:w="28" w:type="dxa"/>
          <w:left w:w="28" w:type="dxa"/>
          <w:bottom w:w="28" w:type="dxa"/>
          <w:right w:w="28" w:type="dxa"/>
        </w:tblCellMar>
      </w:tblPr>
      <w:tblGrid>
        <w:gridCol w:w="2281"/>
        <w:gridCol w:w="146"/>
        <w:gridCol w:w="211"/>
        <w:gridCol w:w="676"/>
        <w:gridCol w:w="146"/>
        <w:gridCol w:w="146"/>
        <w:gridCol w:w="211"/>
        <w:gridCol w:w="676"/>
        <w:gridCol w:w="146"/>
        <w:gridCol w:w="146"/>
        <w:gridCol w:w="211"/>
        <w:gridCol w:w="67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plan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summary of the activity of the Company’s stock options is presented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98"/>
        <w:gridCol w:w="146"/>
        <w:gridCol w:w="230"/>
        <w:gridCol w:w="903"/>
        <w:gridCol w:w="166"/>
        <w:gridCol w:w="146"/>
        <w:gridCol w:w="229"/>
        <w:gridCol w:w="624"/>
        <w:gridCol w:w="146"/>
        <w:gridCol w:w="146"/>
        <w:gridCol w:w="249"/>
        <w:gridCol w:w="799"/>
        <w:gridCol w:w="146"/>
        <w:gridCol w:w="146"/>
        <w:gridCol w:w="305"/>
        <w:gridCol w:w="829"/>
        <w:gridCol w:w="197"/>
      </w:tblGrid>
      <w:tr>
        <w:trPr/>
        <w:tc>
          <w:tcPr>
            <w:tcW w:w="4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7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7" w:type="dxa"/>
            <w:tcBorders/>
            <w:shd w:fill="FFFFFF" w:val="clear"/>
            <w:vAlign w:val="center"/>
          </w:tcPr>
          <w:p>
            <w:pPr>
              <w:pStyle w:val="TableContents"/>
              <w:bidi w:val="0"/>
              <w:spacing w:before="0" w:after="283"/>
              <w:jc w:val="center"/>
              <w:rPr/>
            </w:pPr>
            <w:r>
              <w:rPr/>
              <w:t> </w:t>
            </w:r>
          </w:p>
        </w:tc>
      </w:tr>
      <w:tr>
        <w:trPr/>
        <w:tc>
          <w:tcPr>
            <w:tcW w:w="47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January 1, 2023</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97" w:type="dxa"/>
            <w:tcBorders/>
            <w:shd w:fill="CFF0FC" w:val="clear"/>
            <w:vAlign w:val="center"/>
          </w:tcPr>
          <w:p>
            <w:pPr>
              <w:pStyle w:val="TableContents"/>
              <w:bidi w:val="0"/>
              <w:spacing w:before="0" w:after="283"/>
              <w:jc w:val="left"/>
              <w:rPr/>
            </w:pPr>
            <w:r>
              <w:rPr/>
              <w:t> </w:t>
            </w:r>
          </w:p>
        </w:tc>
      </w:tr>
      <w:tr>
        <w:trPr/>
        <w:tc>
          <w:tcPr>
            <w:tcW w:w="47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4"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r>
      <w:tr>
        <w:trPr/>
        <w:tc>
          <w:tcPr>
            <w:tcW w:w="47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34"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r>
      <w:tr>
        <w:trPr/>
        <w:tc>
          <w:tcPr>
            <w:tcW w:w="47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4"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r>
      <w:tr>
        <w:trPr/>
        <w:tc>
          <w:tcPr>
            <w:tcW w:w="47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2023</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97" w:type="dxa"/>
            <w:tcBorders/>
            <w:shd w:fill="CFF0FC" w:val="clear"/>
            <w:vAlign w:val="center"/>
          </w:tcPr>
          <w:p>
            <w:pPr>
              <w:pStyle w:val="TableContents"/>
              <w:bidi w:val="0"/>
              <w:spacing w:before="0" w:after="283"/>
              <w:jc w:val="left"/>
              <w:rPr/>
            </w:pPr>
            <w:r>
              <w:rPr/>
              <w:t> </w:t>
            </w:r>
          </w:p>
        </w:tc>
      </w:tr>
      <w:tr>
        <w:trPr/>
        <w:tc>
          <w:tcPr>
            <w:tcW w:w="47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December 31, 2023</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97" w:type="dxa"/>
            <w:tcBorders/>
            <w:shd w:fill="FFFFFF" w:val="clear"/>
            <w:vAlign w:val="center"/>
          </w:tcPr>
          <w:p>
            <w:pPr>
              <w:pStyle w:val="TableContents"/>
              <w:bidi w:val="0"/>
              <w:spacing w:before="0" w:after="283"/>
              <w:jc w:val="left"/>
              <w:rPr/>
            </w:pPr>
            <w:r>
              <w:rPr/>
              <w:t> </w:t>
            </w:r>
          </w:p>
        </w:tc>
      </w:tr>
      <w:tr>
        <w:trPr/>
        <w:tc>
          <w:tcPr>
            <w:tcW w:w="47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2023</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97"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intrinsic value in the table above represents the total pretax intrinsic value (i.e., the difference between the Company’s closing stock price on the last trading day of 2023 and the exercise price, times the number of shares that are “in the money”) that would have been received by the option holders had all option holders exercised their options on December 31, 2023. This amount changes based on the fair value of the Company’s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information relative to stock option activity during the years ended December 31, 2023, 2022 and 2021 (in thousands):</w:t>
      </w:r>
    </w:p>
    <w:p>
      <w:pPr>
        <w:pStyle w:val="TextBody"/>
        <w:bidi w:val="0"/>
        <w:jc w:val="left"/>
        <w:rPr/>
      </w:pPr>
      <w:r>
        <w:rPr/>
        <w:t> </w:t>
      </w:r>
    </w:p>
    <w:tbl>
      <w:tblPr>
        <w:tblW w:w="5788" w:type="dxa"/>
        <w:jc w:val="left"/>
        <w:tblInd w:w="0" w:type="dxa"/>
        <w:tblLayout w:type="fixed"/>
        <w:tblCellMar>
          <w:top w:w="28" w:type="dxa"/>
          <w:left w:w="28" w:type="dxa"/>
          <w:bottom w:w="28" w:type="dxa"/>
          <w:right w:w="28" w:type="dxa"/>
        </w:tblCellMar>
      </w:tblPr>
      <w:tblGrid>
        <w:gridCol w:w="2971"/>
        <w:gridCol w:w="146"/>
        <w:gridCol w:w="211"/>
        <w:gridCol w:w="421"/>
        <w:gridCol w:w="146"/>
        <w:gridCol w:w="146"/>
        <w:gridCol w:w="211"/>
        <w:gridCol w:w="421"/>
        <w:gridCol w:w="146"/>
        <w:gridCol w:w="146"/>
        <w:gridCol w:w="211"/>
        <w:gridCol w:w="42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Intrinsic value of options exercised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shares vested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information about the exercise prices and related information of stock options outstanding under the Company plans at December 31, 2023:</w:t>
      </w:r>
    </w:p>
    <w:p>
      <w:pPr>
        <w:pStyle w:val="TextBody"/>
        <w:bidi w:val="0"/>
        <w:jc w:val="left"/>
        <w:rPr/>
      </w:pPr>
      <w:r>
        <w:rPr/>
        <w:t> </w:t>
      </w:r>
    </w:p>
    <w:tbl>
      <w:tblPr>
        <w:tblW w:w="9016" w:type="dxa"/>
        <w:jc w:val="left"/>
        <w:tblInd w:w="0" w:type="dxa"/>
        <w:tblLayout w:type="fixed"/>
        <w:tblCellMar>
          <w:top w:w="28" w:type="dxa"/>
          <w:left w:w="28" w:type="dxa"/>
          <w:bottom w:w="28" w:type="dxa"/>
          <w:right w:w="28" w:type="dxa"/>
        </w:tblCellMar>
      </w:tblPr>
      <w:tblGrid>
        <w:gridCol w:w="1456"/>
        <w:gridCol w:w="146"/>
        <w:gridCol w:w="231"/>
        <w:gridCol w:w="909"/>
        <w:gridCol w:w="146"/>
        <w:gridCol w:w="146"/>
        <w:gridCol w:w="236"/>
        <w:gridCol w:w="755"/>
        <w:gridCol w:w="146"/>
        <w:gridCol w:w="146"/>
        <w:gridCol w:w="230"/>
        <w:gridCol w:w="625"/>
        <w:gridCol w:w="146"/>
        <w:gridCol w:w="146"/>
        <w:gridCol w:w="189"/>
        <w:gridCol w:w="742"/>
        <w:gridCol w:w="146"/>
        <w:gridCol w:w="146"/>
        <w:gridCol w:w="236"/>
        <w:gridCol w:w="755"/>
        <w:gridCol w:w="146"/>
        <w:gridCol w:w="146"/>
        <w:gridCol w:w="230"/>
        <w:gridCol w:w="625"/>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Exercisable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Exercise Prices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0-18.23</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91" w:type="dxa"/>
            <w:tcBorders/>
            <w:shd w:fill="CFF0FC"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18.24-22.26</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22.27-29.39</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91" w:type="dxa"/>
            <w:tcBorders/>
            <w:shd w:fill="CFF0FC"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29.40-45.00</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grant date fair value of options granted during the year ended December 31, 2023, 2022 and 2021 was $4.53, $2.49 and $0.79 per share, respectively. There were 0.4 million, 0.3 million and 0.5 million options granted during the year ended December 31, 2023, 2022 and 2021,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status of non-vested stock options as of December 31, 2023 and changes during the year ended December 31, 2023:</w:t>
      </w:r>
    </w:p>
    <w:p>
      <w:pPr>
        <w:pStyle w:val="TextBody"/>
        <w:bidi w:val="0"/>
        <w:jc w:val="left"/>
        <w:rPr/>
      </w:pPr>
      <w:r>
        <w:rPr/>
        <w:t> </w:t>
      </w:r>
    </w:p>
    <w:tbl>
      <w:tblPr>
        <w:tblW w:w="6935" w:type="dxa"/>
        <w:jc w:val="left"/>
        <w:tblInd w:w="0" w:type="dxa"/>
        <w:tblLayout w:type="fixed"/>
        <w:tblCellMar>
          <w:top w:w="28" w:type="dxa"/>
          <w:left w:w="28" w:type="dxa"/>
          <w:bottom w:w="28" w:type="dxa"/>
          <w:right w:w="28" w:type="dxa"/>
        </w:tblCellMar>
      </w:tblPr>
      <w:tblGrid>
        <w:gridCol w:w="3526"/>
        <w:gridCol w:w="146"/>
        <w:gridCol w:w="326"/>
        <w:gridCol w:w="1084"/>
        <w:gridCol w:w="166"/>
        <w:gridCol w:w="146"/>
        <w:gridCol w:w="364"/>
        <w:gridCol w:w="98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 Grant</w:t>
              <w:b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non-vested at January 1, 2023</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10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91"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91"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10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1"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91"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non-vested at December 31, 2023</w:t>
            </w:r>
          </w:p>
        </w:tc>
        <w:tc>
          <w:tcPr>
            <w:tcW w:w="146" w:type="dxa"/>
            <w:tcBorders/>
            <w:shd w:fill="CFF0FC" w:val="cle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Company had $1.5 million of unrecognized compensation costs related to non-vested stock option awards that are expected to be recognized over a weighted average period of 2.9 years.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Restricted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year ended December 31, 2023, the Company granted 1,758,455 shares of restricted stock to certain employees and executive officers. Of these awards, 422,121 are market and performance-based awards that will be forfeited if the Company does not achieve certain annual metrics during 2023, 2024 and 2025. The fair value of restricted stock awards, which do not contain a market-based condition, is determined using the closing price of the Company’s common stock on the date of the grant and compensation expense is recognized over the vesting period. Generally, the restricted stock awards vest in equal increments over either a three or four-year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vesting of market and performance-based restricted stock grants awarded in 2023 are subject to the achievement by GEO of two annual performance metrics as follows: (i) up to 50% of the shares of restricted stock ("TSR Target Award") can vest at the end of a three-year performance period if GEO meets certain total shareholder return ("TSR") performance targets, as compared to the total shareholder return of a peer group of companies, over a three year period from January 1, 2023 to December 31, 2025 and (ii) up to 50% of the shares of restricted stock ("ROCE Target Award") can vest at the end of a three-year period if GEO meets certain return on capital employed ("ROCE") performance targets over a three year period from January 1, 2023 to December 31, 2025. These market and performance awards can vest at between 0% and 200% of the target awards for both metrics. The number of shares shown for the market and performance-based awards is based on the target awards for both metrics.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2022, the Company granted 1,835,592 shares of restricted stock to certain employees and executive officers. Of these awards, 1,025,000 are market and performance-based awards that will be forfeited if the Company does not achieve certain annual metrics over a three-year period from January 1, 2022 to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vesting of the market and performance-based restricted stock grants awarded in 2022 are subject to the achievement by GEO of two annual performance metrics as follows: (i) up to 50% of the TSR Target Award can vest at the end of a three-year performance period if GEO meets certain TSR performance targets, as compared to the total shareholder return of a peer group of companies, over a three year period from January 1, 2022 to December 31, 2024; and (ii) up to 50% of the ROCE Target Award can vest at the end of a three-year performance period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 meets certain ROCE performance targets over a three year period from January 1, 2022 to December 31, 2024. These market and performance-based awards can vest at between 0% and 200% of the target awards for both metrics. The number of shares shown for the market and performance-based awards is based on the target awards for both metrics.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2021, the Company granted approximately 1,551,000 shares of restricted stock to its executive officers and to certain senior employees. Of these awards, 919,000 are market and performance-based awards that will be forfeited if the Company does not achieve certain annual metrics over a three-year period from January 1, 2021 to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vesting of the market and performance-based restricted stock grants awarded in 2021 are subject to the achievement by GEO of two annual performance metrics as follows: (i) up to 50% of the TSR Target Award can vest at the end of a three-year performance period if GEO meets certain TSR performance targets, as compared to the total shareholder return of a peer group of companies, over a three year period from January 1, 2021 to December 31, 2023; and (ii) up to 50% of the ROCE Target Award can vest at the end of a three-year period if GEO meets certain ROCE performance targets over a three year period from January 1, 2021 to December 31, 2023. Certain of these performance-based restricted stock grants can vest over a one-year period if GEO meets certain performance targets, as mentioned above, over a three-year period from January 1, 2021 to December 31, 2023. These market and performance-based awards can vest at the end of the three-year performance period at between 0% and 200% of the target awards for both metrics. The number of shares shown for the performance-based awards is based on the target awards for both metrics.</w:t>
      </w:r>
    </w:p>
    <w:p>
      <w:pPr>
        <w:pStyle w:val="TextBody"/>
        <w:bidi w:val="0"/>
        <w:spacing w:before="240" w:after="283"/>
        <w:jc w:val="left"/>
        <w:rPr>
          <w:rFonts w:ascii="Times New Roman" w:hAnsi="Times New Roman"/>
          <w:sz w:val="20"/>
        </w:rPr>
      </w:pPr>
      <w:r>
        <w:rPr>
          <w:rFonts w:ascii="Times New Roman" w:hAnsi="Times New Roman"/>
          <w:color w:val="000000"/>
          <w:sz w:val="20"/>
        </w:rPr>
        <w:t>The metric related to TSR is considered to be a market condition. For share-based awards that contain a market condition, the probability of satisfying the market condition must be considered in the estimate of grant-date fair value. Compensation expense is recognized over the vesting period and previously recorded compensation expense is not reversed if the market condition is never met. Refer to Note 1 - Summary of Business Organization, Operations and Significant Accounting Policies-</w:t>
      </w:r>
      <w:r>
        <w:rPr>
          <w:rFonts w:ascii="Times New Roman" w:hAnsi="Times New Roman"/>
          <w:b/>
          <w:i/>
          <w:color w:val="000000"/>
          <w:sz w:val="20"/>
        </w:rPr>
        <w:t>Stock-Based Compensation Expense,</w:t>
      </w:r>
      <w:r>
        <w:rPr>
          <w:rFonts w:ascii="Times New Roman" w:hAnsi="Times New Roman"/>
          <w:color w:val="000000"/>
          <w:sz w:val="20"/>
        </w:rPr>
        <w:t xml:space="preserve"> for the assumptions and method used to value these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metric related to ROCE is considered to be a performance condition. For share-based awards that contain a performance condition, the achievement of the targets must be probable before any share-based compensation expense is recorded. The Company reviews the likelihood of which target in the range will be achieved and if deemed probable, compensation expense is recorded at that time. If subsequent to the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 During 2023, 2022 and 2021, the Company deemed the achievement of the target award to be probable and there were no significant changes in the estimated quantity of awards expected to vest. The fair value of these awards was determined based on the closing price of the Company's common stock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status of restricted stock awards as of December 31, 2023 and changes during the year ended December 31, 2023:</w:t>
      </w:r>
    </w:p>
    <w:p>
      <w:pPr>
        <w:pStyle w:val="TextBody"/>
        <w:bidi w:val="0"/>
        <w:jc w:val="left"/>
        <w:rPr/>
      </w:pPr>
      <w:r>
        <w:rPr/>
        <w:t> </w:t>
      </w:r>
    </w:p>
    <w:tbl>
      <w:tblPr>
        <w:tblW w:w="6995" w:type="dxa"/>
        <w:jc w:val="left"/>
        <w:tblInd w:w="0" w:type="dxa"/>
        <w:tblLayout w:type="fixed"/>
        <w:tblCellMar>
          <w:top w:w="28" w:type="dxa"/>
          <w:left w:w="28" w:type="dxa"/>
          <w:bottom w:w="28" w:type="dxa"/>
          <w:right w:w="28" w:type="dxa"/>
        </w:tblCellMar>
      </w:tblPr>
      <w:tblGrid>
        <w:gridCol w:w="4261"/>
        <w:gridCol w:w="146"/>
        <w:gridCol w:w="214"/>
        <w:gridCol w:w="926"/>
        <w:gridCol w:w="166"/>
        <w:gridCol w:w="146"/>
        <w:gridCol w:w="255"/>
        <w:gridCol w:w="690"/>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Wtd. Avg.</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outstanding at January 1, 2023</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outstanding at December 31, 2023</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Company had $16.4 million of unrecognized compensation cost that is expected to be recognized over a weighted average period of 2.4 years.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previously adopted The GEO Group, Inc. 2011 Employee Stock Purchase Plan (the “Plan" or "ESPP”) effective July 9, 2011. The Company has since amended and restated the Plan (the “Amended ESPP”) which was approved by the Company’s shareholders on April 28, 2021, and became effective on July 9, 2021. The purpose of the Amended ESPP, which is qualified under Section 423 of the Code, is to encourage stock ownership through payroll deductions by the employees of GEO and designated subsidiaries of GEO in order to increase their identification with the Company’s goals and secure a proprietary interest in the Company’s success. These deductions are used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purchase shares of the Company’s Common Stock at a 5% discount from the then current market price. The maximum number of shares of common stock reserved for issuance over the term of the Amended ESPP on the amended effective date shall not exceed 506,023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ESPP is considered to be non-compensatory. As such, there is no compensation expense required to be recognized. Share purchases under the Amended ESPP are made on the last day of each month. During the years ended December 31, 2023, 2022 and 2021, 20,630, 25,573 and 42,627 shares of common stock, respectively, were issued in connection with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Basic earnings per share of common stock is computed by dividing the net income attributable to The GEO Group, Inc. available to common stockholders by the weighted-average number of common shares outstanding for the period. Net income attributable to The GEO Group, Inc. available to common stockholders represents net income attributable to The GEO Group, Inc. reduced by an allocation of earnings to participating securities. The 6.50% Exchangeable Notes due 2026, which contain non-forfeitable rights to dividends declared and paid on the shares of common stock, are participating securities and are included in the computation of earnings per share pursuant to the two-class method. Diluted EPS is calculated under the if-converted method and the two-class method for each class of shareholders using the weighted average number of shares attributable to each class. The calculation that results in the lowest diluted earnings per share amount for common stock is reported in the Company’s financial statements. The if-converted method includes the dilutive effect of potential common shares related to the 6.50% Exchangeable Notes due 2026, if any. Basic and diluted earnings per share were calculated for the years ended December 31, 2023, 2022 and 2021 as follows (in thousands, except per share data):</w:t>
      </w:r>
    </w:p>
    <w:p>
      <w:pPr>
        <w:pStyle w:val="TextBody"/>
        <w:bidi w:val="0"/>
        <w:spacing w:before="18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48"/>
        <w:gridCol w:w="146"/>
        <w:gridCol w:w="211"/>
        <w:gridCol w:w="781"/>
        <w:gridCol w:w="166"/>
        <w:gridCol w:w="146"/>
        <w:gridCol w:w="211"/>
        <w:gridCol w:w="781"/>
        <w:gridCol w:w="166"/>
        <w:gridCol w:w="146"/>
        <w:gridCol w:w="211"/>
        <w:gridCol w:w="781"/>
        <w:gridCol w:w="211"/>
      </w:tblGrid>
      <w:tr>
        <w:trPr/>
        <w:tc>
          <w:tcPr>
            <w:tcW w:w="6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0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211" w:type="dxa"/>
            <w:tcBorders/>
            <w:shd w:fill="FFFFFF" w:val="clear"/>
            <w:vAlign w:val="center"/>
          </w:tcPr>
          <w:p>
            <w:pPr>
              <w:pStyle w:val="TableContents"/>
              <w:bidi w:val="0"/>
              <w:spacing w:before="0" w:after="283"/>
              <w:jc w:val="center"/>
              <w:rPr/>
            </w:pPr>
            <w:r>
              <w:rPr/>
              <w:t> </w:t>
            </w:r>
          </w:p>
        </w:tc>
      </w:tr>
      <w:tr>
        <w:trPr/>
        <w:tc>
          <w:tcPr>
            <w:tcW w:w="6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77,233</w:t>
            </w:r>
          </w:p>
        </w:tc>
        <w:tc>
          <w:tcPr>
            <w:tcW w:w="211" w:type="dxa"/>
            <w:tcBorders/>
            <w:shd w:fill="CFF0FC" w:val="clear"/>
            <w:vAlign w:val="center"/>
          </w:tcPr>
          <w:p>
            <w:pPr>
              <w:pStyle w:val="TableContents"/>
              <w:bidi w:val="0"/>
              <w:spacing w:before="0" w:after="283"/>
              <w:jc w:val="left"/>
              <w:rPr/>
            </w:pPr>
            <w:r>
              <w:rPr/>
              <w:t> </w:t>
            </w:r>
          </w:p>
        </w:tc>
      </w:tr>
      <w:tr>
        <w:trPr/>
        <w:tc>
          <w:tcPr>
            <w:tcW w:w="6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1" w:type="dxa"/>
            <w:tcBorders/>
            <w:shd w:fill="FFFFFF" w:val="clear"/>
            <w:vAlign w:val="center"/>
          </w:tcPr>
          <w:p>
            <w:pPr>
              <w:pStyle w:val="TableContents"/>
              <w:bidi w:val="0"/>
              <w:spacing w:before="0" w:after="283"/>
              <w:jc w:val="left"/>
              <w:rPr/>
            </w:pPr>
            <w:r>
              <w:rPr/>
              <w:t> </w:t>
            </w:r>
          </w:p>
        </w:tc>
      </w:tr>
      <w:tr>
        <w:trPr/>
        <w:tc>
          <w:tcPr>
            <w:tcW w:w="6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Undistributed income allocable to participating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GEO Group, Inc. available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70,436</w:t>
            </w:r>
          </w:p>
        </w:tc>
        <w:tc>
          <w:tcPr>
            <w:tcW w:w="211" w:type="dxa"/>
            <w:tcBorders/>
            <w:shd w:fill="FFFFFF" w:val="clear"/>
            <w:vAlign w:val="center"/>
          </w:tcPr>
          <w:p>
            <w:pPr>
              <w:pStyle w:val="TableContents"/>
              <w:bidi w:val="0"/>
              <w:spacing w:before="0" w:after="283"/>
              <w:jc w:val="left"/>
              <w:rPr/>
            </w:pPr>
            <w:r>
              <w:rPr/>
              <w:t> </w:t>
            </w:r>
          </w:p>
        </w:tc>
      </w:tr>
      <w:tr>
        <w:trPr/>
        <w:tc>
          <w:tcPr>
            <w:tcW w:w="6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The GEO Group, Inc. available to common stockholders: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amount - 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The GEO Group, Inc. available to common stockholders: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120,384</w:t>
            </w:r>
          </w:p>
        </w:tc>
        <w:tc>
          <w:tcPr>
            <w:tcW w:w="211" w:type="dxa"/>
            <w:tcBorders/>
            <w:shd w:fill="CFF0FC" w:val="clear"/>
            <w:vAlign w:val="center"/>
          </w:tcPr>
          <w:p>
            <w:pPr>
              <w:pStyle w:val="TableContents"/>
              <w:bidi w:val="0"/>
              <w:spacing w:before="0" w:after="283"/>
              <w:jc w:val="left"/>
              <w:rPr/>
            </w:pPr>
            <w:r>
              <w:rPr/>
              <w:t> </w:t>
            </w:r>
          </w:p>
        </w:tc>
      </w:tr>
      <w:tr>
        <w:trPr/>
        <w:tc>
          <w:tcPr>
            <w:tcW w:w="6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equity incentive plans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assuming dilution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amount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 ended December 31, 2023, 1,560,715 weighted average shares of common stock underlying options were excluded from the computation of diluted EPS because the effect would be anti-dilutive. For the same period, 201,946 common stock equivalents from restricted shares were anti-dilutive and excluded from the computation of diluted EPS.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2022, 1,958,443 weighted average shares of common stock underlying options were excluded from the computation of diluted EPS because the effect would be anti-dilutive. For the same period, 312,963 common stock equivalents from restricted shares were anti-dilutive and excluded from the computation of diluted EPS.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2021, 2,047,072 weighted average shares of common stock underlying options were excluded from the computation of diluted EPS because the effect would be anti-dilutive. For the same period, 1,016,208 common stock equivalents from restricted shares were anti-dilutive and excluded from the computation of diluted EPS.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February 24, 2021, the Company’s wholly owned subsidiary, GEO Corrections Holdings, Inc. (“GEOCH”), completed a private offering of $230 million aggregate principal amount of 6.50% Exchangeable Senior Unsecured Notes due 2026. Refer to Note 11 – Debt for additional information. As of December 31, 2023, conditions had not been met to exchange the 6.50% Exchangeable Notes due 2026 into shares of the Company’s common stock. Approximately 24.9 million shares of potential common stock associated with the conversion option embedded in the convertible notes were excluded from the computation of EPS for the years ended December 31, 2023, 2022 and 2021 as the Company’s average stock price during the period was lower than the exchange price.</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7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Property and equipment consist of the following at fiscal year-end:</w:t>
      </w:r>
    </w:p>
    <w:p>
      <w:pPr>
        <w:pStyle w:val="TextBody"/>
        <w:bidi w:val="0"/>
        <w:jc w:val="left"/>
        <w:rPr/>
      </w:pPr>
      <w:r>
        <w:rPr/>
        <w:t> </w:t>
      </w:r>
    </w:p>
    <w:tbl>
      <w:tblPr>
        <w:tblW w:w="8481" w:type="dxa"/>
        <w:jc w:val="left"/>
        <w:tblInd w:w="0" w:type="dxa"/>
        <w:tblLayout w:type="fixed"/>
        <w:tblCellMar>
          <w:top w:w="28" w:type="dxa"/>
          <w:left w:w="28" w:type="dxa"/>
          <w:bottom w:w="28" w:type="dxa"/>
          <w:right w:w="28" w:type="dxa"/>
        </w:tblCellMar>
      </w:tblPr>
      <w:tblGrid>
        <w:gridCol w:w="4051"/>
        <w:gridCol w:w="146"/>
        <w:gridCol w:w="261"/>
        <w:gridCol w:w="624"/>
        <w:gridCol w:w="146"/>
        <w:gridCol w:w="146"/>
        <w:gridCol w:w="211"/>
        <w:gridCol w:w="991"/>
        <w:gridCol w:w="166"/>
        <w:gridCol w:w="146"/>
        <w:gridCol w:w="211"/>
        <w:gridCol w:w="99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120,970</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to 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2,291,710</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to 29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273,233</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to 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239,188</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computer software</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to 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72,154</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construction in progress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3,023,861</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amortizes its leasehold improvements over the shorter of their estimated useful lives or the terms of the leases including renewal periods that are reasonably assured. The Company’s construction in progress primarily consists of new construction and renovations to facilities that are owned by the Company. There was no Interest capitalized in property and equipment for the years ended December 31, 2023 and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was $111.0 million, $111.6 million and $109.6 million for the years ended December 31, 2023, 2022 and 2021,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and 2022, the Company had $20.5 million of assets recorded under finance leases related to land, buildings and improvements. Finance leases are recorded net of accumulated amortization of $19.3 million and $18.7 million, at December 31, 2023 and 2022, respectively. Depreciation expense related to assets recorded under finance leases for each of the years ended December 31, 2023, 2022 and 2021 was $0.7 million, $1.5 million and $1.7 million, respectively and are included in Depreciation and Amortization in the accompanying consolidated statements of operations.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Derivative 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Company’s primary objective in holding derivatives is to reduce the volatility of earnings and cash flows associated with changes in interest rates. The Company measures its derivative financial instruments at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2019, the Company entered into two interest rate swap agreements in the aggregate notional amount of $44.3 million to fix the interest rate on certain of its variable rate debt to 4.22%. The Company has designated these interest rate swaps as hedges against changes in the cash flows of two identical promissory notes (the "Notes") which are secured by loan agreements and mortgage and security agreements on certain real property and improvements. The Company has determined that the swaps have payment, expiration dates, and provisions that coincide with the terms of the Notes and are therefore considered to be effective cash flow hedges. Accordingly, the Company records the change in fair value of the interest rate swaps as accumulated other comprehensive income (loss), net of applicable taxes. Total unrealized gain (loss) recorded in total other comprehensive income (loss), net of tax, related to these cash flow hedges was $(0.6) million, $6.2 million and $2.2 million during the years ended December 31, 2023, 2022 and 2021, respectively. The total fair value of the swap assets as of December 31, 2023 and 2022 was $3.8 million and $4.6 million, respectively, and is recorded as a component of Other Non-Current assets within the accompanying balance sheet. There was no material ineffectiveness for the period presented. The Company does not expect to enter into any transactions during the next twelve months which would result in reclassification into earnings or losses associated with these swaps currently reported in accumulated other comprehensive income (loss). Refer to Note 11 - Debt for additional information.</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Goodwill and Other Intangible Assets,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recorded goodwill as a result of its various business combinations. Goodwill is recorded as the difference, if any, between the aggregate consideration paid for an acquisition and the fair value of the tangible assets and intangible assets acquired net of liabilities assumed, including noncontrolling interests. Changes in the Company’s goodwill balances recognized during the years ended December 31, 2023 and 2022 were as follows (in thousands):</w:t>
      </w:r>
    </w:p>
    <w:p>
      <w:pPr>
        <w:pStyle w:val="TextBody"/>
        <w:bidi w:val="0"/>
        <w:jc w:val="left"/>
        <w:rPr/>
      </w:pPr>
      <w:r>
        <w:rPr/>
        <w:t> </w:t>
      </w:r>
    </w:p>
    <w:tbl>
      <w:tblPr>
        <w:tblW w:w="7842" w:type="dxa"/>
        <w:jc w:val="left"/>
        <w:tblInd w:w="0" w:type="dxa"/>
        <w:tblLayout w:type="fixed"/>
        <w:tblCellMar>
          <w:top w:w="28" w:type="dxa"/>
          <w:left w:w="28" w:type="dxa"/>
          <w:bottom w:w="28" w:type="dxa"/>
          <w:right w:w="28" w:type="dxa"/>
        </w:tblCellMar>
      </w:tblPr>
      <w:tblGrid>
        <w:gridCol w:w="4036"/>
        <w:gridCol w:w="146"/>
        <w:gridCol w:w="211"/>
        <w:gridCol w:w="781"/>
        <w:gridCol w:w="146"/>
        <w:gridCol w:w="146"/>
        <w:gridCol w:w="341"/>
        <w:gridCol w:w="560"/>
        <w:gridCol w:w="146"/>
        <w:gridCol w:w="146"/>
        <w:gridCol w:w="211"/>
        <w:gridCol w:w="781"/>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Goodwill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862" w:type="dxa"/>
        <w:jc w:val="left"/>
        <w:tblInd w:w="0" w:type="dxa"/>
        <w:tblLayout w:type="fixed"/>
        <w:tblCellMar>
          <w:top w:w="28" w:type="dxa"/>
          <w:left w:w="28" w:type="dxa"/>
          <w:bottom w:w="28" w:type="dxa"/>
          <w:right w:w="28" w:type="dxa"/>
        </w:tblCellMar>
      </w:tblPr>
      <w:tblGrid>
        <w:gridCol w:w="4036"/>
        <w:gridCol w:w="146"/>
        <w:gridCol w:w="211"/>
        <w:gridCol w:w="781"/>
        <w:gridCol w:w="146"/>
        <w:gridCol w:w="146"/>
        <w:gridCol w:w="323"/>
        <w:gridCol w:w="578"/>
        <w:gridCol w:w="166"/>
        <w:gridCol w:w="146"/>
        <w:gridCol w:w="211"/>
        <w:gridCol w:w="781"/>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316,366</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289,570</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pPr>
            <w:r>
              <w:rPr/>
              <w:t> </w:t>
            </w:r>
          </w:p>
        </w:tc>
        <w:tc>
          <w:tcPr>
            <w:tcW w:w="5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148,873</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Goodwill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Intangible assets consisted of the following as of December 31, 2023 and 2022 (in thousands):</w:t>
      </w:r>
    </w:p>
    <w:p>
      <w:pPr>
        <w:pStyle w:val="TextBody"/>
        <w:bidi w:val="0"/>
        <w:jc w:val="left"/>
        <w:rPr/>
      </w:pPr>
      <w:r>
        <w:rPr/>
        <w:t> </w:t>
      </w:r>
    </w:p>
    <w:tbl>
      <w:tblPr>
        <w:tblW w:w="10316" w:type="dxa"/>
        <w:jc w:val="left"/>
        <w:tblInd w:w="0" w:type="dxa"/>
        <w:tblLayout w:type="fixed"/>
        <w:tblCellMar>
          <w:top w:w="28" w:type="dxa"/>
          <w:left w:w="28" w:type="dxa"/>
          <w:bottom w:w="28" w:type="dxa"/>
          <w:right w:w="28" w:type="dxa"/>
        </w:tblCellMar>
      </w:tblPr>
      <w:tblGrid>
        <w:gridCol w:w="1156"/>
        <w:gridCol w:w="146"/>
        <w:gridCol w:w="213"/>
        <w:gridCol w:w="688"/>
        <w:gridCol w:w="146"/>
        <w:gridCol w:w="146"/>
        <w:gridCol w:w="211"/>
        <w:gridCol w:w="781"/>
        <w:gridCol w:w="146"/>
        <w:gridCol w:w="146"/>
        <w:gridCol w:w="216"/>
        <w:gridCol w:w="865"/>
        <w:gridCol w:w="166"/>
        <w:gridCol w:w="146"/>
        <w:gridCol w:w="211"/>
        <w:gridCol w:w="781"/>
        <w:gridCol w:w="146"/>
        <w:gridCol w:w="146"/>
        <w:gridCol w:w="211"/>
        <w:gridCol w:w="781"/>
        <w:gridCol w:w="146"/>
        <w:gridCol w:w="146"/>
        <w:gridCol w:w="216"/>
        <w:gridCol w:w="865"/>
        <w:gridCol w:w="166"/>
        <w:gridCol w:w="146"/>
        <w:gridCol w:w="211"/>
        <w:gridCol w:w="781"/>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management contracts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101,983</w:t>
            </w:r>
          </w:p>
        </w:tc>
        <w:tc>
          <w:tcPr>
            <w:tcW w:w="191" w:type="dxa"/>
            <w:tcBorders/>
            <w:shd w:fill="CFF0FC" w:val="clear"/>
            <w:vAlign w:val="center"/>
          </w:tcPr>
          <w:p>
            <w:pPr>
              <w:pStyle w:val="TableContents"/>
              <w:bidi w:val="0"/>
              <w:spacing w:before="0" w:after="283"/>
              <w:jc w:val="left"/>
              <w:rPr/>
            </w:pPr>
            <w:r>
              <w:rPr/>
              <w:t> </w:t>
            </w:r>
          </w:p>
        </w:tc>
      </w:tr>
      <w:tr>
        <w:trPr/>
        <w:tc>
          <w:tcPr>
            <w:tcW w:w="1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91" w:type="dxa"/>
            <w:tcBorders/>
            <w:shd w:fill="FFFFFF" w:val="clear"/>
            <w:vAlign w:val="center"/>
          </w:tcPr>
          <w:p>
            <w:pPr>
              <w:pStyle w:val="TableContents"/>
              <w:bidi w:val="0"/>
              <w:spacing w:before="0" w:after="283"/>
              <w:jc w:val="left"/>
              <w:rPr/>
            </w:pPr>
            <w:r>
              <w:rPr/>
              <w:t> </w:t>
            </w:r>
          </w:p>
        </w:tc>
      </w:tr>
      <w:tr>
        <w:trPr/>
        <w:tc>
          <w:tcPr>
            <w:tcW w:w="1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acquired intangible assets</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accounting for recognized intangible assets is based on the useful lives to the reporting entity. Intangible assets with finite useful lives are amortized over their useful lives and intangible assets with indefinite useful lives are not amortized. The Company estimates the useful lives of its intangible assets taking into consideration (i) the expected use of the asset by the Company, (ii) the expected useful lives of other related assets or groups of assets, (iii) legal or contractual limitations, (iv) the Company's historical experience in renewing or extending similar arrangements, (v) the effects of obsolescence, demand, competition and other economic factors and (vi) the level of maintenance expenditures required to obtain the expected cash flows from the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was $11.8 million, $18.4 million and $21.6 million for the years ended December 31, 2023, 2022 and 2021, respectively, and primarily related to the U.S. Secure Services and Reentry Services segments’ amortization of intangible assets for acquired management contracts. The Company relies on its historical experience in determining the useful life of facility management contracts. The Company makes assumptions related to acquired facility management contracts based on the competitive environment for individual contracts, our historical success rates in retaining contracts, the supply of available beds in the market, changes in legislation, the projected profitability of the facilities and other market conditions. As of December 31, 2023, the weighted average period before the next contract renewal or extension for the facility management contracts was approximately 3.1 years. Although the facility management contracts acquired have renewal and extension terms in the near term, the Company has historically maintained these relationships beyond the contractual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Estimated amortization expense related to the Company’s finite-lived intangible assets for 2024 through 2028 and thereafter is as follows (in thousands):</w:t>
      </w:r>
    </w:p>
    <w:p>
      <w:pPr>
        <w:pStyle w:val="TextBody"/>
        <w:bidi w:val="0"/>
        <w:jc w:val="left"/>
        <w:rPr/>
      </w:pPr>
      <w:r>
        <w:rPr/>
        <w:t> </w:t>
      </w:r>
    </w:p>
    <w:tbl>
      <w:tblPr>
        <w:tblW w:w="2364" w:type="dxa"/>
        <w:jc w:val="left"/>
        <w:tblInd w:w="0" w:type="dxa"/>
        <w:tblLayout w:type="fixed"/>
        <w:tblCellMar>
          <w:top w:w="28" w:type="dxa"/>
          <w:left w:w="28" w:type="dxa"/>
          <w:bottom w:w="28" w:type="dxa"/>
          <w:right w:w="28" w:type="dxa"/>
        </w:tblCellMar>
      </w:tblPr>
      <w:tblGrid>
        <w:gridCol w:w="946"/>
        <w:gridCol w:w="146"/>
        <w:gridCol w:w="257"/>
        <w:gridCol w:w="824"/>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Fiscal Year</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Amortization</w:t>
              <w:b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9,305</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6,854</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provides a summary of the Company’s significant financial assets carried at fair value and measured on a recurring basis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2"/>
        <w:gridCol w:w="146"/>
        <w:gridCol w:w="332"/>
        <w:gridCol w:w="1063"/>
        <w:gridCol w:w="146"/>
        <w:gridCol w:w="146"/>
        <w:gridCol w:w="293"/>
        <w:gridCol w:w="940"/>
        <w:gridCol w:w="146"/>
        <w:gridCol w:w="146"/>
        <w:gridCol w:w="318"/>
        <w:gridCol w:w="1022"/>
        <w:gridCol w:w="146"/>
        <w:gridCol w:w="146"/>
        <w:gridCol w:w="461"/>
        <w:gridCol w:w="758"/>
        <w:gridCol w:w="394"/>
      </w:tblGrid>
      <w:tr>
        <w:trPr/>
        <w:tc>
          <w:tcPr>
            <w:tcW w:w="3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at</w:t>
              <w:b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36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investments:</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60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Rabbi Trust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60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equity and fixed income securities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jc w:val="left"/>
              <w:rPr/>
            </w:pPr>
            <w:r>
              <w:rPr/>
              <w:t> </w:t>
            </w:r>
          </w:p>
        </w:tc>
      </w:tr>
      <w:tr>
        <w:trPr/>
        <w:tc>
          <w:tcPr>
            <w:tcW w:w="360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10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r>
        <w:trPr/>
        <w:tc>
          <w:tcPr>
            <w:tcW w:w="3602"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rate swap derivatives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22"/>
        <w:gridCol w:w="146"/>
        <w:gridCol w:w="332"/>
        <w:gridCol w:w="1066"/>
        <w:gridCol w:w="146"/>
        <w:gridCol w:w="146"/>
        <w:gridCol w:w="455"/>
        <w:gridCol w:w="750"/>
        <w:gridCol w:w="146"/>
        <w:gridCol w:w="146"/>
        <w:gridCol w:w="318"/>
        <w:gridCol w:w="1024"/>
        <w:gridCol w:w="146"/>
        <w:gridCol w:w="146"/>
        <w:gridCol w:w="461"/>
        <w:gridCol w:w="758"/>
        <w:gridCol w:w="397"/>
      </w:tblGrid>
      <w:tr>
        <w:trPr/>
        <w:tc>
          <w:tcPr>
            <w:tcW w:w="3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6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2022</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at</w:t>
              <w:b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9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right"/>
              <w:rPr/>
            </w:pPr>
            <w:r>
              <w:rPr/>
              <w:t> </w:t>
            </w:r>
          </w:p>
        </w:tc>
        <w:tc>
          <w:tcPr>
            <w:tcW w:w="397" w:type="dxa"/>
            <w:tcBorders/>
            <w:shd w:fill="CFF0FC" w:val="clear"/>
            <w:vAlign w:val="center"/>
          </w:tcPr>
          <w:p>
            <w:pPr>
              <w:pStyle w:val="TableContents"/>
              <w:bidi w:val="0"/>
              <w:spacing w:before="0" w:after="283"/>
              <w:jc w:val="right"/>
              <w:rPr/>
            </w:pPr>
            <w:r>
              <w:rPr/>
              <w:t> </w:t>
            </w:r>
          </w:p>
        </w:tc>
      </w:tr>
      <w:tr>
        <w:trPr/>
        <w:tc>
          <w:tcPr>
            <w:tcW w:w="36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investments:</w:t>
            </w:r>
          </w:p>
        </w:tc>
        <w:tc>
          <w:tcPr>
            <w:tcW w:w="146" w:type="dxa"/>
            <w:tcBorders/>
            <w:shd w:fill="FFFFFF" w:val="clear"/>
            <w:vAlign w:val="center"/>
          </w:tcPr>
          <w:p>
            <w:pPr>
              <w:pStyle w:val="TableContents"/>
              <w:bidi w:val="0"/>
              <w:spacing w:before="0" w:after="283"/>
              <w:jc w:val="left"/>
              <w:rPr/>
            </w:pPr>
            <w:r>
              <w:rPr/>
              <w:t> </w:t>
            </w:r>
          </w:p>
        </w:tc>
        <w:tc>
          <w:tcPr>
            <w:tcW w:w="139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ind w:left="0" w:right="0" w:firstLine="200"/>
              <w:jc w:val="right"/>
              <w:rPr/>
            </w:pPr>
            <w:r>
              <w:rPr/>
              <w:t> </w:t>
            </w:r>
          </w:p>
        </w:tc>
      </w:tr>
      <w:tr>
        <w:trPr/>
        <w:tc>
          <w:tcPr>
            <w:tcW w:w="3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Rabbi Trust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vAlign w:val="center"/>
          </w:tcPr>
          <w:p>
            <w:pPr>
              <w:pStyle w:val="TableContents"/>
              <w:bidi w:val="0"/>
              <w:spacing w:before="0" w:after="283"/>
              <w:jc w:val="right"/>
              <w:rPr>
                <w:color w:val="000000"/>
              </w:rPr>
            </w:pPr>
            <w:r>
              <w:rPr>
                <w:color w:val="000000"/>
              </w:rPr>
              <w:t>—</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36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equity and fixed income securities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color w:val="000000"/>
              </w:rPr>
            </w:pPr>
            <w:r>
              <w:rPr>
                <w:color w:val="000000"/>
              </w:rPr>
              <w:t>—</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36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color w:val="000000"/>
              </w:rPr>
            </w:pPr>
            <w:r>
              <w:rPr>
                <w:color w:val="000000"/>
              </w:rPr>
              <w:t>—</w:t>
            </w:r>
          </w:p>
        </w:tc>
        <w:tc>
          <w:tcPr>
            <w:tcW w:w="397" w:type="dxa"/>
            <w:tcBorders/>
            <w:shd w:fill="CFF0FC" w:val="clear"/>
            <w:vAlign w:val="center"/>
          </w:tcPr>
          <w:p>
            <w:pPr>
              <w:pStyle w:val="TableContents"/>
              <w:bidi w:val="0"/>
              <w:spacing w:before="0" w:after="283"/>
              <w:jc w:val="left"/>
              <w:rPr/>
            </w:pPr>
            <w:r>
              <w:rPr/>
              <w:t> </w:t>
            </w:r>
          </w:p>
        </w:tc>
      </w:tr>
      <w:tr>
        <w:trPr/>
        <w:tc>
          <w:tcPr>
            <w:tcW w:w="3622"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rate swap derivatives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color w:val="000000"/>
              </w:rPr>
            </w:pPr>
            <w:r>
              <w:rPr>
                <w:color w:val="000000"/>
              </w:rPr>
              <w:t>—</w:t>
            </w:r>
          </w:p>
        </w:tc>
        <w:tc>
          <w:tcPr>
            <w:tcW w:w="397"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Level 2 financial instruments included in the tables above as of December 31, 2023 and December 31, 2022 consist of interest rate swap derivative assets/liabilities held by GEO, investments in equity and fixed income mutual funds held in the Company’s captive insurance subsidiary, Florina, the Company's rabbi trust established for employer contributions to The GEO Group, Inc. Non-qualified Deferred Compensation Plan and other non-current assets which include the cash surrender value of company-owned life insurance policies. The Company's Level 1 financial instruments included in the table above as of December 31, 2023 consist of money market funds held in Florina and money market funds held in the Company's rabbi trust established for its Executive Chairman's retirement account.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interest rate swap derivative assets are valued using a discounted cash flow model based on projected borrowing rates. The Company's restricted investment in the rabbi trust for The GEO Group, Inc. Non-qualified Deferred Compensation Plan is invested in Company-owned life insurance policies which are recorded at their cash surrender values. These investments are valued based on the underlying investments held in the policies' separate accounts. The underlying assets are equity and fixed income pooled funds. The marketable equity and fixed income securities are valued using quoted rates. The company-owned life insurance policies included in other non-current assets are valued at their cash surrender values.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December 23, 2023 and 2022 the Company held certain equity securities within its investments and approximately $1.0 million and $(1.0) million were including as an unrealized holding gain (loss) during the respective periods included within the statement of other comprehensive income. The unrealized holding gain was not significant during the year ended December 31, 2021.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Fair Value of Assets and Liabilities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Company’s Consolidated Balance Sheets reflect certain financial instruments at carrying value. The following table presents the carrying values of those instruments and the corresponding estimated fair values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81"/>
        <w:gridCol w:w="146"/>
        <w:gridCol w:w="260"/>
        <w:gridCol w:w="963"/>
        <w:gridCol w:w="146"/>
        <w:gridCol w:w="146"/>
        <w:gridCol w:w="211"/>
        <w:gridCol w:w="781"/>
        <w:gridCol w:w="146"/>
        <w:gridCol w:w="146"/>
        <w:gridCol w:w="211"/>
        <w:gridCol w:w="676"/>
        <w:gridCol w:w="146"/>
        <w:gridCol w:w="146"/>
        <w:gridCol w:w="211"/>
        <w:gridCol w:w="781"/>
        <w:gridCol w:w="146"/>
        <w:gridCol w:w="146"/>
        <w:gridCol w:w="236"/>
        <w:gridCol w:w="387"/>
        <w:gridCol w:w="393"/>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8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Measurements at December 31,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br/>
              <w:t>as of December</w:t>
              <w:br/>
              <w:t>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3"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3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 and investments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3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Borrowings under exchange credit facility</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10.500% Public Second Lien Notes due 2028</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9.500% Private Second Lien Notes due 2028</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5.875% Senior Notes due 2024</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6.00% Senior Notes due 2026</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6.50% Exchangeable Senior Notes due 2026</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7"/>
        <w:gridCol w:w="146"/>
        <w:gridCol w:w="226"/>
        <w:gridCol w:w="998"/>
        <w:gridCol w:w="146"/>
        <w:gridCol w:w="146"/>
        <w:gridCol w:w="211"/>
        <w:gridCol w:w="931"/>
        <w:gridCol w:w="146"/>
        <w:gridCol w:w="146"/>
        <w:gridCol w:w="211"/>
        <w:gridCol w:w="676"/>
        <w:gridCol w:w="146"/>
        <w:gridCol w:w="146"/>
        <w:gridCol w:w="211"/>
        <w:gridCol w:w="931"/>
        <w:gridCol w:w="146"/>
        <w:gridCol w:w="146"/>
        <w:gridCol w:w="233"/>
        <w:gridCol w:w="382"/>
        <w:gridCol w:w="394"/>
      </w:tblGrid>
      <w:tr>
        <w:trPr/>
        <w:tc>
          <w:tcPr>
            <w:tcW w:w="3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Measurements at December 31, 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br/>
              <w:t>as of December</w:t>
              <w:br/>
              <w:t>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5"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4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4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 and investments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r>
        <w:trPr/>
        <w:tc>
          <w:tcPr>
            <w:tcW w:w="34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2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4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Borrowings under exchange credit facility</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4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10.500% Public Second Lien Notes due 2028</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4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9.500% Private Second Lien Notes due 2028</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4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5.875% Senior Notes due 2024</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4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6.00% Senior Notes due 2026</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4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6.50% Exchangeable Senior Notes due 2026</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values of the Company’s cash and cash equivalents, and restricted cash and investments approximates the carrying values of these assets at December 31, 2023 and December 31, 2022. Restricted cash consists of money market funds, bank deposits, commercial paper and time deposits used for asset replacement funds and other funds contractually required to be maintained at the Company's Australian subsidiary. The fair value of the money market funds and bank deposits is based on quoted market prices (Level 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further discussed in Note 11 - Debt, on August 19, 2022, the Company completed an exchange offer to exchange certain of its outstanding 5.125% Senior Notes due 2023, 5.875% Senior Notes due 2024, 6.000% Senior Notes due 2026 and certain revolving credit loans and term loans under its senior secured credit facility into newly issued Senior Second Lien Secured Notes and a new credit facility. The Company utilized a third-party valuation firm to assist with the estimation of the fair values on the date of issuance for the new debt instruments. The fair value of each new debt instrument issued in 2022 on the date of issuance was estimated using a Black-Derman-Toy ("BDT") lattice model. The BDT model is a single factor, stochastic, no arbitrage model that incorporates the issuer's option to prepay a debt instrument if optimal, which occurs when interest rates decline such that the holding value of the instrument exceeds the prepayment price. The significant assumptions used in the BDT model for the new debt instruments were the Secured Overnight Financing Rate Data ("SOFR") forward rates (ranging from 2.30% to 3.61%), the risk-free rate curve based on U.S. Treasury rates (ranging from 2.23% to 3.44%), the yield volatility (ranging from 20% to 27%) and the credit spreads of the new debt instruments (ranging from 4.78% to 8.49%). On August 19, 2022, the date of the closing of the exchange offer, the new debt instruments were valued using Level 3 instruments as they were based on unobservable inputs. As of December 31, 2023 and 2022, the new debt instruments were valued based on observable inputs through corroboration with observable market data and are therefore classified as Level 2. Refer to Note 11 - Debt for the estimated fair values of the new debt instruments at time of issuance and related premiums/discounts.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recurring fair values of the Company's 10.500% Public Second Lien Notes due 2028 and the 9.500% Private Second Lien Notes due 2028 are based on level 2 inputs using quotations by major market news services, such as Bloomberg. The fair value of the Company's exchange credit facility was also based on quotations by major market new services and also estimates of trading value considering the Company's borrowing rate, the undrawn spread and similar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and December 31, 2022, the fair values of the Company's "5.875% Senior Notes due 2024", 6.00% Senior Notes, the 5.125% Senior Notes and the 6.50% Exchangeable Notes due 2026 are based on level 2 inputs by major market news services. The 5.125% Senior Notes were paid off in full prior to September 30, 2022. The fair values of the Company's non-recourse debt related to the Company’s Australian subsidiaries was estimated based on market prices of similar instruments. The fair value of borrowings under the exchange credit facility is based on an estimate of trading value considering the Company’s borrowing rate, the undrawn spread and similar instruments.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5799" w:type="dxa"/>
        <w:jc w:val="left"/>
        <w:tblInd w:w="0" w:type="dxa"/>
        <w:tblLayout w:type="fixed"/>
        <w:tblCellMar>
          <w:top w:w="28" w:type="dxa"/>
          <w:left w:w="28" w:type="dxa"/>
          <w:bottom w:w="28" w:type="dxa"/>
          <w:right w:w="28" w:type="dxa"/>
        </w:tblCellMar>
      </w:tblPr>
      <w:tblGrid>
        <w:gridCol w:w="2986"/>
        <w:gridCol w:w="146"/>
        <w:gridCol w:w="211"/>
        <w:gridCol w:w="781"/>
        <w:gridCol w:w="146"/>
        <w:gridCol w:w="146"/>
        <w:gridCol w:w="211"/>
        <w:gridCol w:w="781"/>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27,447</w:t>
            </w:r>
          </w:p>
        </w:tc>
        <w:tc>
          <w:tcPr>
            <w:tcW w:w="3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33,475</w:t>
            </w:r>
          </w:p>
        </w:tc>
        <w:tc>
          <w:tcPr>
            <w:tcW w:w="3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insurance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81,704</w:t>
            </w:r>
          </w:p>
        </w:tc>
        <w:tc>
          <w:tcPr>
            <w:tcW w:w="3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other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46,169</w:t>
            </w:r>
          </w:p>
        </w:tc>
        <w:tc>
          <w:tcPr>
            <w:tcW w:w="3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w:t>
            </w:r>
          </w:p>
        </w:tc>
        <w:tc>
          <w:tcPr>
            <w:tcW w:w="3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retainage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3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11.</w:t>
      </w:r>
    </w:p>
    <w:p>
      <w:pPr>
        <w:pStyle w:val="TextBody"/>
        <w:bidi w:val="0"/>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Debt consisted of the following (in thousands):</w:t>
      </w:r>
    </w:p>
    <w:tbl>
      <w:tblPr>
        <w:tblW w:w="10205" w:type="dxa"/>
        <w:jc w:val="left"/>
        <w:tblInd w:w="0" w:type="dxa"/>
        <w:tblLayout w:type="fixed"/>
        <w:tblCellMar>
          <w:top w:w="28" w:type="dxa"/>
          <w:left w:w="28" w:type="dxa"/>
          <w:bottom w:w="28" w:type="dxa"/>
          <w:right w:w="28" w:type="dxa"/>
        </w:tblCellMar>
      </w:tblPr>
      <w:tblGrid>
        <w:gridCol w:w="6389"/>
        <w:gridCol w:w="146"/>
        <w:gridCol w:w="272"/>
        <w:gridCol w:w="1201"/>
        <w:gridCol w:w="166"/>
        <w:gridCol w:w="146"/>
        <w:gridCol w:w="272"/>
        <w:gridCol w:w="1201"/>
        <w:gridCol w:w="412"/>
      </w:tblGrid>
      <w:tr>
        <w:trPr/>
        <w:tc>
          <w:tcPr>
            <w:tcW w:w="6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63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Exchange Credit Agreement *</w:t>
            </w:r>
          </w:p>
        </w:tc>
        <w:tc>
          <w:tcPr>
            <w:tcW w:w="146" w:type="dxa"/>
            <w:tcBorders/>
            <w:shd w:fill="CFF0FC" w:val="clear"/>
            <w:vAlign w:val="center"/>
          </w:tcPr>
          <w:p>
            <w:pPr>
              <w:pStyle w:val="TableContents"/>
              <w:bidi w:val="0"/>
              <w:spacing w:before="0" w:after="283"/>
              <w:jc w:val="left"/>
              <w:rPr/>
            </w:pPr>
            <w:r>
              <w:rPr/>
              <w:t> </w:t>
            </w:r>
          </w:p>
        </w:tc>
        <w:tc>
          <w:tcPr>
            <w:tcW w:w="14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3" w:type="dxa"/>
            <w:gridSpan w:val="2"/>
            <w:tcBorders/>
            <w:shd w:fill="CFF0FC" w:val="clear"/>
            <w:vAlign w:val="center"/>
          </w:tcPr>
          <w:p>
            <w:pPr>
              <w:pStyle w:val="TableContents"/>
              <w:bidi w:val="0"/>
              <w:spacing w:before="0" w:after="283"/>
              <w:jc w:val="right"/>
              <w:rPr/>
            </w:pPr>
            <w:r>
              <w:rPr/>
              <w:t> </w:t>
            </w:r>
          </w:p>
        </w:tc>
        <w:tc>
          <w:tcPr>
            <w:tcW w:w="412" w:type="dxa"/>
            <w:tcBorders/>
            <w:shd w:fill="CFF0FC" w:val="clear"/>
            <w:vAlign w:val="center"/>
          </w:tcPr>
          <w:p>
            <w:pPr>
              <w:pStyle w:val="TableContents"/>
              <w:bidi w:val="0"/>
              <w:spacing w:before="0" w:after="283"/>
              <w:ind w:left="0" w:right="0" w:firstLine="200"/>
              <w:jc w:val="right"/>
              <w:rPr/>
            </w:pPr>
            <w:r>
              <w:rPr/>
              <w:t> </w:t>
            </w:r>
          </w:p>
        </w:tc>
      </w:tr>
      <w:tr>
        <w:trPr/>
        <w:tc>
          <w:tcPr>
            <w:tcW w:w="63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Tranche 1 Loans</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846,445</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63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premium on tranche 1 loans</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63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debt issuance costs on tranche 1 loans</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(22,575</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Tranche 2 Loans</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236,794</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63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discount on tranche 2 loans</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debt issuance costs on tranche 2 loans</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Revolver</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Exchange Credit Agreement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1,106,777</w:t>
            </w:r>
          </w:p>
        </w:tc>
        <w:tc>
          <w:tcPr>
            <w:tcW w:w="412" w:type="dxa"/>
            <w:tcBorders/>
            <w:shd w:fill="CFF0FC" w:val="clear"/>
            <w:vAlign w:val="center"/>
          </w:tcPr>
          <w:p>
            <w:pPr>
              <w:pStyle w:val="TableContents"/>
              <w:bidi w:val="0"/>
              <w:spacing w:before="0" w:after="283"/>
              <w:jc w:val="left"/>
              <w:rPr/>
            </w:pPr>
            <w:r>
              <w:rPr/>
              <w:t> </w:t>
            </w:r>
          </w:p>
        </w:tc>
      </w:tr>
      <w:tr>
        <w:trPr/>
        <w:tc>
          <w:tcPr>
            <w:tcW w:w="638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10.500% Public Second Lien Notes due 2028</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ind w:left="0" w:right="0" w:firstLine="200"/>
              <w:jc w:val="right"/>
              <w:rPr/>
            </w:pPr>
            <w:r>
              <w:rPr/>
              <w:t> </w:t>
            </w:r>
          </w:p>
        </w:tc>
      </w:tr>
      <w:tr>
        <w:trPr/>
        <w:tc>
          <w:tcPr>
            <w:tcW w:w="63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Due in 2028</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286,521</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63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discount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(15,457</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10.500% Public Second Lien Notes due 2028</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263,253</w:t>
            </w:r>
          </w:p>
        </w:tc>
        <w:tc>
          <w:tcPr>
            <w:tcW w:w="412" w:type="dxa"/>
            <w:tcBorders/>
            <w:shd w:fill="FFFFFF" w:val="clear"/>
            <w:vAlign w:val="center"/>
          </w:tcPr>
          <w:p>
            <w:pPr>
              <w:pStyle w:val="TableContents"/>
              <w:bidi w:val="0"/>
              <w:spacing w:before="0" w:after="283"/>
              <w:jc w:val="left"/>
              <w:rPr/>
            </w:pPr>
            <w:r>
              <w:rPr/>
              <w:t> </w:t>
            </w:r>
          </w:p>
        </w:tc>
      </w:tr>
      <w:tr>
        <w:trPr/>
        <w:tc>
          <w:tcPr>
            <w:tcW w:w="63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9.500% Private Second Lien Notes due 2028</w:t>
            </w:r>
          </w:p>
        </w:tc>
        <w:tc>
          <w:tcPr>
            <w:tcW w:w="146" w:type="dxa"/>
            <w:tcBorders/>
            <w:shd w:fill="CFF0FC" w:val="clear"/>
            <w:vAlign w:val="center"/>
          </w:tcPr>
          <w:p>
            <w:pPr>
              <w:pStyle w:val="TableContents"/>
              <w:bidi w:val="0"/>
              <w:spacing w:before="0" w:after="283"/>
              <w:jc w:val="left"/>
              <w:rPr/>
            </w:pPr>
            <w:r>
              <w:rPr/>
              <w:t> </w:t>
            </w:r>
          </w:p>
        </w:tc>
        <w:tc>
          <w:tcPr>
            <w:tcW w:w="14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3" w:type="dxa"/>
            <w:gridSpan w:val="2"/>
            <w:tcBorders/>
            <w:shd w:fill="CFF0FC" w:val="clear"/>
            <w:vAlign w:val="center"/>
          </w:tcPr>
          <w:p>
            <w:pPr>
              <w:pStyle w:val="TableContents"/>
              <w:bidi w:val="0"/>
              <w:spacing w:before="0" w:after="283"/>
              <w:jc w:val="right"/>
              <w:rPr/>
            </w:pPr>
            <w:r>
              <w:rPr/>
              <w:t> </w:t>
            </w:r>
          </w:p>
        </w:tc>
        <w:tc>
          <w:tcPr>
            <w:tcW w:w="412" w:type="dxa"/>
            <w:tcBorders/>
            <w:shd w:fill="CFF0FC" w:val="clear"/>
            <w:vAlign w:val="center"/>
          </w:tcPr>
          <w:p>
            <w:pPr>
              <w:pStyle w:val="TableContents"/>
              <w:bidi w:val="0"/>
              <w:spacing w:before="0" w:after="283"/>
              <w:ind w:left="0" w:right="0" w:firstLine="200"/>
              <w:jc w:val="right"/>
              <w:rPr/>
            </w:pPr>
            <w:r>
              <w:rPr/>
              <w:t> </w:t>
            </w:r>
          </w:p>
        </w:tc>
      </w:tr>
      <w:tr>
        <w:trPr/>
        <w:tc>
          <w:tcPr>
            <w:tcW w:w="63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Due in 2028</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239,142</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63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discount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(22,524</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9.500% Private Second Lien Notes due 2028</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210,067</w:t>
            </w:r>
          </w:p>
        </w:tc>
        <w:tc>
          <w:tcPr>
            <w:tcW w:w="412" w:type="dxa"/>
            <w:tcBorders/>
            <w:shd w:fill="CFF0FC" w:val="clear"/>
            <w:vAlign w:val="center"/>
          </w:tcPr>
          <w:p>
            <w:pPr>
              <w:pStyle w:val="TableContents"/>
              <w:bidi w:val="0"/>
              <w:spacing w:before="0" w:after="283"/>
              <w:jc w:val="left"/>
              <w:rPr/>
            </w:pPr>
            <w:r>
              <w:rPr/>
              <w:t> </w:t>
            </w:r>
          </w:p>
        </w:tc>
      </w:tr>
      <w:tr>
        <w:trPr/>
        <w:tc>
          <w:tcPr>
            <w:tcW w:w="638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6.50% Exchangeable Senior Notes:</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ind w:left="0" w:right="0" w:firstLine="200"/>
              <w:jc w:val="right"/>
              <w:rPr/>
            </w:pPr>
            <w:r>
              <w:rPr/>
              <w:t> </w:t>
            </w:r>
          </w:p>
        </w:tc>
      </w:tr>
      <w:tr>
        <w:trPr/>
        <w:tc>
          <w:tcPr>
            <w:tcW w:w="63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Due in 2026</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63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6.50% Exchangeable Senior Notes Due in 2026</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223,511</w:t>
            </w:r>
          </w:p>
        </w:tc>
        <w:tc>
          <w:tcPr>
            <w:tcW w:w="412" w:type="dxa"/>
            <w:tcBorders/>
            <w:shd w:fill="CFF0FC" w:val="clear"/>
            <w:vAlign w:val="center"/>
          </w:tcPr>
          <w:p>
            <w:pPr>
              <w:pStyle w:val="TableContents"/>
              <w:bidi w:val="0"/>
              <w:spacing w:before="0" w:after="283"/>
              <w:jc w:val="left"/>
              <w:rPr/>
            </w:pPr>
            <w:r>
              <w:rPr/>
              <w:t> </w:t>
            </w:r>
          </w:p>
        </w:tc>
      </w:tr>
      <w:tr>
        <w:trPr/>
        <w:tc>
          <w:tcPr>
            <w:tcW w:w="638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6.00% Senior Notes:</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ind w:left="0" w:right="0" w:firstLine="200"/>
              <w:jc w:val="right"/>
              <w:rPr/>
            </w:pPr>
            <w:r>
              <w:rPr/>
              <w:t> </w:t>
            </w:r>
          </w:p>
        </w:tc>
      </w:tr>
      <w:tr>
        <w:trPr/>
        <w:tc>
          <w:tcPr>
            <w:tcW w:w="63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Due in 2026</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110,858</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63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6.00% Senior Notes Due in 2026</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110,082</w:t>
            </w:r>
          </w:p>
        </w:tc>
        <w:tc>
          <w:tcPr>
            <w:tcW w:w="412" w:type="dxa"/>
            <w:tcBorders/>
            <w:shd w:fill="CFF0FC" w:val="clear"/>
            <w:vAlign w:val="center"/>
          </w:tcPr>
          <w:p>
            <w:pPr>
              <w:pStyle w:val="TableContents"/>
              <w:bidi w:val="0"/>
              <w:spacing w:before="0" w:after="283"/>
              <w:jc w:val="left"/>
              <w:rPr/>
            </w:pPr>
            <w:r>
              <w:rPr/>
              <w:t> </w:t>
            </w:r>
          </w:p>
        </w:tc>
      </w:tr>
      <w:tr>
        <w:trPr/>
        <w:tc>
          <w:tcPr>
            <w:tcW w:w="638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5.875% Senior Notes:</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ind w:left="0" w:right="0" w:firstLine="200"/>
              <w:jc w:val="right"/>
              <w:rPr/>
            </w:pPr>
            <w:r>
              <w:rPr/>
              <w:t> </w:t>
            </w:r>
          </w:p>
        </w:tc>
      </w:tr>
      <w:tr>
        <w:trPr/>
        <w:tc>
          <w:tcPr>
            <w:tcW w:w="63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Due in 2024</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23,253</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63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5.875% Senior Notes Due in 2024</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23,157</w:t>
            </w:r>
          </w:p>
        </w:tc>
        <w:tc>
          <w:tcPr>
            <w:tcW w:w="412" w:type="dxa"/>
            <w:tcBorders/>
            <w:shd w:fill="CFF0FC" w:val="clear"/>
            <w:vAlign w:val="center"/>
          </w:tcPr>
          <w:p>
            <w:pPr>
              <w:pStyle w:val="TableContents"/>
              <w:bidi w:val="0"/>
              <w:spacing w:before="0" w:after="283"/>
              <w:jc w:val="left"/>
              <w:rPr/>
            </w:pPr>
            <w:r>
              <w:rPr/>
              <w:t> </w:t>
            </w:r>
          </w:p>
        </w:tc>
      </w:tr>
      <w:tr>
        <w:trPr/>
        <w:tc>
          <w:tcPr>
            <w:tcW w:w="63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412" w:type="dxa"/>
            <w:tcBorders/>
            <w:shd w:fill="FFFFFF" w:val="clear"/>
            <w:vAlign w:val="center"/>
          </w:tcPr>
          <w:p>
            <w:pPr>
              <w:pStyle w:val="TableContents"/>
              <w:bidi w:val="0"/>
              <w:spacing w:before="0" w:after="283"/>
              <w:jc w:val="left"/>
              <w:rPr/>
            </w:pPr>
            <w:r>
              <w:rPr/>
              <w:t> </w:t>
            </w:r>
          </w:p>
        </w:tc>
      </w:tr>
      <w:tr>
        <w:trPr/>
        <w:tc>
          <w:tcPr>
            <w:tcW w:w="6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debt</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1,979,147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finance lease obligations, long-term debt and non-recourse debt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(44,722</w:t>
            </w:r>
          </w:p>
        </w:tc>
        <w:tc>
          <w:tcPr>
            <w:tcW w:w="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 long-term portion</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1,933,145</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As further discussed below, the exchange credit agreement included Tranche 3 Loans which were redeemed prior to December 31, 2022.</w:t>
      </w:r>
    </w:p>
    <w:p>
      <w:pPr>
        <w:pStyle w:val="TextBody"/>
        <w:bidi w:val="0"/>
        <w:jc w:val="left"/>
        <w:rPr>
          <w:rFonts w:ascii="Times New Roman" w:hAnsi="Times New Roman"/>
          <w:b/>
          <w:i/>
          <w:color w:val="000000"/>
          <w:sz w:val="20"/>
        </w:rPr>
      </w:pPr>
      <w:r>
        <w:rPr>
          <w:rFonts w:ascii="Times New Roman" w:hAnsi="Times New Roman"/>
          <w:b/>
          <w:i/>
          <w:color w:val="000000"/>
          <w:sz w:val="20"/>
        </w:rPr>
        <w:t>Exchange Offer</w:t>
      </w:r>
    </w:p>
    <w:p>
      <w:pPr>
        <w:pStyle w:val="TextBody"/>
        <w:bidi w:val="0"/>
        <w:jc w:val="left"/>
        <w:rPr>
          <w:rFonts w:ascii="Times New Roman" w:hAnsi="Times New Roman"/>
          <w:color w:val="000000"/>
          <w:sz w:val="20"/>
        </w:rPr>
      </w:pPr>
      <w:r>
        <w:rPr>
          <w:rFonts w:ascii="Times New Roman" w:hAnsi="Times New Roman"/>
          <w:color w:val="000000"/>
          <w:sz w:val="20"/>
        </w:rPr>
        <w:t>On August 19, 2022, the Company completed an exchange offer to exchange certain of its outstanding 5.125% Senior Notes due 2023, 5.875% Senior Notes due 2024, 6.00% Senior Notes due 2026 and certain revolving credit loans and term loans under its senior secured credit facility into newly issued Senior Second Lien Secured Notes and a new Exchange Credit Agreement as follows:</w:t>
      </w:r>
    </w:p>
    <w:p>
      <w:pPr>
        <w:pStyle w:val="TextBody"/>
        <w:bidi w:val="0"/>
        <w:jc w:val="left"/>
        <w:rPr>
          <w:rFonts w:ascii="Times New Roman" w:hAnsi="Times New Roman"/>
          <w:b/>
          <w:i/>
          <w:color w:val="000000"/>
          <w:sz w:val="20"/>
        </w:rPr>
      </w:pPr>
      <w:r>
        <w:rPr>
          <w:rFonts w:ascii="Times New Roman" w:hAnsi="Times New Roman"/>
          <w:b/>
          <w:i/>
          <w:color w:val="000000"/>
          <w:sz w:val="20"/>
        </w:rPr>
        <w:t>Amendment No. 4 and Amendment No. 5 to Existing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exchange offer, (i) the Company and GEO Corrections Holdings, Inc. (“Corrections”), as borrowers (the “Borrowers”), certain lenders (the “Consenting Lenders”) and BNP Paribas, as the existing administrative agent (the “Existing Administrative Agent”) under the Company’s existing senior secured credit agreement (the “Existing Credit Agreement”), entered into Amendment No. 4 to Third Amended and Restated Credit Agreement, dated as of August 19, 2022 (“Amendment No. 4”), and (ii) the Borrowers, certain subsidiaries of the Borrowers (the “Credit Facility Guarantors”), the Consenting Lenders, the Existing Administrative Agent, Alter Domus Products Corp., as the new administrative agent for the lenders under the amended existing credit agreement (in such capacity, the “Amended Credit Agreement Administrative Agent”), and Alter Domus Products Corp., as the administrative agent for the lenders under the Exchange Credit Agreement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defined below) (in such capacity, the “Exchange Credit Agreement Administrative Agent”), entered into Amendment No. 5 to Third Amended and Restated Credit Agreement, dated as of August 19, 2022 (“Amendment No. 5,” and the Existing Credit Agreement as amended by Amendment No. 4 and Amendment No. 5, the “Amended Credit Agreement”).</w:t>
      </w:r>
    </w:p>
    <w:p>
      <w:pPr>
        <w:pStyle w:val="TextBody"/>
        <w:bidi w:val="0"/>
        <w:jc w:val="left"/>
        <w:rPr>
          <w:rFonts w:ascii="Times New Roman" w:hAnsi="Times New Roman"/>
          <w:color w:val="000000"/>
          <w:sz w:val="20"/>
        </w:rPr>
      </w:pPr>
      <w:r>
        <w:rPr>
          <w:rFonts w:ascii="Times New Roman" w:hAnsi="Times New Roman"/>
          <w:color w:val="000000"/>
          <w:sz w:val="20"/>
        </w:rPr>
        <w:t>Pursuant to Amendment No. 4, the Borrowers and the Consenting Lenders amended the Existing Credit Agreement to permit the consummation of the Exchange Offers and Consent Solicitations described below. Pursuant to Amendment No. 5, (i) the Existing Administrative Agent was replaced as administrative agent under the Amended Credit Agreement with the Amended Credit Agreement Administrative Agent, (ii) the Borrowers and the Consenting Lenders agreed to amend the Existing Credit Agreement as set forth therein, (iii) the Company agreed to purchase the revolving credit commitments of certain Consenting Lenders under the Existing Credit Agreement and exchange such revolving credit commitments with revolving credit commitments under the Exchange Credit Agreement, (iv) certain Consenting Lenders holding such revolving credit commitments agreed to exchange their revolving credit loans and related obligations for cash, tranche 2 term loans under the Exchange Credit Agreement (“Tranche 2 Loans”) and tranche 3 term loans under the Exchange Credit Agreement (“Tranche 3 Loans”), (v) certain Consenting Lenders holding such revolving credit commitments agreed to assign their revolving credit loans and related obligations to certain other Consenting Lenders (who then agreed to exchange such assigned revolving credit loans and related obligations for tranche 1 term loans under the Exchange Credit Agreement (“Tranche 1 Loans”)) and exchange the remainder of such revolving credit loans and related obligations for cash, Tranche 2 Loans and/or Tranche 3 Loans, (vi) the Company agreed to purchase the term loans of certain Consenting Lenders under the Existing Credit Agreement and exchange such term loans with Tranche 1 Loans or a combination of Tranche 1 Loans and cash, and (vii) all letters of credit outstanding under the Existing Credit Agreement were deemed issued and outstanding under the Exchange Credit Agreement and no longer outstanding under the Existing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After giving effect to Amendment No. 4 and Amendment No. 5 and the transactions described therein, approximately $87 million in aggregate principal amount of revolving credit commitments and approximately $102 million in aggregate principal amount of term loans remained outstanding under the Amended Credit Agreement. The Credit Facility Guarantors continue to guarantee the obligations in respect of the commitments and loans under the Amended Credit Agreement, and the collateral securing the Borrowers’ and the Credit Facility Guarantors’ obligations in respect of the commitments and loans under the Existing Credit Agreement prior to the effectiveness of the transactions (the “Common Collateral”) continues to secure the Borrower’s and the Credit Facility Guarantors’ obligations in respect of the commitments and loans under the Amended Credit Agreement after giving effect to the transactions. Revolving credit loans under the Amended Credit Agreement will continue to bear interest at a per annum rate equal to LIBOR (with no LIBOR floor) plus 1.50% to 2.50%, and the Borrowers will continue to pay a fee in respect of unused revolving commitments under the Amended Credit Agreement at a per annum rate of 0.25% to 0.30%, in each case depending on the Company’s total leverage ratio as of the most recent determination date. Term loans under the Amended Credit Agreement will continue to bear interest at a per annum rate equal to LIBOR (subject to a floor of 0.75%) plus 2.00%. The revolving credit commitments under the Amended Credit Agreement terminate on May 17, 2024, and the term loans under the Amended Credit Agreement mature on March 23, 2024. The representations and warranties and affirmative and negative covenants in the Amended Credit Agreement were amended so that the representations and warranties and affirmative and negative covenants in the Exchange Credit Agreement are incorporated by reference into the Amended Credit Agreement. Subsequent to the transactions, but prior to December 31, 2022, the term loans were repaid in full. </w:t>
      </w:r>
    </w:p>
    <w:p>
      <w:pPr>
        <w:pStyle w:val="TextBody"/>
        <w:bidi w:val="0"/>
        <w:jc w:val="left"/>
        <w:rPr>
          <w:rFonts w:ascii="Times New Roman" w:hAnsi="Times New Roman"/>
          <w:color w:val="000000"/>
          <w:sz w:val="20"/>
        </w:rPr>
      </w:pPr>
      <w:r>
        <w:rPr>
          <w:rFonts w:ascii="Times New Roman" w:hAnsi="Times New Roman"/>
          <w:color w:val="000000"/>
          <w:sz w:val="20"/>
        </w:rPr>
        <w:t>The transactions were accounted for as an extinguishment of the revolving credit loan and term loans with the new Tranche 1, 2 and 3 Loans recorded at fair value. The Company used a third-party valuation firm to assist with the estimation of the fair values which were determined to be $884.6 million, $233.7 million and $43.6 million for the Tranche 1 Loans, Tranche 2 Loans and Tranche 3 Loans, respectively, resulting in a $27.4 million premium, $3.1 million discount and $1.6 million discount, respectively, at issuance. Refer to Note 9 - Fair Value of Assets and Liabilities for discussion on the valuation methodology and assumptions used to estimate the fair value. The premium and discounts are being amortized as non-cash interest expense over the terms of the Tranche 1, 2 and 3 Loans using the effective interest method. As a result, the Company recorded a net loss on extinguishment of debt of approximately $13.1 million and $50.9 million related to the revolving credit loans and term loans, respectively, during the year ended December 31, 2022. The net loss on extinguishment of debt represented the difference between the carrying values that were exchanged (including unamortized debt issuance costs) and the fair value of the Tranche 1, 2 and 3 Loans.</w:t>
      </w:r>
    </w:p>
    <w:p>
      <w:pPr>
        <w:pStyle w:val="TextBody"/>
        <w:bidi w:val="0"/>
        <w:jc w:val="left"/>
        <w:rPr>
          <w:rFonts w:ascii="Times New Roman" w:hAnsi="Times New Roman"/>
          <w:b/>
          <w:i/>
          <w:color w:val="000000"/>
          <w:sz w:val="20"/>
        </w:rPr>
      </w:pPr>
      <w:r>
        <w:rPr>
          <w:rFonts w:ascii="Times New Roman" w:hAnsi="Times New Roman"/>
          <w:b/>
          <w:i/>
          <w:color w:val="000000"/>
          <w:sz w:val="20"/>
        </w:rPr>
        <w:t>New Exchange Credit Agreement</w:t>
      </w:r>
    </w:p>
    <w:p>
      <w:pPr>
        <w:pStyle w:val="TextBody"/>
        <w:bidi w:val="0"/>
        <w:jc w:val="left"/>
        <w:rPr>
          <w:rFonts w:ascii="Times New Roman" w:hAnsi="Times New Roman"/>
          <w:color w:val="000000"/>
          <w:sz w:val="20"/>
        </w:rPr>
      </w:pPr>
      <w:r>
        <w:rPr>
          <w:rFonts w:ascii="Times New Roman" w:hAnsi="Times New Roman"/>
          <w:color w:val="000000"/>
          <w:sz w:val="20"/>
        </w:rPr>
        <w:t>In connection with the exchange offer, the Borrowers, the Consenting Lenders and the Exchange Credit Agreement Administrative Agent entered into a Credit Agreement, dated as of August 19, 2022 (the “Exchange Credit Agreement”), to, among other things, evidence and govern the exchanged revolving credit commitments (the “Exchange Revolving Credit Facility”), Tranche 1 Loans, Tranche 2 Loans and Tranche 3 Loans described above. On the transaction date, after giving effect to the transactions, the aggregate principal amount of revolving credit commitments under the Exchange Revolving Credit Facility was approximately $187 million (including a $175 million letter of credit subfacility), the aggregate principal amount of the Tranche 1 Loans was approximately $857 million, the aggregate principal amount of the Tranche 2 Loans was approximately $237 million and the aggregate principal amount of the Tranche 3 Loans was approximately $45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Revolving credit loans under the Exchange Revolving Credit Facility bear interest at a per annum rate equal to Term Secured Overnight Financing Rate (“SOFR”) (subject to a 0.75% floor) plus between 2.25% and 3.25%, and the Borrowers will pay a fee in respect of unused revolving commitments under the Exchange Revolving Credit Facility at a per annum rate of 0.25% to 0.30%, in each case depending on the Company’s total leverage ratio as of the most recent determination date. Tranche 1 Loans bear interest at a per annum rate equal to Term SOFR (subject to a 0.75% floor) plus 7.125%, Tranche 2 Loans bear interest at a per annum rate equal to Term SOFR (subject to a 0.75% floor) plus 6.125% and Tranche 3 Loans bear interest at a per annum rate equal to Term SOFR (subject to a 0.75% floor) plus 2.00%. At any time after the earlier of (x) February 19, 2024, solely in the event that no 2023 Notes (defined below) or 2024 Notes (defined below) remain outstanding at such time, and (y) November 1, 2024, (i) if the Company’s first lien leverage ratio is less than 1.50:1.00 at such time, then the interest rate margin on Tranche 1 Loans and Tranche 2 Loans will be reduced by 0.25%, and (ii) if the Company has achieved a public corporate credit rating of at least B3 or B-, as applicable (in any case with a stable or better outlook), from any two of S&amp;P, Moody’s and Fitch, then the interest rate margin on Tranche 1 Loans and Tranche 2 Loans will be reduced by 0.25%, resulting in a total reduction in the interest rate margin on Tranche 1 Loans and Tranche 2 Loans of 0.50% if both conditions set forth in clauses (i) and (ii) are satisfied. If, following any reduction in the interest rate margin in accordance with the previous sentence, the condition giving rise to such reduction is no longer satisfied as of the last day of the Company’s most recently ended fiscal quarter, such interest rate margin reduction will no longer apply unless and until such condition is satisfied again.</w:t>
      </w:r>
    </w:p>
    <w:p>
      <w:pPr>
        <w:pStyle w:val="TextBody"/>
        <w:bidi w:val="0"/>
        <w:jc w:val="left"/>
        <w:rPr>
          <w:rFonts w:ascii="Times New Roman" w:hAnsi="Times New Roman"/>
          <w:color w:val="000000"/>
          <w:sz w:val="20"/>
        </w:rPr>
      </w:pPr>
      <w:r>
        <w:rPr>
          <w:rFonts w:ascii="Times New Roman" w:hAnsi="Times New Roman"/>
          <w:color w:val="000000"/>
          <w:sz w:val="20"/>
        </w:rPr>
        <w:t>Loans under the Exchange Revolving Credit Facility may not be borrowed if, at the time of and immediately after giving pro forma effect to such extension of credit and any planned future expenditures entered into or expected to be made or payments on indebtedness required to be made, in each case within 60 days of such extension of credit, domestic unrestricted cash for the Company and its restricted subsidiaries exceeds $234 million. Tranche 1 Loans amortize at a rate of 1.25% per quarter, and Tranche 3 Loans amortize at a rate of 0.25% per quarter. Tranche 2 Loans are not subject to amortization. Mandatory prepayments of loans under the Exchange Credit Agreement are required in respect of certain casualty and asset sale proceeds, excess cash flow and domestic unrestricted cash in excess of $234 million as of the last day of any fiscal quarter, subject to certain thresholds and exceptions. Voluntary prepayments of Tranche 2 Loans, Tranche 3 Loans and loans under the Exchange Revolving Credit Facility may be made by the Borrowers at any time without premium or penalty (subject to reimbursement for customary breakage expenses). Voluntary prepayments of Tranche 1 Loans and any prepayments of Tranche 1 Loans required in connection with any acceleration of the maturity thereof require payment of a premium equal to (i) a customary “make whole” amount if made prior to the first anniversary of the transaction date, (ii) 3.00% of the principal amount prepaid or required to be prepaid if made on or after the first anniversary but prior to the second anniversary of the transaction date, and (iii) 2.00% of the principal amount prepaid or required to be prepaid if made on or after the second anniversary but prior to the third anniversary of the transaction date.</w:t>
      </w:r>
    </w:p>
    <w:p>
      <w:pPr>
        <w:pStyle w:val="TextBody"/>
        <w:bidi w:val="0"/>
        <w:jc w:val="left"/>
        <w:rPr>
          <w:rFonts w:ascii="Times New Roman" w:hAnsi="Times New Roman"/>
          <w:color w:val="000000"/>
          <w:sz w:val="20"/>
        </w:rPr>
      </w:pPr>
      <w:r>
        <w:rPr>
          <w:rFonts w:ascii="Times New Roman" w:hAnsi="Times New Roman"/>
          <w:color w:val="000000"/>
          <w:sz w:val="20"/>
        </w:rPr>
        <w:t xml:space="preserve">The revolving credit commitments under the Exchange Revolving Credit Facility terminate, and the Tranche 1 Loans and Tranche 2 Loans mature, in each case on the earliest of (i) March 23, 2027, and (ii) in the event that an aggregate principal amount equal to or greater than $100,000,000 of any Specified Senior Note (defined below) remains outstanding on the Springing Maturity Date (defined below) applicable thereto, such Springing Maturity Date, it being understood that Specified Senior Notes are not outstanding to the extent the Company or GEO Corrections Holdings, Inc., as applicable, shall have deposited or caused to be deposited funds into a customary irrevocable escrow in an amount sufficient to pay or redeem such Specified Senior Notes in full on the maturity date thereof, where “Specified Senior Notes” refers to each of the 2026 Notes and the Company’s 6.500% Exchangeable Senior Notes due 2026 (the “2026 Exchangeable Senior Notes”), and “Springing Maturity Date” means the date that is 91 days prior to the stated maturity date of the 2026 Notes or the 2026 Exchangeable Senior Notes, as applicable. The Tranche 3 Loans were to mature on March 23, 2024. Subsequent to the transaction, the Tranche 3 Loans were redeemed in full. </w:t>
      </w:r>
    </w:p>
    <w:p>
      <w:pPr>
        <w:pStyle w:val="TextBody"/>
        <w:bidi w:val="0"/>
        <w:jc w:val="left"/>
        <w:rPr>
          <w:rFonts w:ascii="Times New Roman" w:hAnsi="Times New Roman"/>
          <w:color w:val="000000"/>
          <w:sz w:val="20"/>
        </w:rPr>
      </w:pPr>
      <w:r>
        <w:rPr>
          <w:rFonts w:ascii="Times New Roman" w:hAnsi="Times New Roman"/>
          <w:color w:val="000000"/>
          <w:sz w:val="20"/>
        </w:rPr>
        <w:t>The Exchange Credit Agreement contains certain customary representations and warranties, affirmative covenants and negative covenants, including restrictions on the ability of the Company and its restricted subsidiaries to, among other things, (i) create, incur or assume any indebtedness, (ii) create, incur, assume or permit liens, (iii) make loans and investments, (iv) engage in mergers, acquisitions and asset sales, (v) make certain restricted payments, (vi) issue, sell or otherwise dispose of capital stock, (vii) engage in transactions with affiliates, (viii) cancel, forgive, make any voluntary or optional payment or prepayment on, or redeem or acquire for value any senior notes, except as permitted, (ix) engage in other businesses, except as permitted, and (x) materially impair the security interests securing the obligations under the Exchange Credit Agreement. The Exchange Credit Agreement also contains certain financial covenants, including a maximum total leverage ratio covenant of 6.25:1.00, a maximum first lien leverage ratio covenant of 3.50:1.00, a minimum interest coverage ratio covenant of 1.50:1.00 and a cap of $55 million on the amount of unrestricted cash that the Company’s foreign subsidiaries may hold as of the last day of any fiscal quarter. In addition, the Exchange Credit Agreement restricts the Company from electing to be taxed as a real estate investment trust under the Internal Revenue Code. The Exchange Credit Agreement also contains certain customary events of default.</w:t>
      </w:r>
    </w:p>
    <w:p>
      <w:pPr>
        <w:pStyle w:val="TextBody"/>
        <w:bidi w:val="0"/>
        <w:jc w:val="left"/>
        <w:rPr>
          <w:rFonts w:ascii="Times New Roman" w:hAnsi="Times New Roman"/>
          <w:color w:val="000000"/>
          <w:sz w:val="20"/>
        </w:rPr>
      </w:pPr>
      <w:r>
        <w:rPr>
          <w:rFonts w:ascii="Times New Roman" w:hAnsi="Times New Roman"/>
          <w:color w:val="000000"/>
          <w:sz w:val="20"/>
        </w:rPr>
        <w:t xml:space="preserve">The Credit Facility Guarantors guarantee the obligations in respect of the commitments and loans under the Exchange Credit Agreement. The obligations of the Borrowers and the Credit Facility Guarantors in respect of the Exchange Credit Agreement are secured by first-priority liens on the Common Collateral securing the obligations under the Amended Credit Agreement and, other than with respect to the Tranche 3 Loans, first-priority liens on certain additional assets of the Borrower and the Credit Facility Guarantors (the “Exclusive Collateral”), including real property interests with respect to which the Exchange Credit Agreement requires the execution and delivery of a mortgage but with respect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which the Amended Credit Agreement does not. The rights of the secured parties under the Amended Credit Agreement and the Exchange Credit Agreement in respect of the Common Collateral are governed by a First Lien Pari Passu Intercreditor Agreement (the “First Lien Pari Passu Intercreditor Agreement”), dated as of August 19, 2022, among the Amended Credit Agreement Administrative Agent, the Exchange Credit Agreement Administrative Agent and each additional senior representative party thereto from time to time, and acknowledged by the Borrower and the Credit Facility Guarantors.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Refinancing Revolving Credit Commitments Amendment</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14, 2023, the Company entered into and closed on the Amendment by and among each of GEO and GEO Corrections Holdings, Inc., as the Borrowers, the other loan parties named therein, the lender parties thereto and Alter Domus Products Corp., as administrative agent, to its Credit Agreement. The Amendment refinanced all of GEO’s outstanding revolving credit facility commitments under the Credit Agreement and under GEO’s Prior Credit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Amendment provides for approximately $265 million in refinancing revolving credit commitments maturing on March 23, 2027. Prior to the Amendment, a portion of the Company’s revolving credit commitments matured on May 17, 2024, and the balance of the Company’s revolving credit commitments matured on March 23, 2027. The Amendment further provides that interest will accrue on outstanding revolving credit loans at a rate with a reference to GEO’s total leverage ratio. Currently, revolving credit loans accruing interest at a SOFR based rate would accrue interest at the term SOFR rate for the applicable period plus 3.00% per annum. All other terms governing the refinancing revolving credit commitments remain substantially consistent with those governing the revolving credit commitments being refinanced. GEO currently has no outstanding borrowings under its revolving credit facility, as amended.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 refinancing transaction, the Company incurred approximately $2.4 million of debt issuance fees which are being amortized over the term of the Amendment using the effective interest method. The Company also wrote-off approximately $4.2 million in existing deferred loan costs to loss on extinguishment of debt as a result of the transaction.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Company had no borrowings under its revolver, and approximately $75.8 million in letters of credit which left approximately $189.2 million in additional borrowing capacity under the revolver. The weighted average interest rate on outstanding borrowings under the Credit Agreement as of December 31, 2023 was 12.35%.</w:t>
      </w:r>
    </w:p>
    <w:p>
      <w:pPr>
        <w:pStyle w:val="TextBody"/>
        <w:bidi w:val="0"/>
        <w:jc w:val="left"/>
        <w:rPr>
          <w:rFonts w:ascii="Times New Roman" w:hAnsi="Times New Roman"/>
          <w:b/>
          <w:i/>
          <w:color w:val="000000"/>
          <w:sz w:val="20"/>
        </w:rPr>
      </w:pPr>
      <w:r>
        <w:rPr>
          <w:rFonts w:ascii="Times New Roman" w:hAnsi="Times New Roman"/>
          <w:b/>
          <w:i/>
          <w:color w:val="000000"/>
          <w:sz w:val="20"/>
        </w:rPr>
        <w:t>5.125% Senior Notes due 2023 and 5.875% Senior Notes due 2024</w:t>
      </w:r>
    </w:p>
    <w:p>
      <w:pPr>
        <w:pStyle w:val="TextBody"/>
        <w:bidi w:val="0"/>
        <w:jc w:val="left"/>
        <w:rPr>
          <w:rFonts w:ascii="Times New Roman" w:hAnsi="Times New Roman"/>
          <w:color w:val="000000"/>
          <w:sz w:val="20"/>
        </w:rPr>
      </w:pPr>
      <w:r>
        <w:rPr>
          <w:rFonts w:ascii="Times New Roman" w:hAnsi="Times New Roman"/>
          <w:color w:val="000000"/>
          <w:sz w:val="20"/>
        </w:rPr>
        <w:t>The Company exchanged $100.6 million and $178.3 million principal amounts of its 5.125% Senior Notes due 2023 and 5.875% Senior Notes due 2024, respectively, for newly issued $286.5 million 10.500% Senior Second Lien Secured Notes maturing on June 30, 2028 ("New Registered Notes") and, if elected, cash upon the terms and subject to the conditions set forth in the prospectus. Holders of the 5.125% Senior Notes due 2023 could elect cash and new notes at 100% par or new notes only at 105% par. Holders of the 5.875% Senior Notes due 2024 could elect cash and new notes at 100% par or new notes only at 103% par. The transactions were accounted for as an extinguishment of the 5.125% Senior Notes due 2023 and the 5.875% Senior Notes due 2024, with the New Registered Notes recorded at fair value on the issuance date. The Company used a third-party valuation firm to assist with the estimation of the fair value which was determined to be $270.4 million resulting in a $16.2 million discount at issuance. Refer to Note 9 - Fair Value of Assets and Liabilities for discussion on the valuation methodology and assumptions used to estimate the fair value. The discount is being amortized as non-cash interest expense over the term of the New Registered Notes using the effective interest method. As a result, the Company recorded a net gain on extinguishment of debt of $7.2 million related to the 5.125% Senior Notes due 2023 and the 5.875% Senior Notes due 2024 which represented the difference between the carrying values that were exchanged (including unamortized debt issuance costs) and the fair value of the New Registered Notes. After the transactions, there was approximately $125.7 million and $23.3 million remaining in outstanding principal on the 5.125% Senior Notes due 2023 and the 5.875% Senior Notes due 2024, respectively. Subsequent to the transaction, the remaining balance of the 5.125% Senior Notes due 2023 was deposited on account with the Trustee and the Indenture was discharged. On October 6, 2022, the 5.125% Senior Notes due 2023 were redeemed in full. The 5.875% Senior Notes due 2024 will be redeemed in full effective March 2024. Refer to Note 17 - Subsequent Events for further information.</w:t>
      </w:r>
    </w:p>
    <w:p>
      <w:pPr>
        <w:pStyle w:val="TextBody"/>
        <w:bidi w:val="0"/>
        <w:jc w:val="left"/>
        <w:rPr>
          <w:rFonts w:ascii="Times New Roman" w:hAnsi="Times New Roman"/>
          <w:b/>
          <w:i/>
          <w:color w:val="000000"/>
          <w:sz w:val="20"/>
        </w:rPr>
      </w:pPr>
      <w:r>
        <w:rPr>
          <w:rFonts w:ascii="Times New Roman" w:hAnsi="Times New Roman"/>
          <w:b/>
          <w:i/>
          <w:color w:val="000000"/>
          <w:sz w:val="20"/>
        </w:rPr>
        <w:t>6.00% Senior Notes due 2026</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exchanged $239.1 million principal amount of its 6.000% Senior Notes due 2026 for newly issued $239.1 million 9.500% Senior Second Lien Secured Notes maturing on December 31, 2028 ("New Private Notes"). The transaction was accounted for as an extinguishment of the 6.00% Senior Notes due 2026, with the New Private Notes recorded at fair value on the issuance date. The Company used a third-party valuation firm to assist with the estimation of the fair value which was determined to be $215.7 million resulting in a $23.4 million discount at issuance. Refer to Note 9 - Fair Value of Assets and Liabilities for discussion on the valuation methodology and assumptions used to estimate the fair value. The discount is being amortized as non-cash interest expense over the term of the Private Notes due 2028 using the effective interest method. As a result, the Company recorded a net gain on extinguishment of debt of $21.6 million related to the 6.00% Senior Notes due 2026 which represented the difference between the carrying value that was exchanged (including unamortized debt issuance costs) and the fair value of the New Private Notes. After the transaction, there was approximately $110.9 million remaining in outstanding principal on the 6.00% Senior Notes due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description of the New Registered Notes and the New Private Notes is as follows:</w:t>
      </w:r>
    </w:p>
    <w:p>
      <w:pPr>
        <w:pStyle w:val="TextBody"/>
        <w:bidi w:val="0"/>
        <w:jc w:val="left"/>
        <w:rPr>
          <w:rFonts w:ascii="Times New Roman" w:hAnsi="Times New Roman"/>
          <w:b/>
          <w:i/>
          <w:color w:val="000000"/>
          <w:sz w:val="20"/>
        </w:rPr>
      </w:pPr>
      <w:r>
        <w:rPr>
          <w:rFonts w:ascii="Times New Roman" w:hAnsi="Times New Roman"/>
          <w:b/>
          <w:i/>
          <w:color w:val="000000"/>
          <w:sz w:val="20"/>
        </w:rPr>
        <w:t>Issuance of 10.500% Senior Second Lien Secured Notes due 2028</w:t>
      </w:r>
    </w:p>
    <w:p>
      <w:pPr>
        <w:pStyle w:val="TextBody"/>
        <w:bidi w:val="0"/>
        <w:jc w:val="left"/>
        <w:rPr>
          <w:rFonts w:ascii="Times New Roman" w:hAnsi="Times New Roman"/>
          <w:color w:val="000000"/>
          <w:sz w:val="20"/>
        </w:rPr>
      </w:pPr>
      <w:r>
        <w:rPr>
          <w:rFonts w:ascii="Times New Roman" w:hAnsi="Times New Roman"/>
          <w:color w:val="000000"/>
          <w:sz w:val="20"/>
        </w:rPr>
        <w:t>The Company issued $286.5 million aggregate principal amount of New Registered Notes pursuant to an Indenture, dated as of August 19, 2022 (the “Registered Notes Indenture”), among the Company, the guarantors named therein (the “Guarantors”) and Ankura Trust Company, LLC, as trustee and second lien collateral trustee (in such capacities, the “Trustee” and “Second Lien Collateral Trustee,” as applicable).</w:t>
      </w:r>
    </w:p>
    <w:p>
      <w:pPr>
        <w:pStyle w:val="TextBody"/>
        <w:bidi w:val="0"/>
        <w:jc w:val="left"/>
        <w:rPr>
          <w:rFonts w:ascii="Times New Roman" w:hAnsi="Times New Roman"/>
          <w:color w:val="000000"/>
          <w:sz w:val="20"/>
        </w:rPr>
      </w:pPr>
      <w:r>
        <w:rPr>
          <w:rFonts w:ascii="Times New Roman" w:hAnsi="Times New Roman"/>
          <w:color w:val="000000"/>
          <w:sz w:val="20"/>
        </w:rPr>
        <w:t>The New Registered Notes will initially be fully and unconditionally guaranteed (collectively, the “Registered Notes Guarantees”) by each of the Company’s Restricted Subsidiaries (as defined in the Registered Notes Indenture) that has guaranteed its obligations under the Exchange Credit Agreement and may be guaranteed by additional subsidiaries as described in the Registered Notes Indenture.</w:t>
      </w:r>
    </w:p>
    <w:p>
      <w:pPr>
        <w:pStyle w:val="TextBody"/>
        <w:bidi w:val="0"/>
        <w:jc w:val="left"/>
        <w:rPr>
          <w:rFonts w:ascii="Times New Roman" w:hAnsi="Times New Roman"/>
          <w:color w:val="000000"/>
          <w:sz w:val="20"/>
        </w:rPr>
      </w:pPr>
      <w:r>
        <w:rPr>
          <w:rFonts w:ascii="Times New Roman" w:hAnsi="Times New Roman"/>
          <w:color w:val="000000"/>
          <w:sz w:val="20"/>
        </w:rPr>
        <w:t>The New Registered Notes and the Registered Notes Guarantees are secured on a second-priority basis by the same collateral (the “Collateral”) that secures the obligations under the Exchange Credit Agreement in accordance with the terms of the Registered Notes Indenture and the Second Lien Collateral Trust Agreement, dated as of August 19, 2022 (as amended, supplemented or otherwise modified, the “Second Lien Collateral Trust Agreement”), among the Company, the Guarantors, the Second Lien Collateral Trustee and the Trustee. The Second Lien Collateral Trust Agreement sets forth therein the relative rights of the second-lien secured parties with respect to the Collateral and covering certain other matters relating to the administration of security interests. The Second Lien Collateral Trust Agreement generally controls substantially all matters related to the interest of the second-lien secured parties in the Collateral, including with respect to directing the Second Lien Collateral Trustee, distribution of proceeds and enforcement.</w:t>
      </w:r>
    </w:p>
    <w:p>
      <w:pPr>
        <w:pStyle w:val="TextBody"/>
        <w:bidi w:val="0"/>
        <w:jc w:val="left"/>
        <w:rPr>
          <w:rFonts w:ascii="Times New Roman" w:hAnsi="Times New Roman"/>
          <w:color w:val="000000"/>
          <w:sz w:val="20"/>
        </w:rPr>
      </w:pPr>
      <w:r>
        <w:rPr>
          <w:rFonts w:ascii="Times New Roman" w:hAnsi="Times New Roman"/>
          <w:color w:val="000000"/>
          <w:sz w:val="20"/>
        </w:rPr>
        <w:t>The New Registered Notes are also subject to the terms of the First Lien/Second Lien Intercreditor Agreement (the “First Lien/Second Lien Intercreditor Agreement”), dated August 19, 2022, among the Amended Credit Agreement Administrative Agent, the Exchange Credit Agreement Administrative Agent, each additional senior representative party thereto from time to time and the Second Lien Collateral Trustee and acknowledged by the Company and the Guarantors, and, in connection with the Exchange Offers and Consent Solicitations, the Second Lien Collateral Trustee entered into the First Lien/Second Lien Intercreditor Agreement with respect to the New Registered Notes and the New Private Notes. The First Lien/Second Lien Intercreditor Agreement restricts the actions permitted to be taken by the Second Lien Collateral Trustee with respect to the Collateral on behalf of the holders of the New Registered Notes and the New Private Notes, and the Second Lien Collateral Trustee, on behalf of itself and the holders of the New Registered Notes and the New Private Notes, agreed to limit certain other rights with respect to the Collateral during any insolvency proceeding.</w:t>
      </w:r>
    </w:p>
    <w:p>
      <w:pPr>
        <w:pStyle w:val="TextBody"/>
        <w:bidi w:val="0"/>
        <w:jc w:val="left"/>
        <w:rPr>
          <w:rFonts w:ascii="Times New Roman" w:hAnsi="Times New Roman"/>
          <w:color w:val="000000"/>
          <w:sz w:val="20"/>
        </w:rPr>
      </w:pPr>
      <w:r>
        <w:rPr>
          <w:rFonts w:ascii="Times New Roman" w:hAnsi="Times New Roman"/>
          <w:color w:val="000000"/>
          <w:sz w:val="20"/>
        </w:rPr>
        <w:t>The New Registered Notes bear interest at a rate of 10.500% per year, accruing from August 19, 2022. Interest on the New Registered Notes is payable semiannually in arrears on June 30 and December 31 of each year, beginning on December 31, 2022. The New Registered Notes will mature on June 30, 2028, subject to earlier repurchase or redemption in accordance with the terms of the Registered Notes Indenture.</w:t>
      </w:r>
    </w:p>
    <w:p>
      <w:pPr>
        <w:pStyle w:val="TextBody"/>
        <w:bidi w:val="0"/>
        <w:jc w:val="left"/>
        <w:rPr>
          <w:rFonts w:ascii="Times New Roman" w:hAnsi="Times New Roman"/>
          <w:color w:val="000000"/>
          <w:sz w:val="20"/>
        </w:rPr>
      </w:pPr>
      <w:r>
        <w:rPr>
          <w:rFonts w:ascii="Times New Roman" w:hAnsi="Times New Roman"/>
          <w:color w:val="000000"/>
          <w:sz w:val="20"/>
        </w:rPr>
        <w:t>The Company may redeem some or all of the New Registered Notes at any time upon not less than 10 nor more than 60 days’ notice, at a price equal to (a) 103% of the principal amount of the New Registered Notes redeemed, if redeemed prior to August 19, 2023, (b) 102% of the principal amount of the New Registered Notes redeemed, if redeemed on or after August 19, 2023, but prior to August 19, 2024, (c) 101% of the principal amount of the New Registered Notes redeemed, if redeemed on or after August 19, 2024, but prior to August 19, 2025 or (d) 100% of the principal amount of the New Registered Notes redeemed, if redeemed on or after August 19, 2025, in each case plus accrued and unpaid interest, if any, to, but not including, the redemption date and a make-whole premium set forth in the Registered Notes Indenture. If the Company experiences certain change of control events, the Company must offer to repurchase the New Registered Notes at 101% of their principal amount, plus accrued and unpaid interest, if any, to, but not including, the repurchase date.</w:t>
      </w:r>
    </w:p>
    <w:p>
      <w:pPr>
        <w:pStyle w:val="TextBody"/>
        <w:bidi w:val="0"/>
        <w:jc w:val="left"/>
        <w:rPr>
          <w:rFonts w:ascii="Times New Roman" w:hAnsi="Times New Roman"/>
          <w:color w:val="000000"/>
          <w:sz w:val="20"/>
        </w:rPr>
      </w:pPr>
      <w:r>
        <w:rPr>
          <w:rFonts w:ascii="Times New Roman" w:hAnsi="Times New Roman"/>
          <w:color w:val="000000"/>
          <w:sz w:val="20"/>
        </w:rPr>
        <w:t>The Registered Notes Indenture contains covenants that, among other things, restrict the Company’ ability and the ability of its restricted subsidiaries to incur certain additional indebtedness and issue preferred stock, make certain dividend payments, distributions, investments and other restricted payments, sell certain assets, agree to any restrictions on the ability of its restricted subsidiaries to make payments to the Company, create certain liens, merge, consolidate or sell all or substantially all of their assets and enter into certain transactions with affiliates. These covenants are subject to a number of important exceptions and qualifications as described in the Registered Notes Indenture.</w:t>
      </w:r>
    </w:p>
    <w:p>
      <w:pPr>
        <w:pStyle w:val="TextBody"/>
        <w:bidi w:val="0"/>
        <w:jc w:val="left"/>
        <w:rPr>
          <w:rFonts w:ascii="Times New Roman" w:hAnsi="Times New Roman"/>
          <w:b/>
          <w:color w:val="000000"/>
          <w:sz w:val="20"/>
        </w:rPr>
      </w:pPr>
      <w:r>
        <w:rPr>
          <w:rFonts w:ascii="Times New Roman" w:hAnsi="Times New Roman"/>
          <w:b/>
          <w:color w:val="000000"/>
          <w:sz w:val="20"/>
        </w:rPr>
        <w:t>Issuance of 9.500% Senior Second Lien Secured Notes due 2028</w:t>
      </w:r>
    </w:p>
    <w:p>
      <w:pPr>
        <w:pStyle w:val="TextBody"/>
        <w:bidi w:val="0"/>
        <w:jc w:val="left"/>
        <w:rPr>
          <w:rFonts w:ascii="Times New Roman" w:hAnsi="Times New Roman"/>
          <w:color w:val="000000"/>
          <w:sz w:val="20"/>
        </w:rPr>
      </w:pPr>
      <w:r>
        <w:rPr>
          <w:rFonts w:ascii="Times New Roman" w:hAnsi="Times New Roman"/>
          <w:color w:val="000000"/>
          <w:sz w:val="20"/>
        </w:rPr>
        <w:t>The Company issued $239.1 million aggregate principal amount of New Private Notes pursuant to an Indenture, dated as of August 19, 2022 (the “Private Notes Indenture”), among the Company, the Guarantors, the Trustee and the Second Lien Collateral Trustee.</w:t>
      </w:r>
    </w:p>
    <w:p>
      <w:pPr>
        <w:pStyle w:val="TextBody"/>
        <w:bidi w:val="0"/>
        <w:jc w:val="left"/>
        <w:rPr>
          <w:rFonts w:ascii="Times New Roman" w:hAnsi="Times New Roman"/>
          <w:color w:val="000000"/>
          <w:sz w:val="20"/>
        </w:rPr>
      </w:pPr>
      <w:r>
        <w:rPr>
          <w:rFonts w:ascii="Times New Roman" w:hAnsi="Times New Roman"/>
          <w:color w:val="000000"/>
          <w:sz w:val="20"/>
        </w:rPr>
        <w:t>The New Private Notes will initially be fully and unconditionally guaranteed (collectively, the “Private Notes Guarantees”) by each of the Company’s Restricted Subsidiaries (as defined in the Registered Notes Indenture) that has guaranteed its obligations under the Exchange Credit Agreement and may be guaranteed by additional subsidiaries as described in the Registered Notes Indenture.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New Private Notes and Private Notes Guarantees are subject to the terms of the Second Lien Collateral Trust Agreement and the First Lien/Second Lien Intercreditor Agreement described above on the same terms as the New Registered Notes.</w:t>
      </w:r>
    </w:p>
    <w:p>
      <w:pPr>
        <w:pStyle w:val="TextBody"/>
        <w:bidi w:val="0"/>
        <w:jc w:val="left"/>
        <w:rPr>
          <w:rFonts w:ascii="Times New Roman" w:hAnsi="Times New Roman"/>
          <w:color w:val="000000"/>
          <w:sz w:val="20"/>
        </w:rPr>
      </w:pPr>
      <w:r>
        <w:rPr>
          <w:rFonts w:ascii="Times New Roman" w:hAnsi="Times New Roman"/>
          <w:color w:val="000000"/>
          <w:sz w:val="20"/>
        </w:rPr>
        <w:t>The New Private Notes bear interest at a rate of 9.500% per year, accruing from August 19, 2022. Interest on the New Private Notes is payable semiannually in arrears on June 30 and December 31 of each year, beginning on December 31, 2022. The New Private Notes will mature on December 31, 2028, subject to earlier repurchase or redemption in accordance with the terms of the Private Notes Indenture.</w:t>
      </w:r>
    </w:p>
    <w:p>
      <w:pPr>
        <w:pStyle w:val="TextBody"/>
        <w:bidi w:val="0"/>
        <w:jc w:val="left"/>
        <w:rPr>
          <w:rFonts w:ascii="Times New Roman" w:hAnsi="Times New Roman"/>
          <w:color w:val="000000"/>
          <w:sz w:val="20"/>
        </w:rPr>
      </w:pPr>
      <w:r>
        <w:rPr>
          <w:rFonts w:ascii="Times New Roman" w:hAnsi="Times New Roman"/>
          <w:color w:val="000000"/>
          <w:sz w:val="20"/>
        </w:rPr>
        <w:t>The Company may redeem some or all of the New Private Notes at any time upon not less than 10 nor more than 60 days’ notice, at a price equal to (a) 103% of the principal amount of the New Private Notes redeemed, if redeemed prior to August 19, 2023, (b) 102% of the principal amount of the New Private Notes redeemed, if redeemed on or after August 19, 2023, but prior to August 19, 2024, (c) 101% of the principal amount of the New Private Notes redeemed, if redeemed on or after August 19, 2024, but prior to August 19, 2025 or (d) 100% of the principal amount of the New Private Notes redeemed, if redeemed on or after August 19, 2025, in each case plus accrued and unpaid interest, if any, to, but not including, the redemption date and a make-whole premium set forth in the Private Notes Indenture. If the Company experiences certain change of control events, the Company must offer to repurchase the New Private Notes at 101% of their principal amount, plus accrued and unpaid interest, if any, to, but not including, the repurchase date.</w:t>
      </w:r>
    </w:p>
    <w:p>
      <w:pPr>
        <w:pStyle w:val="TextBody"/>
        <w:bidi w:val="0"/>
        <w:jc w:val="left"/>
        <w:rPr>
          <w:rFonts w:ascii="Times New Roman" w:hAnsi="Times New Roman"/>
          <w:color w:val="000000"/>
          <w:sz w:val="20"/>
        </w:rPr>
      </w:pPr>
      <w:r>
        <w:rPr>
          <w:rFonts w:ascii="Times New Roman" w:hAnsi="Times New Roman"/>
          <w:color w:val="000000"/>
          <w:sz w:val="20"/>
        </w:rPr>
        <w:t>The Private Notes Indenture contains covenants that, among other things, restrict the Company’s ability and the ability of its restricted subsidiaries to incur certain additional indebtedness and issue preferred stock, make certain dividend payments, distributions, investments and other restricted payments, sell certain assets, agree to any restrictions on the ability of its restricted subsidiaries to make payments to the Company, create certain liens, merge, consolidate or sell all or substantially all of their assets and enter into certain transactions with affiliates. These covenants are subject to a number of important exceptions and qualifications as described in the Private Notes Indenture.</w:t>
      </w:r>
    </w:p>
    <w:p>
      <w:pPr>
        <w:pStyle w:val="TextBody"/>
        <w:bidi w:val="0"/>
        <w:jc w:val="left"/>
        <w:rPr>
          <w:rFonts w:ascii="Times New Roman" w:hAnsi="Times New Roman"/>
          <w:b/>
          <w:i/>
          <w:color w:val="000000"/>
          <w:sz w:val="20"/>
        </w:rPr>
      </w:pPr>
      <w:r>
        <w:rPr>
          <w:rFonts w:ascii="Times New Roman" w:hAnsi="Times New Roman"/>
          <w:b/>
          <w:i/>
          <w:color w:val="000000"/>
          <w:sz w:val="20"/>
        </w:rPr>
        <w:t>Debt Issuance Fees</w:t>
      </w:r>
    </w:p>
    <w:p>
      <w:pPr>
        <w:pStyle w:val="TextBody"/>
        <w:bidi w:val="0"/>
        <w:jc w:val="left"/>
        <w:rPr>
          <w:rFonts w:ascii="Times New Roman" w:hAnsi="Times New Roman"/>
          <w:color w:val="000000"/>
          <w:sz w:val="20"/>
        </w:rPr>
      </w:pPr>
      <w:r>
        <w:rPr>
          <w:rFonts w:ascii="Times New Roman" w:hAnsi="Times New Roman"/>
          <w:color w:val="000000"/>
          <w:sz w:val="20"/>
        </w:rPr>
        <w:t>As a result of the exchange offer related transactions discussed above, during the year ended December 31, 2022, the Company incurred a total of approximately $52.8 million of debt issuance fees which were allocated to the new revolving credit commitments, new Tranche 1, 2 and 3 Loans, New Registered Notes and New Private Notes based on their fair values at date of issuance. The debt issuance fees are being amortized over the terms of the respective agreements using the effective interest method.</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 repayment of the remaining principal balance of Term Loan B, the 5.125% Senior Notes due 2023 and the newly issued Tranche 3 Loans as discussed further above, during the year ended December 31, 2022, the Company wrote off an additional $2.3 million in deferred loan costs to loss on extinguishment of debt.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6.50% Exchangeable Senior Notes due 2026</w:t>
      </w:r>
    </w:p>
    <w:p>
      <w:pPr>
        <w:pStyle w:val="TextBody"/>
        <w:bidi w:val="0"/>
        <w:jc w:val="left"/>
        <w:rPr>
          <w:rFonts w:ascii="Times New Roman" w:hAnsi="Times New Roman"/>
          <w:color w:val="000000"/>
          <w:sz w:val="20"/>
        </w:rPr>
      </w:pPr>
      <w:r>
        <w:rPr>
          <w:rFonts w:ascii="Times New Roman" w:hAnsi="Times New Roman"/>
          <w:color w:val="000000"/>
          <w:sz w:val="20"/>
        </w:rPr>
        <w:t>On February 24, 2021, the Company’s wholly owned subsidiary, GEO Corrections Holdings, Inc. (“GEOCH”), completed a private offering of $230 million aggregate principal amount of Convertible Notes which included the full exercise of the initial purchasers’ over-allotment option to purchase an additional $30 million aggregate principal amount of Convertible Notes. The Convertible Notes will mature on February 23, 2026, unless earlier repurchased or exchanged. The Convertible Notes bear interest at the rate of 6.50% per year plus an additional amount based on the dividends paid by the Company on its common stock, $0.01 par value per share. Interest on the notes is payable semi-annually in arrears on March 1 and September 1 of each year, beginning on September 1, 2021. Interest expense related to the Convertible notes was $14.8 million and $12.9 million for the years ended December 31, 2022 and 2021, respectively.</w:t>
      </w:r>
    </w:p>
    <w:p>
      <w:pPr>
        <w:pStyle w:val="TextBody"/>
        <w:bidi w:val="0"/>
        <w:jc w:val="left"/>
        <w:rPr>
          <w:rFonts w:ascii="Times New Roman" w:hAnsi="Times New Roman"/>
          <w:color w:val="000000"/>
          <w:sz w:val="20"/>
        </w:rPr>
      </w:pPr>
      <w:r>
        <w:rPr>
          <w:rFonts w:ascii="Times New Roman" w:hAnsi="Times New Roman"/>
          <w:color w:val="000000"/>
          <w:sz w:val="20"/>
        </w:rPr>
        <w:t>Subject to certain restrictions on share ownership and transfer, holders may exchange the Convertible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Convertible Notes for each trading day of such measurement period was less than 98% of the product of the last reported sale price of the Company’s common stock and the exchange rate for the Convertible Notes on each such trading day; or (2) upon the occurrence of certain specified corporate events. On or after November 25, 2025, until the close of business on the second scheduled trading day immediately preceding the maturity date of the Convertible Notes, holders may exchange their Convertible Notes at any time, regardless of the foregoing circumstances. Upon exchange of a Convertible Note, GEO will pay or deliver, as the case may be, cash or a combination of cash and shares of the Company’s common stock. As of December 31, 2023, conditions had not been met to exchange the Convertible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Upon conversion, the Company will pay or deliver, as the case may be, cash or a combination of cash and shares of common stock. The initial conversion rate is 108.4011 shares of common stock per $1,000 principal amount of Convertible Notes (equivalent to an initial conversion price of approximately $9.225 per share of common stock). The conversion rate will be subject to adjustment in certain events. If the Company or GEOCH undergoes a fundamental change, holders may require GEOCH to purchase the Convertible Notes in whole or in part for cash at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fundamental change purchase price equal to 100% of the principal amount of the Convertible Notes to be purchased, plus accrued and unpaid interest, if any, to, but excluding, the fundamental change purchase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the net proceeds from this offering, including the exercise in full of the initial purchasers' over-allotment option to fund the redemption of the then outstanding amount of approximately $194.0 million of the Company’s 5.875% Senior Notes due 2022, to re-purchase additional senior notes and used remaining net proceeds to pay related transaction fees and expenses, and for general corporate purposes of the Company. As a result of the redemption, deferred loan costs in the amount of approximately $0.7 million were written off to loss on extinguishment of debt during the year ended December 31,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Convertible Notes were offered in the United States only to persons reasonably believed to be “qualified institutional buyers” pursuant to Rule 144A under the Securities Act, and outside of the United States to non-U.S. persons in compliance with Regulation S under the Securities Act. Neither the Convertible Notes nor any of the shares of the Company’s common stock issuable upon exchange of the Convertible Notes, if any, have been, or will be, registered under the Securities Act and, unless so registered, may not be offered or sold in the United States, except pursuant to an applicable exemption from the registration requirements under the Securities Act.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elected to early adopt Accounting Standards Update ("ASU") 2020-06, Debt – Debt with Conversion and Other Options and Derivatives and Hedging – Contracts in Entity’s Own Equity, on January 1, 2021. The new standard simplifies the accounting for convertible debt by removing the requirements to separately present certain conversion features in equity. In addition, the new standard also simplifies the guidance in ASC 815-40, Derivatives and Hedging – Contract in Entity’s Own Equity, by removing certain criteria that must be satisfied to classify a contract as equity. Finally, the new standard revised the guidance on calculating earnings per share. The Company determined under the guidance of the new standard that the embedded conversion option does not require bifurcation and all proceeds were allocated to the Convertible Notes as a single instrument and is included in Long-Term Debt in the accompanying consolidated balance sheets. The costs incurred in the issuance, including the initial purchasers discount, totaling approximately $9.6 million, are classified as a cash outflow within the financing activities section in the consolidated statement of cash flows, and are also being amortized to expense over the term of the Convertible Notes. </w:t>
      </w:r>
    </w:p>
    <w:p>
      <w:pPr>
        <w:pStyle w:val="TextBody"/>
        <w:bidi w:val="0"/>
        <w:jc w:val="left"/>
        <w:rPr>
          <w:rFonts w:ascii="Times New Roman" w:hAnsi="Times New Roman"/>
          <w:color w:val="000000"/>
          <w:sz w:val="20"/>
        </w:rPr>
      </w:pPr>
      <w:r>
        <w:rPr>
          <w:rFonts w:ascii="Times New Roman" w:hAnsi="Times New Roman"/>
          <w:color w:val="000000"/>
          <w:sz w:val="20"/>
        </w:rPr>
        <w:t>Because the Company currently intends to settle conversions by paying cash up to the principal amount of the Convertible Notes, with any excess conversion value settled in shares of common stock, the Convertible Notes are being accounted for using the net settlement method (or treasury stock-type method) for the purposes of calculating diluted earnings per share. Using this method, the denominator will be affected when the average share price of the Company's common stock for a given period is greater than the conversion price of approximately $9.225 per share. There was no dilutive impact for the years ended December 31, 2023 and 2022.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w:t>
      </w:r>
    </w:p>
    <w:p>
      <w:pPr>
        <w:pStyle w:val="TextBody"/>
        <w:bidi w:val="0"/>
        <w:jc w:val="left"/>
        <w:rPr>
          <w:rFonts w:ascii="Times New Roman" w:hAnsi="Times New Roman"/>
          <w:color w:val="000000"/>
          <w:sz w:val="20"/>
        </w:rPr>
      </w:pPr>
      <w:r>
        <w:rPr>
          <w:rFonts w:ascii="Times New Roman" w:hAnsi="Times New Roman"/>
          <w:color w:val="000000"/>
          <w:sz w:val="20"/>
        </w:rPr>
        <w:t>In August of 2019, the Company entered into two identical Notes in the aggregate amount of $44.3 million which are secured by loan agreements and mortgage and security agreements on certain real property and improvements. The terms of the Notes are through September 1, 2034 and bear interest at SOFR plus 205 basis points and are payable in monthly installments plus interest. The Company has entered into interest rate swap agreements to fix the interest rate to 4.22%. Included in the balance at December 31, 2023 is $0.5 million of deferred loan costs incurred in the transaction. Refer to Note 6 - Derivative Financial Instruments for further information.</w:t>
      </w:r>
    </w:p>
    <w:p>
      <w:pPr>
        <w:pStyle w:val="TextBody"/>
        <w:bidi w:val="0"/>
        <w:spacing w:before="27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Debt Repayment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Debt repayment schedules under Finance Lease Obligations, Long-Term Debt, Term Loans and the Exchange Credit Agreement are as follows:</w:t>
      </w:r>
    </w:p>
    <w:p>
      <w:pPr>
        <w:pStyle w:val="TextBody"/>
        <w:bidi w:val="0"/>
        <w:jc w:val="left"/>
        <w:rPr/>
      </w:pPr>
      <w:r>
        <w:rPr/>
        <w:t> </w:t>
      </w:r>
    </w:p>
    <w:tbl>
      <w:tblPr>
        <w:tblW w:w="9140" w:type="dxa"/>
        <w:jc w:val="left"/>
        <w:tblInd w:w="0" w:type="dxa"/>
        <w:tblLayout w:type="fixed"/>
        <w:tblCellMar>
          <w:top w:w="28" w:type="dxa"/>
          <w:left w:w="28" w:type="dxa"/>
          <w:bottom w:w="28" w:type="dxa"/>
          <w:right w:w="28" w:type="dxa"/>
        </w:tblCellMar>
      </w:tblPr>
      <w:tblGrid>
        <w:gridCol w:w="2881"/>
        <w:gridCol w:w="146"/>
        <w:gridCol w:w="211"/>
        <w:gridCol w:w="571"/>
        <w:gridCol w:w="166"/>
        <w:gridCol w:w="146"/>
        <w:gridCol w:w="211"/>
        <w:gridCol w:w="781"/>
        <w:gridCol w:w="166"/>
        <w:gridCol w:w="146"/>
        <w:gridCol w:w="290"/>
        <w:gridCol w:w="476"/>
        <w:gridCol w:w="146"/>
        <w:gridCol w:w="146"/>
        <w:gridCol w:w="211"/>
        <w:gridCol w:w="781"/>
        <w:gridCol w:w="166"/>
        <w:gridCol w:w="146"/>
        <w:gridCol w:w="211"/>
        <w:gridCol w:w="931"/>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Revolver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br/>
              <w:t>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Repayment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02"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55,910</w:t>
            </w:r>
          </w:p>
        </w:tc>
        <w:tc>
          <w:tcPr>
            <w:tcW w:w="211" w:type="dxa"/>
            <w:tcBorders/>
            <w:shd w:fill="CFF0FC"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44,670</w:t>
            </w:r>
          </w:p>
        </w:tc>
        <w:tc>
          <w:tcPr>
            <w:tcW w:w="211" w:type="dxa"/>
            <w:tcBorders/>
            <w:shd w:fill="FFFFFF" w:val="clear"/>
            <w:vAlign w:val="center"/>
          </w:tcPr>
          <w:p>
            <w:pPr>
              <w:pStyle w:val="TableContents"/>
              <w:bidi w:val="0"/>
              <w:spacing w:before="0" w:after="283"/>
              <w:jc w:val="left"/>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385,068</w:t>
            </w:r>
          </w:p>
        </w:tc>
        <w:tc>
          <w:tcPr>
            <w:tcW w:w="211" w:type="dxa"/>
            <w:tcBorders/>
            <w:shd w:fill="CFF0FC"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791,653</w:t>
            </w:r>
          </w:p>
        </w:tc>
        <w:tc>
          <w:tcPr>
            <w:tcW w:w="211" w:type="dxa"/>
            <w:tcBorders/>
            <w:shd w:fill="FFFFFF" w:val="clear"/>
            <w:vAlign w:val="center"/>
          </w:tcPr>
          <w:p>
            <w:pPr>
              <w:pStyle w:val="TableContents"/>
              <w:bidi w:val="0"/>
              <w:spacing w:before="0" w:after="283"/>
              <w:jc w:val="left"/>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527,112</w:t>
            </w:r>
          </w:p>
        </w:tc>
        <w:tc>
          <w:tcPr>
            <w:tcW w:w="211" w:type="dxa"/>
            <w:tcBorders/>
            <w:shd w:fill="CFF0FC"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1,837,554</w:t>
            </w:r>
          </w:p>
        </w:tc>
        <w:tc>
          <w:tcPr>
            <w:tcW w:w="211" w:type="dxa"/>
            <w:tcBorders/>
            <w:shd w:fill="CFF0FC"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imputed on 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premium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1,765,622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i/>
          <w:color w:val="000000"/>
          <w:sz w:val="20"/>
        </w:rPr>
      </w:pPr>
      <w:r>
        <w:rPr>
          <w:rFonts w:ascii="Times New Roman" w:hAnsi="Times New Roman"/>
          <w:i/>
          <w:color w:val="000000"/>
          <w:sz w:val="20"/>
        </w:rPr>
        <w:t>Guarantees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entered into certain guarantees in connection with the performance of a facility in Australia. The obligations amounted to approximately AUD53.1 million, or $36.2 million, based on exchange rates in effect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the Company also had five letters of guarantee outstanding under separate international facilities relating to performance guarantees of its Australian subsidiary totaling $9.1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discussed above, the Company does not have any off-balance sheet arrangements.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operating and finance leases for facilities, ground leases, office space, computers, copier equipment and transportation vehicles that have remaining lease terms of one year to seventy-seven years, some of which include options to extend the lease for up to ten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related assets and liabilities are recorded on the balance sheet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5"/>
        <w:gridCol w:w="146"/>
        <w:gridCol w:w="4737"/>
        <w:gridCol w:w="146"/>
        <w:gridCol w:w="287"/>
        <w:gridCol w:w="1066"/>
        <w:gridCol w:w="146"/>
        <w:gridCol w:w="146"/>
        <w:gridCol w:w="315"/>
        <w:gridCol w:w="1008"/>
        <w:gridCol w:w="393"/>
      </w:tblGrid>
      <w:tr>
        <w:trPr/>
        <w:tc>
          <w:tcPr>
            <w:tcW w:w="1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8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 on the 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4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3"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47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90,950</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assets</w:t>
            </w:r>
          </w:p>
        </w:tc>
        <w:tc>
          <w:tcPr>
            <w:tcW w:w="146" w:type="dxa"/>
            <w:tcBorders/>
            <w:shd w:fill="CFF0FC" w:val="clear"/>
            <w:vAlign w:val="center"/>
          </w:tcPr>
          <w:p>
            <w:pPr>
              <w:pStyle w:val="TableContents"/>
              <w:bidi w:val="0"/>
              <w:spacing w:before="0" w:after="283"/>
              <w:jc w:val="left"/>
              <w:rPr/>
            </w:pPr>
            <w:r>
              <w:rPr/>
              <w:t> </w:t>
            </w:r>
          </w:p>
        </w:tc>
        <w:tc>
          <w:tcPr>
            <w:tcW w:w="47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FFFFFF" w:val="clear"/>
            <w:vAlign w:val="center"/>
          </w:tcPr>
          <w:p>
            <w:pPr>
              <w:pStyle w:val="TableContents"/>
              <w:bidi w:val="0"/>
              <w:spacing w:before="0" w:after="283"/>
              <w:jc w:val="left"/>
              <w:rPr/>
            </w:pPr>
            <w:r>
              <w:rPr/>
              <w:t> </w:t>
            </w:r>
          </w:p>
        </w:tc>
        <w:tc>
          <w:tcPr>
            <w:tcW w:w="47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473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3"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181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47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18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473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23"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vAlign w:val="center"/>
          </w:tcPr>
          <w:p>
            <w:pPr>
              <w:pStyle w:val="TableContents"/>
              <w:bidi w:val="0"/>
              <w:spacing w:before="0" w:after="283"/>
              <w:jc w:val="left"/>
              <w:rPr/>
            </w:pPr>
            <w:r>
              <w:rPr/>
              <w:t> </w:t>
            </w:r>
          </w:p>
        </w:tc>
        <w:tc>
          <w:tcPr>
            <w:tcW w:w="47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[1]</w:t>
            </w:r>
          </w:p>
        </w:tc>
        <w:tc>
          <w:tcPr>
            <w:tcW w:w="146" w:type="dxa"/>
            <w:tcBorders/>
            <w:shd w:fill="CFF0FC" w:val="clear"/>
            <w:vAlign w:val="center"/>
          </w:tcPr>
          <w:p>
            <w:pPr>
              <w:pStyle w:val="TableContents"/>
              <w:bidi w:val="0"/>
              <w:spacing w:before="0" w:after="283"/>
              <w:jc w:val="left"/>
              <w:rPr/>
            </w:pPr>
            <w:r>
              <w:rPr/>
              <w:t> </w:t>
            </w:r>
          </w:p>
        </w:tc>
        <w:tc>
          <w:tcPr>
            <w:tcW w:w="47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finance liabilities, long-term debt and non-recourse debt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393" w:type="dxa"/>
            <w:tcBorders/>
            <w:shd w:fill="CFF0FC"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vAlign w:val="center"/>
          </w:tcPr>
          <w:p>
            <w:pPr>
              <w:pStyle w:val="TableContents"/>
              <w:bidi w:val="0"/>
              <w:spacing w:before="0" w:after="283"/>
              <w:jc w:val="left"/>
              <w:rPr/>
            </w:pPr>
            <w:r>
              <w:rPr/>
              <w:t> </w:t>
            </w:r>
          </w:p>
        </w:tc>
        <w:tc>
          <w:tcPr>
            <w:tcW w:w="47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2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18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vAlign w:val="center"/>
          </w:tcPr>
          <w:p>
            <w:pPr>
              <w:pStyle w:val="TableContents"/>
              <w:bidi w:val="0"/>
              <w:spacing w:before="0" w:after="283"/>
              <w:jc w:val="left"/>
              <w:rPr/>
            </w:pPr>
            <w:r>
              <w:rPr/>
              <w:t> </w:t>
            </w:r>
          </w:p>
        </w:tc>
        <w:tc>
          <w:tcPr>
            <w:tcW w:w="47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73,801</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18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[1]</w:t>
            </w:r>
          </w:p>
        </w:tc>
        <w:tc>
          <w:tcPr>
            <w:tcW w:w="146" w:type="dxa"/>
            <w:tcBorders/>
            <w:shd w:fill="FFFFFF" w:val="clear"/>
            <w:vAlign w:val="center"/>
          </w:tcPr>
          <w:p>
            <w:pPr>
              <w:pStyle w:val="TableContents"/>
              <w:bidi w:val="0"/>
              <w:spacing w:before="0" w:after="283"/>
              <w:jc w:val="left"/>
              <w:rPr/>
            </w:pPr>
            <w:r>
              <w:rPr/>
              <w:t> </w:t>
            </w:r>
          </w:p>
        </w:tc>
        <w:tc>
          <w:tcPr>
            <w:tcW w:w="47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4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98,362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Also refer to Note 11 - Debt.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related to the lease costs for finance and operating leases is presented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40"/>
        <w:gridCol w:w="146"/>
        <w:gridCol w:w="355"/>
        <w:gridCol w:w="1137"/>
        <w:gridCol w:w="271"/>
        <w:gridCol w:w="146"/>
        <w:gridCol w:w="355"/>
        <w:gridCol w:w="1137"/>
        <w:gridCol w:w="518"/>
      </w:tblGrid>
      <w:tr>
        <w:trPr/>
        <w:tc>
          <w:tcPr>
            <w:tcW w:w="6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61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2022</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37,362</w:t>
            </w:r>
          </w:p>
        </w:tc>
        <w:tc>
          <w:tcPr>
            <w:tcW w:w="518" w:type="dxa"/>
            <w:tcBorders/>
            <w:shd w:fill="CFF0FC"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vAlign w:val="center"/>
          </w:tcPr>
          <w:p>
            <w:pPr>
              <w:pStyle w:val="TableContents"/>
              <w:bidi w:val="0"/>
              <w:spacing w:before="0" w:after="283"/>
              <w:jc w:val="left"/>
              <w:rPr/>
            </w:pPr>
            <w:r>
              <w:rPr/>
              <w:t> </w:t>
            </w:r>
          </w:p>
        </w:tc>
        <w:tc>
          <w:tcPr>
            <w:tcW w:w="14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2" w:type="dxa"/>
            <w:gridSpan w:val="2"/>
            <w:tcBorders/>
            <w:shd w:fill="FFFFFF" w:val="clear"/>
            <w:vAlign w:val="center"/>
          </w:tcPr>
          <w:p>
            <w:pPr>
              <w:pStyle w:val="TableContents"/>
              <w:bidi w:val="0"/>
              <w:spacing w:before="0" w:after="283"/>
              <w:jc w:val="right"/>
              <w:rPr/>
            </w:pPr>
            <w:r>
              <w:rPr/>
              <w:t> </w:t>
            </w:r>
          </w:p>
        </w:tc>
        <w:tc>
          <w:tcPr>
            <w:tcW w:w="518" w:type="dxa"/>
            <w:tcBorders/>
            <w:shd w:fill="FFFFFF" w:val="clear"/>
            <w:vAlign w:val="center"/>
          </w:tcPr>
          <w:p>
            <w:pPr>
              <w:pStyle w:val="TableContents"/>
              <w:bidi w:val="0"/>
              <w:spacing w:before="0" w:after="283"/>
              <w:ind w:left="0" w:right="0" w:firstLine="200"/>
              <w:jc w:val="right"/>
              <w:rPr/>
            </w:pPr>
            <w:r>
              <w:rPr/>
              <w:t> </w:t>
            </w:r>
          </w:p>
        </w:tc>
      </w:tr>
      <w:tr>
        <w:trPr/>
        <w:tc>
          <w:tcPr>
            <w:tcW w:w="61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518" w:type="dxa"/>
            <w:tcBorders/>
            <w:shd w:fill="CFF0FC" w:val="clear"/>
            <w:vAlign w:val="center"/>
          </w:tcPr>
          <w:p>
            <w:pPr>
              <w:pStyle w:val="TableContents"/>
              <w:bidi w:val="0"/>
              <w:spacing w:before="0" w:after="283"/>
              <w:ind w:left="0" w:right="0" w:firstLine="200"/>
              <w:jc w:val="left"/>
              <w:rPr/>
            </w:pPr>
            <w:r>
              <w:rPr/>
              <w:t> </w:t>
            </w:r>
          </w:p>
        </w:tc>
      </w:tr>
      <w:tr>
        <w:trPr/>
        <w:tc>
          <w:tcPr>
            <w:tcW w:w="61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finance lease cost</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518" w:type="dxa"/>
            <w:tcBorders/>
            <w:shd w:fill="CFF0FC"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43,875</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vAlign w:val="center"/>
          </w:tcPr>
          <w:p>
            <w:pPr>
              <w:pStyle w:val="TableContents"/>
              <w:bidi w:val="0"/>
              <w:spacing w:before="0" w:after="283"/>
              <w:jc w:val="left"/>
              <w:rPr/>
            </w:pPr>
            <w:r>
              <w:rPr/>
              <w:t> </w:t>
            </w:r>
          </w:p>
        </w:tc>
        <w:tc>
          <w:tcPr>
            <w:tcW w:w="14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2" w:type="dxa"/>
            <w:gridSpan w:val="2"/>
            <w:tcBorders/>
            <w:shd w:fill="FFFFFF" w:val="clear"/>
            <w:vAlign w:val="center"/>
          </w:tcPr>
          <w:p>
            <w:pPr>
              <w:pStyle w:val="TableContents"/>
              <w:bidi w:val="0"/>
              <w:spacing w:before="0" w:after="283"/>
              <w:jc w:val="right"/>
              <w:rPr/>
            </w:pPr>
            <w:r>
              <w:rPr/>
              <w:t> </w:t>
            </w:r>
          </w:p>
        </w:tc>
        <w:tc>
          <w:tcPr>
            <w:tcW w:w="518" w:type="dxa"/>
            <w:tcBorders/>
            <w:shd w:fill="FFFFFF" w:val="clear"/>
            <w:vAlign w:val="center"/>
          </w:tcPr>
          <w:p>
            <w:pPr>
              <w:pStyle w:val="TableContents"/>
              <w:bidi w:val="0"/>
              <w:spacing w:before="0" w:after="283"/>
              <w:ind w:left="0" w:right="0" w:firstLine="200"/>
              <w:jc w:val="right"/>
              <w:rPr/>
            </w:pPr>
            <w:r>
              <w:rPr/>
              <w:t> </w:t>
            </w:r>
          </w:p>
        </w:tc>
      </w:tr>
      <w:tr>
        <w:trPr/>
        <w:tc>
          <w:tcPr>
            <w:tcW w:w="61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for operating leases</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37,836</w:t>
            </w:r>
          </w:p>
        </w:tc>
        <w:tc>
          <w:tcPr>
            <w:tcW w:w="518" w:type="dxa"/>
            <w:tcBorders/>
            <w:shd w:fill="CFF0FC" w:val="clear"/>
            <w:vAlign w:val="center"/>
          </w:tcPr>
          <w:p>
            <w:pPr>
              <w:pStyle w:val="TableContents"/>
              <w:bidi w:val="0"/>
              <w:spacing w:before="0" w:after="283"/>
              <w:ind w:left="0" w:right="0" w:firstLine="200"/>
              <w:jc w:val="left"/>
              <w:rPr/>
            </w:pPr>
            <w:r>
              <w:rPr/>
              <w:t> </w:t>
            </w:r>
          </w:p>
        </w:tc>
      </w:tr>
      <w:tr>
        <w:trPr/>
        <w:tc>
          <w:tcPr>
            <w:tcW w:w="61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for finance leases</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518" w:type="dxa"/>
            <w:tcBorders/>
            <w:shd w:fill="FFFFFF" w:val="clear"/>
            <w:vAlign w:val="center"/>
          </w:tcPr>
          <w:p>
            <w:pPr>
              <w:pStyle w:val="TableContents"/>
              <w:bidi w:val="0"/>
              <w:spacing w:before="0" w:after="283"/>
              <w:ind w:left="0" w:right="0" w:firstLine="200"/>
              <w:jc w:val="left"/>
              <w:rPr/>
            </w:pPr>
            <w:r>
              <w:rPr/>
              <w:t> </w:t>
            </w:r>
          </w:p>
        </w:tc>
      </w:tr>
      <w:tr>
        <w:trPr/>
        <w:tc>
          <w:tcPr>
            <w:tcW w:w="61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 for finance leases</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518" w:type="dxa"/>
            <w:tcBorders/>
            <w:shd w:fill="CFF0FC"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11,697</w:t>
            </w:r>
          </w:p>
        </w:tc>
        <w:tc>
          <w:tcPr>
            <w:tcW w:w="518" w:type="dxa"/>
            <w:tcBorders/>
            <w:shd w:fill="FFFFFF" w:val="clear"/>
            <w:vAlign w:val="center"/>
          </w:tcPr>
          <w:p>
            <w:pPr>
              <w:pStyle w:val="TableContents"/>
              <w:bidi w:val="0"/>
              <w:spacing w:before="0" w:after="283"/>
              <w:jc w:val="left"/>
              <w:rPr/>
            </w:pPr>
            <w:r>
              <w:rPr/>
              <w:t> </w:t>
            </w:r>
          </w:p>
        </w:tc>
      </w:tr>
      <w:tr>
        <w:trPr/>
        <w:tc>
          <w:tcPr>
            <w:tcW w:w="61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finance lease liabilities</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vAlign w:val="center"/>
          </w:tcPr>
          <w:p>
            <w:pPr>
              <w:pStyle w:val="TableContents"/>
              <w:bidi w:val="0"/>
              <w:spacing w:before="0" w:after="283"/>
              <w:jc w:val="right"/>
              <w:rPr>
                <w:color w:val="000000"/>
              </w:rPr>
            </w:pPr>
            <w:r>
              <w:rPr>
                <w:color w:val="000000"/>
              </w:rPr>
              <w:t>—</w:t>
            </w:r>
          </w:p>
        </w:tc>
        <w:tc>
          <w:tcPr>
            <w:tcW w:w="518" w:type="dxa"/>
            <w:tcBorders/>
            <w:shd w:fill="CFF0FC"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vAlign w:val="center"/>
          </w:tcPr>
          <w:p>
            <w:pPr>
              <w:pStyle w:val="TableContents"/>
              <w:bidi w:val="0"/>
              <w:spacing w:before="0" w:after="283"/>
              <w:jc w:val="left"/>
              <w:rPr/>
            </w:pPr>
            <w:r>
              <w:rPr/>
              <w:t> </w:t>
            </w:r>
          </w:p>
        </w:tc>
        <w:tc>
          <w:tcPr>
            <w:tcW w:w="14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2" w:type="dxa"/>
            <w:gridSpan w:val="2"/>
            <w:tcBorders/>
            <w:shd w:fill="FFFFFF" w:val="clear"/>
            <w:vAlign w:val="center"/>
          </w:tcPr>
          <w:p>
            <w:pPr>
              <w:pStyle w:val="TableContents"/>
              <w:bidi w:val="0"/>
              <w:spacing w:before="0" w:after="283"/>
              <w:jc w:val="right"/>
              <w:rPr/>
            </w:pPr>
            <w:r>
              <w:rPr/>
              <w:t> </w:t>
            </w:r>
          </w:p>
        </w:tc>
        <w:tc>
          <w:tcPr>
            <w:tcW w:w="518" w:type="dxa"/>
            <w:tcBorders/>
            <w:shd w:fill="FFFFFF" w:val="clear"/>
            <w:vAlign w:val="center"/>
          </w:tcPr>
          <w:p>
            <w:pPr>
              <w:pStyle w:val="TableContents"/>
              <w:bidi w:val="0"/>
              <w:spacing w:before="0" w:after="283"/>
              <w:ind w:left="0" w:right="0" w:firstLine="200"/>
              <w:jc w:val="right"/>
              <w:rPr/>
            </w:pPr>
            <w:r>
              <w:rPr/>
              <w:t> </w:t>
            </w:r>
          </w:p>
        </w:tc>
      </w:tr>
      <w:tr>
        <w:trPr/>
        <w:tc>
          <w:tcPr>
            <w:tcW w:w="61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49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 years</w:t>
            </w:r>
          </w:p>
        </w:tc>
        <w:tc>
          <w:tcPr>
            <w:tcW w:w="518" w:type="dxa"/>
            <w:tcBorders/>
            <w:shd w:fill="CFF0FC" w:val="clear"/>
            <w:vAlign w:val="center"/>
          </w:tcPr>
          <w:p>
            <w:pPr>
              <w:pStyle w:val="TableContents"/>
              <w:bidi w:val="0"/>
              <w:spacing w:before="0" w:after="283"/>
              <w:ind w:left="0" w:right="0" w:firstLine="200"/>
              <w:jc w:val="right"/>
              <w:rPr/>
            </w:pPr>
            <w:r>
              <w:rPr/>
              <w:t> </w:t>
            </w:r>
          </w:p>
        </w:tc>
      </w:tr>
      <w:tr>
        <w:trPr/>
        <w:tc>
          <w:tcPr>
            <w:tcW w:w="61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49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 years</w:t>
            </w:r>
          </w:p>
        </w:tc>
        <w:tc>
          <w:tcPr>
            <w:tcW w:w="518" w:type="dxa"/>
            <w:tcBorders/>
            <w:shd w:fill="FFFFFF" w:val="clear"/>
            <w:vAlign w:val="center"/>
          </w:tcPr>
          <w:p>
            <w:pPr>
              <w:pStyle w:val="TableContents"/>
              <w:bidi w:val="0"/>
              <w:spacing w:before="0" w:after="283"/>
              <w:jc w:val="right"/>
              <w:rPr/>
            </w:pPr>
            <w:r>
              <w:rPr/>
              <w:t> </w:t>
            </w:r>
          </w:p>
        </w:tc>
      </w:tr>
      <w:tr>
        <w:trPr/>
        <w:tc>
          <w:tcPr>
            <w:tcW w:w="61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vAlign w:val="center"/>
          </w:tcPr>
          <w:p>
            <w:pPr>
              <w:pStyle w:val="TableContents"/>
              <w:bidi w:val="0"/>
              <w:spacing w:before="0" w:after="283"/>
              <w:jc w:val="left"/>
              <w:rPr/>
            </w:pPr>
            <w:r>
              <w:rPr/>
              <w:t> </w:t>
            </w:r>
          </w:p>
        </w:tc>
        <w:tc>
          <w:tcPr>
            <w:tcW w:w="14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2" w:type="dxa"/>
            <w:gridSpan w:val="2"/>
            <w:tcBorders/>
            <w:shd w:fill="CFF0FC" w:val="clear"/>
            <w:vAlign w:val="center"/>
          </w:tcPr>
          <w:p>
            <w:pPr>
              <w:pStyle w:val="TableContents"/>
              <w:bidi w:val="0"/>
              <w:spacing w:before="0" w:after="283"/>
              <w:jc w:val="right"/>
              <w:rPr/>
            </w:pPr>
            <w:r>
              <w:rPr/>
              <w:t> </w:t>
            </w:r>
          </w:p>
        </w:tc>
        <w:tc>
          <w:tcPr>
            <w:tcW w:w="518" w:type="dxa"/>
            <w:tcBorders/>
            <w:shd w:fill="CFF0FC" w:val="clear"/>
            <w:vAlign w:val="center"/>
          </w:tcPr>
          <w:p>
            <w:pPr>
              <w:pStyle w:val="TableContents"/>
              <w:bidi w:val="0"/>
              <w:spacing w:before="0" w:after="283"/>
              <w:ind w:left="0" w:right="0" w:firstLine="200"/>
              <w:jc w:val="right"/>
              <w:rPr/>
            </w:pPr>
            <w:r>
              <w:rPr/>
              <w:t> </w:t>
            </w:r>
          </w:p>
        </w:tc>
      </w:tr>
      <w:tr>
        <w:trPr/>
        <w:tc>
          <w:tcPr>
            <w:tcW w:w="61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51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4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5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table below reconciles the undiscounted cash flows for each of the first five years and total of the remaining years to the operating lease liabilities and finance lease liabilities recorded on the balance sheet as of December 31, 2023 (in thousands).</w:t>
      </w:r>
    </w:p>
    <w:p>
      <w:pPr>
        <w:pStyle w:val="TextBody"/>
        <w:bidi w:val="0"/>
        <w:jc w:val="left"/>
        <w:rPr/>
      </w:pPr>
      <w:r>
        <w:rPr/>
        <w:t> </w:t>
      </w:r>
    </w:p>
    <w:tbl>
      <w:tblPr>
        <w:tblW w:w="7525" w:type="dxa"/>
        <w:jc w:val="left"/>
        <w:tblInd w:w="0" w:type="dxa"/>
        <w:tblLayout w:type="fixed"/>
        <w:tblCellMar>
          <w:top w:w="28" w:type="dxa"/>
          <w:left w:w="28" w:type="dxa"/>
          <w:bottom w:w="28" w:type="dxa"/>
          <w:right w:w="28" w:type="dxa"/>
        </w:tblCellMar>
      </w:tblPr>
      <w:tblGrid>
        <w:gridCol w:w="4306"/>
        <w:gridCol w:w="146"/>
        <w:gridCol w:w="290"/>
        <w:gridCol w:w="1075"/>
        <w:gridCol w:w="166"/>
        <w:gridCol w:w="146"/>
        <w:gridCol w:w="320"/>
        <w:gridCol w:w="865"/>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21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211" w:type="dxa"/>
            <w:tcBorders/>
            <w:shd w:fill="FFFFFF" w:val="cle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21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of lease payment representing interest</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21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obligations under leases</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obligations</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13.</w:t>
      </w:r>
    </w:p>
    <w:p>
      <w:pPr>
        <w:pStyle w:val="TextBody"/>
        <w:bidi w:val="0"/>
        <w:jc w:val="left"/>
        <w:rPr>
          <w:rFonts w:ascii="Times New Roman" w:hAnsi="Times New Roman"/>
          <w:b/>
          <w:color w:val="000000"/>
          <w:sz w:val="20"/>
        </w:rPr>
      </w:pPr>
      <w:r>
        <w:rPr>
          <w:rFonts w:ascii="Times New Roman" w:hAnsi="Times New Roman"/>
          <w:b/>
          <w:color w:val="000000"/>
          <w:sz w:val="20"/>
        </w:rPr>
        <w:t>Benefit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Company’s employees participate in an Employee Retirement Savings Plan (the “Retirement Plan”) under Section 401(k) of the Internal Revenue Code that covers substantially all U.S. based salaried employees. Employees may contribute a percentage of eligible compensation to the plan, subject to certain limits under the Internal Revenue Code. For the years ended December 31, 2023, 2022 and 2021, the Company provided matching contributions of $8.5 million, $7.2 million and $7.3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two non-contributory defined benefit pension plans covering certain of the Company’s executives. Retirement benefits are based on years of service, employees’ average compensation for the last five years prior to retirement and social security benefits. Currently, the plans are not funded. The Company purchased and is the beneficiary of life insurance policies for certain participants enrolled in the plans. There were no significant transactions between the employer or related parties and the plans during 2023, 2022 or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had a non-qualified deferred compensation agreement with its Executive Chairman. The agreement provided for a lump sum payment upon retirement, no sooner than age 55. As of December 31, 2023, the Executive Chairman had reached age 55 and was eligible to receive the payment upon retirement.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and its Executive Chairman entered into on May 27, 2021, and effective July 1, 2021, an Amended and Restated Executive Retirement Agreement. Pursuant to the terms of the Amended and Restated Executive Retirement Agreement, upon the date that the Executive Chairman ceases to provide services to the Company, the Company will pay to the Executive Chairman an amount equal to $3,600,000 which shall be paid in cash. The payment shall be credited with interest at a rate of 5% compounded quarterly. Additionally, at the end of each calendar year provided that the Executive Chairman is still providing services to GEO pursuant to the Executive Chairman Employment Agreement, GEO will credit an amount equal to $1,000,000 (the "Employment Contributions Account"). The Employment Contributions Account will be credited with interest at the rate of 5% compounded quarterly. As the Executive Chairman's retirement payment will no longer be settled with a fixed number of shares of GEO’s common stock (as per the Executive Chairman's former retirement agreement), $3,600,000 has been reclassified from equity to other non-current liabilities in 2021. The balance of the Amended and Restated Executive Retirement Agreement was approximately $9.6 million at December 31, 2023 which is fully funded. On November 29, 2023, the Company confirmed that the Company's Founder and Executive Chairman, will step down as Executive Chairman on June 30, 2026, at the end of his current employment term under his Executive Chairman Employment Agreement. Refer to Note 16 - Commitments, Contingencies and Other Matters for further information. The following table presents the balance due to the Executive Chairman at the end of the next two and a half years under the Amended and Restated Executive Retirement Agreement provided that the Executive Chairman is still providing services to the Company under his Executive Chairman Employment Agreement:</w:t>
      </w:r>
    </w:p>
    <w:p>
      <w:pPr>
        <w:pStyle w:val="TextBody"/>
        <w:bidi w:val="0"/>
        <w:jc w:val="left"/>
        <w:rPr/>
      </w:pPr>
      <w:r>
        <w:rPr/>
        <w:t> </w:t>
      </w:r>
    </w:p>
    <w:p>
      <w:pPr>
        <w:pStyle w:val="TextBody"/>
        <w:bidi w:val="0"/>
        <w:jc w:val="left"/>
        <w:rPr/>
      </w:pPr>
      <w:r>
        <w:rPr/>
        <w:t> </w:t>
      </w:r>
    </w:p>
    <w:tbl>
      <w:tblPr>
        <w:tblW w:w="2558" w:type="dxa"/>
        <w:jc w:val="left"/>
        <w:tblInd w:w="0" w:type="dxa"/>
        <w:tblLayout w:type="fixed"/>
        <w:tblCellMar>
          <w:top w:w="28" w:type="dxa"/>
          <w:left w:w="28" w:type="dxa"/>
          <w:bottom w:w="28" w:type="dxa"/>
          <w:right w:w="28" w:type="dxa"/>
        </w:tblCellMar>
      </w:tblPr>
      <w:tblGrid>
        <w:gridCol w:w="1081"/>
        <w:gridCol w:w="146"/>
        <w:gridCol w:w="270"/>
        <w:gridCol w:w="870"/>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Retirement</w:t>
              <w:br/>
              <w:t>Obligation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12/31/2024</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12/31/2025</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16,336</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6/30/2026</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had established several trusts for the purpose of paying the retirement benefit pursuant to the amended and restated executive retirement agreement. The trusts are revocable “rabbi trusts” and the assets of the trusts are subject to the claims of the Company’s creditors in the event of the Company’s insolvency.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key information related to the Company’s defined benefit pension plans. The table illustrates the reconciliation of the beginning and ending balances of the benefit obligation showing the effects during the periods presented attributable to service cost, interest cost, plan amendments, termination benefits, actuarial gains and losses. The assumptions used in the Company’s calculation of accrued pension costs are based on market information and the Company’s historical rates for employment compensation and discount rates. The vested benefit obligation is determined as the actuarial present value of the vested benefits to which the employee is currently entitled to but based on the employee's expected date of separation or retirement.</w:t>
      </w:r>
    </w:p>
    <w:p>
      <w:pPr>
        <w:pStyle w:val="TextBody"/>
        <w:bidi w:val="0"/>
        <w:jc w:val="left"/>
        <w:rPr/>
      </w:pPr>
      <w:r>
        <w:rPr/>
        <w:t> </w:t>
      </w:r>
    </w:p>
    <w:tbl>
      <w:tblPr>
        <w:tblW w:w="9705" w:type="dxa"/>
        <w:jc w:val="left"/>
        <w:tblInd w:w="0" w:type="dxa"/>
        <w:tblLayout w:type="fixed"/>
        <w:tblCellMar>
          <w:top w:w="28" w:type="dxa"/>
          <w:left w:w="28" w:type="dxa"/>
          <w:bottom w:w="28" w:type="dxa"/>
          <w:right w:w="28" w:type="dxa"/>
        </w:tblCellMar>
      </w:tblPr>
      <w:tblGrid>
        <w:gridCol w:w="5836"/>
        <w:gridCol w:w="146"/>
        <w:gridCol w:w="334"/>
        <w:gridCol w:w="1166"/>
        <w:gridCol w:w="166"/>
        <w:gridCol w:w="146"/>
        <w:gridCol w:w="334"/>
        <w:gridCol w:w="1166"/>
        <w:gridCol w:w="411"/>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Benefit Obligation, End of Year</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21,612</w:t>
            </w:r>
          </w:p>
        </w:tc>
        <w:tc>
          <w:tcPr>
            <w:tcW w:w="411" w:type="dxa"/>
            <w:tcBorders/>
            <w:shd w:fill="CFF0FC" w:val="clear"/>
            <w:vAlign w:val="center"/>
          </w:tcPr>
          <w:p>
            <w:pPr>
              <w:pStyle w:val="TableContents"/>
              <w:bidi w:val="0"/>
              <w:spacing w:before="0" w:after="283"/>
              <w:jc w:val="left"/>
              <w:rPr/>
            </w:pPr>
            <w:r>
              <w:rPr/>
              <w:t> </w:t>
            </w:r>
          </w:p>
        </w:tc>
      </w:tr>
      <w:tr>
        <w:trPr/>
        <w:tc>
          <w:tcPr>
            <w:tcW w:w="58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8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Projected Benefit Obligation</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 Beginning of Year</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Actuarial Gain</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 End of Year</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Plan Assets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Assets at Fair Value, Beginning of Year</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Company Contributions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Assets at Fair Value, End of Year</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Unfunded Status of the Plan</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Recognized in 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8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Pension Cost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374" w:type="dxa"/>
        <w:jc w:val="left"/>
        <w:tblInd w:w="0" w:type="dxa"/>
        <w:tblLayout w:type="fixed"/>
        <w:tblCellMar>
          <w:top w:w="28" w:type="dxa"/>
          <w:left w:w="28" w:type="dxa"/>
          <w:bottom w:w="28" w:type="dxa"/>
          <w:right w:w="28" w:type="dxa"/>
        </w:tblCellMar>
      </w:tblPr>
      <w:tblGrid>
        <w:gridCol w:w="3856"/>
        <w:gridCol w:w="146"/>
        <w:gridCol w:w="211"/>
        <w:gridCol w:w="571"/>
        <w:gridCol w:w="271"/>
        <w:gridCol w:w="146"/>
        <w:gridCol w:w="211"/>
        <w:gridCol w:w="571"/>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Net Periodic Benefit Cost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3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3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8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Pension Cost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Assumptions for Expense</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CFF0FC" w:val="clear"/>
            <w:vAlign w:val="center"/>
          </w:tcPr>
          <w:p>
            <w:pPr>
              <w:pStyle w:val="TableContents"/>
              <w:bidi w:val="0"/>
              <w:spacing w:before="0" w:after="283"/>
              <w:jc w:val="right"/>
              <w:rPr/>
            </w:pPr>
            <w:r>
              <w:rPr/>
              <w:t> </w:t>
            </w:r>
          </w:p>
        </w:tc>
      </w:tr>
      <w:tr>
        <w:trPr/>
        <w:tc>
          <w:tcPr>
            <w:tcW w:w="3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of Compensation Increase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long-term portion of the pension liability related to the defined benefit plan as of December 31, 2023 and 2022 was $27 million and $25.4 million, respectively, and is included in Other Non-Current liabilities in the accompanying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amount included in accumulated other comprehensive income as of December 31, 2023 that has not yet been recognized as a component of net periodic benefit cost is $0.1 million. There was no amount included in other accumulated comprehensive income as of December 31, 2023 that is expected to be recognized as a component of net periodic benefit cost in fiscal year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benefit payments reflected in the table below represent the Company’s obligations to employees that are eligible for retirement or have already retired and are receiving deferred compensation benefits:</w:t>
      </w:r>
    </w:p>
    <w:p>
      <w:pPr>
        <w:pStyle w:val="TextBody"/>
        <w:bidi w:val="0"/>
        <w:jc w:val="both"/>
        <w:rPr/>
      </w:pPr>
      <w:r>
        <w:rPr/>
        <w:t> </w:t>
      </w:r>
    </w:p>
    <w:tbl>
      <w:tblPr>
        <w:tblW w:w="2423" w:type="dxa"/>
        <w:jc w:val="left"/>
        <w:tblInd w:w="0" w:type="dxa"/>
        <w:tblLayout w:type="fixed"/>
        <w:tblCellMar>
          <w:top w:w="28" w:type="dxa"/>
          <w:left w:w="28" w:type="dxa"/>
          <w:bottom w:w="28" w:type="dxa"/>
          <w:right w:w="28" w:type="dxa"/>
        </w:tblCellMar>
      </w:tblPr>
      <w:tblGrid>
        <w:gridCol w:w="946"/>
        <w:gridCol w:w="146"/>
        <w:gridCol w:w="271"/>
        <w:gridCol w:w="869"/>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br/>
              <w:t>Benefits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also maintains The GEO Group Inc. Deferred Compensation Plan (“Deferred Compensation Plan”), a non-qualified deferred compensation plan for employees who are ineligible to participate in its qualified 401(k) plan. Eligible employees may defer a fixed percentage of their salary and the Company matches employee contributions up to a certain amount based on the employee’s years of service. Payments will be made at retirement age of 65, at termination of employment or earlier depending on the employees’ elections. The Company established a rabbi trust; the purpose of which is to segregate the assets of the Deferred Compensation Plan from the Company’s cash balances. The funds in the rabbi trust are included in Restricted Cash and Investments in the accompanying Consolidated Balance Sheets. These funds are not available to the Company for any purpose other than to fund the Deferred Compensation Plan; however, these funds may be available to the Company’s creditors in the event the Company becomes insolvent. The rabbi trust had a balance of approximately $41.7 million at December 31, 2023. All employee and employer contributions relative to the Deferred Compensation Plan are made directly to the rabbi trust. The Company recognized expense related to its contributions of $0.7 million, $0.7 million and $0.1 million for the years ended December 31, 2023, 2022 and 2021, respectively. The total liability for this plan at December 31, 2023 and 2022 was approximately $38.6 million and $32.3 million, respectively, and is included in Other Non-Current Liabilities in the accompanying Consolidated Balance Sheets. The current portion of this liability was $2.8 million and $1.8 million as of December 31, 2023 and 2022, respectively.</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Business Segments and Geographic Information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Operating and Reporting Segments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conducts its business through four reportable business segments: the U.S. Secure Services segment; the Electronic Monitoring and Supervision Services segment; the Reentry Services segment; and the International Services segment. The Company has identified these four reportable segments to reflect the current view that the Company operates four distinct business lines, each of which constitutes a material part of its overall business.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U.S. Secure Services segment primarily encompasses U.S.-based secure services business. The Electronic Monitoring and Supervision Services segment, which conducts its services in the United States, represents services provided to adults for monitoring services and evidence-based supervision and treatment programs for community-based parolees, probationers, and pretrial defendants. The Reentry Services segment, which conducts its services in the United States represents services provided to adults for residential and non-residential treatment, educational and community-based programs, pre-release and half-way house programs. The International Services segment primarily consists of secure services operations in South Africa and Australia. Segment disclosures below (in thousands) reflect the results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continuing operations. All transactions between segments are eliminated. The accounting policies of the segments are the same as those described in the summary of significant accounting policies.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4236"/>
        <w:gridCol w:w="146"/>
        <w:gridCol w:w="211"/>
        <w:gridCol w:w="931"/>
        <w:gridCol w:w="166"/>
        <w:gridCol w:w="146"/>
        <w:gridCol w:w="211"/>
        <w:gridCol w:w="931"/>
        <w:gridCol w:w="166"/>
        <w:gridCol w:w="146"/>
        <w:gridCol w:w="211"/>
        <w:gridCol w:w="931"/>
        <w:gridCol w:w="3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1,518,292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1,488,936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278,934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2,256,612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pPr>
      <w:r>
        <w:rPr/>
        <w:t> </w:t>
      </w:r>
    </w:p>
    <w:p>
      <w:pPr>
        <w:pStyle w:val="TextBody"/>
        <w:bidi w:val="0"/>
        <w:spacing w:before="270" w:after="283"/>
        <w:jc w:val="left"/>
        <w:rPr>
          <w:rFonts w:ascii="Times New Roman" w:hAnsi="Times New Roman"/>
          <w:i/>
          <w:color w:val="000000"/>
          <w:sz w:val="20"/>
        </w:rPr>
      </w:pPr>
      <w:r>
        <w:rPr>
          <w:rFonts w:ascii="Times New Roman" w:hAnsi="Times New Roman"/>
          <w:i/>
          <w:color w:val="000000"/>
          <w:sz w:val="20"/>
        </w:rPr>
        <w:t>Pre-Tax Income Reconciliation of Segments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reconciliation of the Company’s total operating income from its reportable segments to the Company’s income before income taxes and equity in earnings of affiliates, in each case, during the years ended December 31, 2023, 2022 and 2021, respectively.</w:t>
      </w:r>
    </w:p>
    <w:tbl>
      <w:tblPr>
        <w:tblW w:w="9543" w:type="dxa"/>
        <w:jc w:val="left"/>
        <w:tblInd w:w="0" w:type="dxa"/>
        <w:tblLayout w:type="fixed"/>
        <w:tblCellMar>
          <w:top w:w="28" w:type="dxa"/>
          <w:left w:w="28" w:type="dxa"/>
          <w:bottom w:w="28" w:type="dxa"/>
          <w:right w:w="28" w:type="dxa"/>
        </w:tblCellMar>
      </w:tblPr>
      <w:tblGrid>
        <w:gridCol w:w="5206"/>
        <w:gridCol w:w="146"/>
        <w:gridCol w:w="211"/>
        <w:gridCol w:w="841"/>
        <w:gridCol w:w="166"/>
        <w:gridCol w:w="146"/>
        <w:gridCol w:w="211"/>
        <w:gridCol w:w="841"/>
        <w:gridCol w:w="166"/>
        <w:gridCol w:w="146"/>
        <w:gridCol w:w="211"/>
        <w:gridCol w:w="841"/>
        <w:gridCol w:w="4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5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from segments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492,389</w:t>
            </w:r>
          </w:p>
        </w:tc>
        <w:tc>
          <w:tcPr>
            <w:tcW w:w="411" w:type="dxa"/>
            <w:tcBorders/>
            <w:shd w:fill="CFF0FC" w:val="cle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amounts: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(204,306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(105,453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gain on disposition of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of affiliates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4236"/>
        <w:gridCol w:w="146"/>
        <w:gridCol w:w="211"/>
        <w:gridCol w:w="931"/>
        <w:gridCol w:w="146"/>
        <w:gridCol w:w="146"/>
        <w:gridCol w:w="211"/>
        <w:gridCol w:w="931"/>
        <w:gridCol w:w="146"/>
        <w:gridCol w:w="3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Secure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2,390,803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2,371,146</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536,291</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572,154</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International 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Asset Reconciliation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reconciliation of the Company’s reportable segment assets to the Company’s total assets as of December 31, 2023 and 2022, respectively.</w:t>
      </w:r>
    </w:p>
    <w:p>
      <w:pPr>
        <w:pStyle w:val="TextBody"/>
        <w:bidi w:val="0"/>
        <w:jc w:val="left"/>
        <w:rPr/>
      </w:pPr>
      <w:r>
        <w:rPr/>
        <w:t> </w:t>
      </w:r>
    </w:p>
    <w:tbl>
      <w:tblPr>
        <w:tblW w:w="7624" w:type="dxa"/>
        <w:jc w:val="left"/>
        <w:tblInd w:w="0" w:type="dxa"/>
        <w:tblLayout w:type="fixed"/>
        <w:tblCellMar>
          <w:top w:w="28" w:type="dxa"/>
          <w:left w:w="28" w:type="dxa"/>
          <w:bottom w:w="28" w:type="dxa"/>
          <w:right w:w="28" w:type="dxa"/>
        </w:tblCellMar>
      </w:tblPr>
      <w:tblGrid>
        <w:gridCol w:w="4711"/>
        <w:gridCol w:w="146"/>
        <w:gridCol w:w="211"/>
        <w:gridCol w:w="931"/>
        <w:gridCol w:w="146"/>
        <w:gridCol w:w="146"/>
        <w:gridCol w:w="211"/>
        <w:gridCol w:w="931"/>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3,545,614</w:t>
            </w:r>
          </w:p>
        </w:tc>
        <w:tc>
          <w:tcPr>
            <w:tcW w:w="19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95,073</w:t>
            </w:r>
          </w:p>
        </w:tc>
        <w:tc>
          <w:tcPr>
            <w:tcW w:w="19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w:t>
            </w:r>
          </w:p>
        </w:tc>
        <w:tc>
          <w:tcPr>
            <w:tcW w:w="19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investments, current and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3,760,383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each of the years ended December 31, 2023, 2022 and 2021, the Company’s international operations were conducted through (i) the Company’s wholly owned Australian subsidiary, The GEO Group Australia Pty. Ltd., through which the Company has management contracts for three correctional facilities and a contract to provide health services for several public prisons, (ii) the Company's wholly owned subsidiaries, GEO Ravenhall Finance Holdings Pty. Ltd. and GEO Ravenhall Holdings Pty. Ltd. which, together, had a design and construction contract for a facility in Ravenhall, Australia (these subsidiaries were sold in September 2022), (iii) the Company’s wholly-owned subsidiary in South Africa, SACM, through which the Company manages one correctional facility, and (iv) the Company’s wholly-owned subsidiary in the United Kingdom, The GEO Group UK Ltd., through which the Company managed the Dungavel House Immigration Removal Centre (GEO transitioned the management contract for Dungavel to the government effective September 30, 2021).</w:t>
      </w:r>
    </w:p>
    <w:p>
      <w:pPr>
        <w:pStyle w:val="TextBody"/>
        <w:bidi w:val="0"/>
        <w:jc w:val="both"/>
        <w:rPr/>
      </w:pPr>
      <w:r>
        <w:rPr/>
        <w:t> </w:t>
      </w:r>
    </w:p>
    <w:tbl>
      <w:tblPr>
        <w:tblW w:w="7473" w:type="dxa"/>
        <w:jc w:val="left"/>
        <w:tblInd w:w="0" w:type="dxa"/>
        <w:tblLayout w:type="fixed"/>
        <w:tblCellMar>
          <w:top w:w="28" w:type="dxa"/>
          <w:left w:w="28" w:type="dxa"/>
          <w:bottom w:w="28" w:type="dxa"/>
          <w:right w:w="28" w:type="dxa"/>
        </w:tblCellMar>
      </w:tblPr>
      <w:tblGrid>
        <w:gridCol w:w="2926"/>
        <w:gridCol w:w="146"/>
        <w:gridCol w:w="211"/>
        <w:gridCol w:w="931"/>
        <w:gridCol w:w="146"/>
        <w:gridCol w:w="146"/>
        <w:gridCol w:w="211"/>
        <w:gridCol w:w="931"/>
        <w:gridCol w:w="146"/>
        <w:gridCol w:w="146"/>
        <w:gridCol w:w="211"/>
        <w:gridCol w:w="931"/>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2,043,157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Australia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South African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Kingdom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2,256,612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2,026,252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Australia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South African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2,037,845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Sources of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derives most of its revenue from the management of secure facilities through public-private partnerships. The Company also derives revenue from the provision of reentry services and electronic monitoring and evidence-based supervision and treatment programs in the United States, and expansion of new and existing secure facilities, processing centers and reentry centers.</w:t>
      </w:r>
    </w:p>
    <w:tbl>
      <w:tblPr>
        <w:tblW w:w="7495" w:type="dxa"/>
        <w:jc w:val="left"/>
        <w:tblInd w:w="0" w:type="dxa"/>
        <w:tblLayout w:type="fixed"/>
        <w:tblCellMar>
          <w:top w:w="28" w:type="dxa"/>
          <w:left w:w="28" w:type="dxa"/>
          <w:bottom w:w="28" w:type="dxa"/>
          <w:right w:w="28" w:type="dxa"/>
        </w:tblCellMar>
      </w:tblPr>
      <w:tblGrid>
        <w:gridCol w:w="4236"/>
        <w:gridCol w:w="146"/>
        <w:gridCol w:w="211"/>
        <w:gridCol w:w="931"/>
        <w:gridCol w:w="146"/>
        <w:gridCol w:w="146"/>
        <w:gridCol w:w="211"/>
        <w:gridCol w:w="931"/>
        <w:gridCol w:w="146"/>
        <w:gridCol w:w="3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3"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Secure Services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1,625,031</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Electronic Monitoring and Supervision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496,268</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Reentry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Includes international secured services</w:t>
      </w:r>
    </w:p>
    <w:p>
      <w:pPr>
        <w:pStyle w:val="TextBody"/>
        <w:bidi w:val="0"/>
        <w:spacing w:before="30" w:after="283"/>
        <w:jc w:val="left"/>
        <w:rPr/>
      </w:pPr>
      <w:r>
        <w:rPr/>
        <w:t> </w:t>
      </w:r>
    </w:p>
    <w:p>
      <w:pPr>
        <w:pStyle w:val="TextBody"/>
        <w:bidi w:val="0"/>
        <w:spacing w:before="30" w:after="283"/>
        <w:jc w:val="left"/>
        <w:rPr>
          <w:rFonts w:ascii="Times New Roman" w:hAnsi="Times New Roman"/>
          <w:b/>
          <w:i/>
          <w:color w:val="000000"/>
          <w:sz w:val="20"/>
        </w:rPr>
      </w:pPr>
      <w:r>
        <w:rPr>
          <w:rFonts w:ascii="Times New Roman" w:hAnsi="Times New Roman"/>
          <w:b/>
          <w:i/>
          <w:color w:val="000000"/>
          <w:sz w:val="20"/>
        </w:rPr>
        <w:t>Equity in Earnings of Affiliates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Equity in earnings of affiliates for 2023, 2022 and 2021 includes the operating results of the Company’s joint ventures in SACS and GEOAmey. These joint ventures are accounted for under the equity method and the Company’s investments in SACS and GEOAmey are presented as a component of other non-current assets in the accompanying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recorded $1.7 million, $2.5 million and $3.6 million in earnings, net of tax impact, for SACS operations during the years ended December 31, 2023, 2022 and 2021, respectively, which are included in equity in earnings of affiliates, net of income tax provision in the accompanying Consolidated Statements of Operations. As of December 31, 2023 and 2022, the Company’s investment in SACS was $9.1 million and $10.2 million, respectively. The investment is included in other non-current assets in the accompanying Consolidated Balance Sheets. The Company received dividend distributions of $2.2 million, $1.9 million and $3.1 million, in 2023, 2022 and 2021, respectively, from this unconsolidated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recorded $2.9 million, $2.2 million and $3.6 million in earnings, net of tax impact, for GEOAmey’s operations during the years ended December 31, 2023, 2022 and 2021, respectively, which are included in equity in earnings of affiliates, net of income tax provision, in the accompanying Consolidated Statements of Operations. As of December 31, 2023 and 2022, the Company’s investment in GEOAmey was $11.2 million and $8.7 million, respectively, and represents its share of cumulative reported earnings. The Company received dividend distributions of $0.8 million, $2.6 million and $5.2 million in 2023, 2022 and 2021, respectively, from this unconsolidated joint venture.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Business Concentration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Except for the major customer noted in the following table, no other single customer made up greater than 10% of the Company’s consolidated revenues for the following fiscal years:</w:t>
      </w:r>
    </w:p>
    <w:p>
      <w:pPr>
        <w:pStyle w:val="TextBody"/>
        <w:bidi w:val="0"/>
        <w:jc w:val="left"/>
        <w:rPr/>
      </w:pPr>
      <w:r>
        <w:rPr/>
        <w:t> </w:t>
      </w:r>
    </w:p>
    <w:tbl>
      <w:tblPr>
        <w:tblW w:w="6790" w:type="dxa"/>
        <w:jc w:val="left"/>
        <w:tblInd w:w="0" w:type="dxa"/>
        <w:tblLayout w:type="fixed"/>
        <w:tblCellMar>
          <w:top w:w="28" w:type="dxa"/>
          <w:left w:w="28" w:type="dxa"/>
          <w:bottom w:w="28" w:type="dxa"/>
          <w:right w:w="28" w:type="dxa"/>
        </w:tblCellMar>
      </w:tblPr>
      <w:tblGrid>
        <w:gridCol w:w="4096"/>
        <w:gridCol w:w="146"/>
        <w:gridCol w:w="147"/>
        <w:gridCol w:w="319"/>
        <w:gridCol w:w="271"/>
        <w:gridCol w:w="146"/>
        <w:gridCol w:w="147"/>
        <w:gridCol w:w="319"/>
        <w:gridCol w:w="271"/>
        <w:gridCol w:w="146"/>
        <w:gridCol w:w="147"/>
        <w:gridCol w:w="319"/>
        <w:gridCol w:w="31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agencies of the U.S Federal Government: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Concentration of credit risk related to the major customer above for accounts receivable is as follows:</w:t>
      </w:r>
    </w:p>
    <w:p>
      <w:pPr>
        <w:pStyle w:val="TextBody"/>
        <w:bidi w:val="0"/>
        <w:spacing w:before="240" w:after="283"/>
        <w:jc w:val="left"/>
        <w:rPr/>
      </w:pPr>
      <w:r>
        <w:rPr/>
        <w:t> </w:t>
      </w:r>
    </w:p>
    <w:tbl>
      <w:tblPr>
        <w:tblW w:w="5907" w:type="dxa"/>
        <w:jc w:val="left"/>
        <w:tblInd w:w="0" w:type="dxa"/>
        <w:tblLayout w:type="fixed"/>
        <w:tblCellMar>
          <w:top w:w="28" w:type="dxa"/>
          <w:left w:w="28" w:type="dxa"/>
          <w:bottom w:w="28" w:type="dxa"/>
          <w:right w:w="28" w:type="dxa"/>
        </w:tblCellMar>
      </w:tblPr>
      <w:tblGrid>
        <w:gridCol w:w="4096"/>
        <w:gridCol w:w="146"/>
        <w:gridCol w:w="147"/>
        <w:gridCol w:w="319"/>
        <w:gridCol w:w="271"/>
        <w:gridCol w:w="146"/>
        <w:gridCol w:w="147"/>
        <w:gridCol w:w="319"/>
        <w:gridCol w:w="31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Various agencies of the U.S Federal Government: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concentrations above relate primarily to the Company's U.S. Secure Services and its Electronic Monitoring Supervision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our ISAP contract accounted for 14%, 17% and 8% of our consolidated revenues for the years ended December 31, 2023, 2022 and 2021,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15.</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United States and foreign components of income before income taxes and equity in earnings in affiliates are as follows:</w:t>
      </w:r>
    </w:p>
    <w:p>
      <w:pPr>
        <w:pStyle w:val="TextBody"/>
        <w:bidi w:val="0"/>
        <w:jc w:val="left"/>
        <w:rPr/>
      </w:pPr>
      <w:r>
        <w:rPr/>
        <w:t> </w:t>
      </w:r>
    </w:p>
    <w:tbl>
      <w:tblPr>
        <w:tblW w:w="9903" w:type="dxa"/>
        <w:jc w:val="left"/>
        <w:tblInd w:w="0" w:type="dxa"/>
        <w:tblLayout w:type="fixed"/>
        <w:tblCellMar>
          <w:top w:w="28" w:type="dxa"/>
          <w:left w:w="28" w:type="dxa"/>
          <w:bottom w:w="28" w:type="dxa"/>
          <w:right w:w="28" w:type="dxa"/>
        </w:tblCellMar>
      </w:tblPr>
      <w:tblGrid>
        <w:gridCol w:w="5606"/>
        <w:gridCol w:w="146"/>
        <w:gridCol w:w="211"/>
        <w:gridCol w:w="781"/>
        <w:gridCol w:w="146"/>
        <w:gridCol w:w="146"/>
        <w:gridCol w:w="211"/>
        <w:gridCol w:w="781"/>
        <w:gridCol w:w="146"/>
        <w:gridCol w:w="146"/>
        <w:gridCol w:w="211"/>
        <w:gridCol w:w="781"/>
        <w:gridCol w:w="591"/>
      </w:tblGrid>
      <w:tr>
        <w:trPr/>
        <w:tc>
          <w:tcPr>
            <w:tcW w:w="5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6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6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5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and equity in earnings in affiliates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161,856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6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before income taxes and equity in earnings in affiliates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192,822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income taxes consists of the following components:</w:t>
      </w:r>
    </w:p>
    <w:p>
      <w:pPr>
        <w:pStyle w:val="TextBody"/>
        <w:bidi w:val="0"/>
        <w:jc w:val="left"/>
        <w:rPr/>
      </w:pPr>
      <w:r>
        <w:rPr/>
        <w:t> </w:t>
      </w:r>
    </w:p>
    <w:tbl>
      <w:tblPr>
        <w:tblW w:w="8698" w:type="dxa"/>
        <w:jc w:val="left"/>
        <w:tblInd w:w="0" w:type="dxa"/>
        <w:tblLayout w:type="fixed"/>
        <w:tblCellMar>
          <w:top w:w="28" w:type="dxa"/>
          <w:left w:w="28" w:type="dxa"/>
          <w:bottom w:w="28" w:type="dxa"/>
          <w:right w:w="28" w:type="dxa"/>
        </w:tblCellMar>
      </w:tblPr>
      <w:tblGrid>
        <w:gridCol w:w="4511"/>
        <w:gridCol w:w="146"/>
        <w:gridCol w:w="211"/>
        <w:gridCol w:w="676"/>
        <w:gridCol w:w="166"/>
        <w:gridCol w:w="146"/>
        <w:gridCol w:w="211"/>
        <w:gridCol w:w="736"/>
        <w:gridCol w:w="166"/>
        <w:gridCol w:w="146"/>
        <w:gridCol w:w="211"/>
        <w:gridCol w:w="781"/>
        <w:gridCol w:w="591"/>
      </w:tblGrid>
      <w:tr>
        <w:trPr/>
        <w:tc>
          <w:tcPr>
            <w:tcW w:w="4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5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4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income taxes: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income taxes (benefit):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U.S. and foreign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statutory U.S. federal tax rate of 21% and the effective income tax rate is as follows:</w:t>
      </w:r>
    </w:p>
    <w:p>
      <w:pPr>
        <w:pStyle w:val="TextBody"/>
        <w:bidi w:val="0"/>
        <w:jc w:val="left"/>
        <w:rPr/>
      </w:pPr>
      <w:r>
        <w:rPr/>
        <w:t> </w:t>
      </w:r>
    </w:p>
    <w:tbl>
      <w:tblPr>
        <w:tblW w:w="8233" w:type="dxa"/>
        <w:jc w:val="left"/>
        <w:tblInd w:w="0" w:type="dxa"/>
        <w:tblLayout w:type="fixed"/>
        <w:tblCellMar>
          <w:top w:w="28" w:type="dxa"/>
          <w:left w:w="28" w:type="dxa"/>
          <w:bottom w:w="28" w:type="dxa"/>
          <w:right w:w="28" w:type="dxa"/>
        </w:tblCellMar>
      </w:tblPr>
      <w:tblGrid>
        <w:gridCol w:w="4306"/>
        <w:gridCol w:w="146"/>
        <w:gridCol w:w="211"/>
        <w:gridCol w:w="676"/>
        <w:gridCol w:w="166"/>
        <w:gridCol w:w="146"/>
        <w:gridCol w:w="211"/>
        <w:gridCol w:w="676"/>
        <w:gridCol w:w="166"/>
        <w:gridCol w:w="146"/>
        <w:gridCol w:w="211"/>
        <w:gridCol w:w="781"/>
        <w:gridCol w:w="3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9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using statutory federal income tax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40,492</w:t>
            </w:r>
          </w:p>
        </w:tc>
        <w:tc>
          <w:tcPr>
            <w:tcW w:w="3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tax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w:t>
            </w:r>
          </w:p>
        </w:tc>
        <w:tc>
          <w:tcPr>
            <w:tcW w:w="391" w:type="dxa"/>
            <w:tcBorders/>
            <w:shd w:fill="FFFFFF" w:val="cle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3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tax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tax rate differential in foreign jurisdictions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3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impact of vested equity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391" w:type="dxa"/>
            <w:tcBorders/>
            <w:shd w:fill="FFFFFF" w:val="cle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REIT termination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70,813</w:t>
            </w:r>
          </w:p>
        </w:tc>
        <w:tc>
          <w:tcPr>
            <w:tcW w:w="3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contingent tax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divestiture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effective tax rate differs from the U.S. statutory rate of 21% primarily due to the tax benefit from the release of valuation allowance of $3.3 million on certain state net operating losses in 2023, lower taxes on an asset divestiture in 2023 and 2022 of $1.5 million and $5.6 million, respectively, and non-cash tax expense related to the termination of the REIT status in 2021 of $70.8 million. Additionally, taxes differ due to state income taxes and foreign income taxes in excess of the US statutory rate in the presented periods. State income taxes, net of federal tax benefits of $8.2 million, $12.7 million and $7.9 million were incurred in 2023, 2022 and 2021,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breakdown between non-current net deferred tax assets as classified on the balance sheets as of December 31, 2023 and 2022:</w:t>
      </w:r>
    </w:p>
    <w:p>
      <w:pPr>
        <w:pStyle w:val="TextBody"/>
        <w:bidi w:val="0"/>
        <w:jc w:val="left"/>
        <w:rPr/>
      </w:pPr>
      <w:r>
        <w:rPr/>
        <w:t> </w:t>
      </w:r>
    </w:p>
    <w:tbl>
      <w:tblPr>
        <w:tblW w:w="5794" w:type="dxa"/>
        <w:jc w:val="left"/>
        <w:tblInd w:w="0" w:type="dxa"/>
        <w:tblLayout w:type="fixed"/>
        <w:tblCellMar>
          <w:top w:w="28" w:type="dxa"/>
          <w:left w:w="28" w:type="dxa"/>
          <w:bottom w:w="28" w:type="dxa"/>
          <w:right w:w="28" w:type="dxa"/>
        </w:tblCellMar>
      </w:tblPr>
      <w:tblGrid>
        <w:gridCol w:w="3031"/>
        <w:gridCol w:w="146"/>
        <w:gridCol w:w="211"/>
        <w:gridCol w:w="736"/>
        <w:gridCol w:w="166"/>
        <w:gridCol w:w="146"/>
        <w:gridCol w:w="211"/>
        <w:gridCol w:w="736"/>
        <w:gridCol w:w="4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w:t>
            </w:r>
          </w:p>
        </w:tc>
        <w:tc>
          <w:tcPr>
            <w:tcW w:w="4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significant components of the Company's deferred tax assets and liabilities consisted of the following as of December 31, 2023 and 2022: </w:t>
      </w:r>
    </w:p>
    <w:p>
      <w:pPr>
        <w:pStyle w:val="TextBody"/>
        <w:bidi w:val="0"/>
        <w:jc w:val="left"/>
        <w:rPr/>
      </w:pPr>
      <w:r>
        <w:rPr/>
        <w:t> </w:t>
      </w:r>
    </w:p>
    <w:tbl>
      <w:tblPr>
        <w:tblW w:w="6289" w:type="dxa"/>
        <w:jc w:val="left"/>
        <w:tblInd w:w="0" w:type="dxa"/>
        <w:tblLayout w:type="fixed"/>
        <w:tblCellMar>
          <w:top w:w="28" w:type="dxa"/>
          <w:left w:w="28" w:type="dxa"/>
          <w:bottom w:w="28" w:type="dxa"/>
          <w:right w:w="28" w:type="dxa"/>
        </w:tblCellMar>
      </w:tblPr>
      <w:tblGrid>
        <w:gridCol w:w="3316"/>
        <w:gridCol w:w="146"/>
        <w:gridCol w:w="211"/>
        <w:gridCol w:w="841"/>
        <w:gridCol w:w="166"/>
        <w:gridCol w:w="146"/>
        <w:gridCol w:w="211"/>
        <w:gridCol w:w="841"/>
        <w:gridCol w:w="4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3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awards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31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(148,780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(153,848</w:t>
            </w:r>
          </w:p>
        </w:tc>
        <w:tc>
          <w:tcPr>
            <w:tcW w:w="4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deferred tax assets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income taxes should be reduced by a valuation allowance if it is not more likely than not that some portion or all of the deferred tax assets will be realized. On a periodic basis, management evaluates and determines the amount of the valuation allowance required and adjusts such valuation allowance accordingly. At year end 2023 and 2022, the Company has a valuation allowance of $19.1 million and $21.0 million, respectively related to deferred tax assets for foreign net operating losses and foreign tax credits, state net operating losses and state tax credits. The valuation allowance decreased by $1.9 million during the year ended December 31, 2023 related to certain deferred tax assets that were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provides income taxes on the undistributed earnings of non-U.S. subsidiaries except to the extent that such earnings are permanently invested outside the United States. At December 31, 2023, $9.1 million of accumulated undistributed earnings of non-U.S. subsidiaries were permanently invested outside the United States. At the existing U.S. federal income and applicable foreign withholding tax rates, additional taxes (net of foreign tax credits) of $0.5 million, consisting solely of withholding taxes, would have to be provided if such earnings were remitted currently.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the Company had no Federal net operating loss carryforwards and $184.4 million of combined net operating loss carryforwards in various states which will begin to expire in 2024. The Company has recorded a partial valuation allowance against the deferred tax assets related to the state operating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as of the year ended December 31, 2023, the Company had $15.8 million of foreign net operating losses and $0.3 million foreign capital losses which carry forward indefinitely and $1.1 million of state tax credits which will begin to expire in 2024. The Company has recorded a partial valuation allowance against the deferred tax assets related to the foreign operating losses and state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the cost of employee services received in exchange for awards of equity instruments based upon the grant date fair value of those awards. The exercise of non-qualified stock options and vesting of restricted stock awards which have been granted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equity award plans give rise to compensation income which is includable in the taxable income of the applicable employees and the majority of which is deductible by the Company for federal and state income tax purposes. In the case of non-qualified stock options, the compensation income results from increases in the fair market value of the Company's common stock subsequent to the date of grant. At December 31, 2023, the deferred tax asset related to unexercised stock options and restricted stock grants for which the Company has recorded a book expense was $3.5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beginning and ending amount of unrecognized tax benefits is as follows:</w:t>
      </w:r>
    </w:p>
    <w:p>
      <w:pPr>
        <w:pStyle w:val="TextBody"/>
        <w:bidi w:val="0"/>
        <w:jc w:val="left"/>
        <w:rPr/>
      </w:pPr>
      <w:r>
        <w:rPr/>
        <w:t> </w:t>
      </w:r>
    </w:p>
    <w:tbl>
      <w:tblPr>
        <w:tblW w:w="9378" w:type="dxa"/>
        <w:jc w:val="left"/>
        <w:tblInd w:w="0" w:type="dxa"/>
        <w:tblLayout w:type="fixed"/>
        <w:tblCellMar>
          <w:top w:w="28" w:type="dxa"/>
          <w:left w:w="28" w:type="dxa"/>
          <w:bottom w:w="28" w:type="dxa"/>
          <w:right w:w="28" w:type="dxa"/>
        </w:tblCellMar>
      </w:tblPr>
      <w:tblGrid>
        <w:gridCol w:w="5811"/>
        <w:gridCol w:w="146"/>
        <w:gridCol w:w="211"/>
        <w:gridCol w:w="571"/>
        <w:gridCol w:w="166"/>
        <w:gridCol w:w="146"/>
        <w:gridCol w:w="211"/>
        <w:gridCol w:w="571"/>
        <w:gridCol w:w="166"/>
        <w:gridCol w:w="146"/>
        <w:gridCol w:w="211"/>
        <w:gridCol w:w="631"/>
        <w:gridCol w:w="39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3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for tax positions of prior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Reductions as a result of a lapse of applicable statutes of limitations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amounts in the reconciliation are reported on a gross basis and do not reflect a federal tax benefit on state income taxes. The Company has accrued $1.5 million of accrued uncertain tax benefits as of December 31, 2023 which is inclusive of the federal tax benefit on state income taxes. The Company believes that it is reasonably possible that a decrease may be necessary in the unrecognized tax benefits within twelve months of the reporting date of approximately $0.1 million, related to tax exposures, due to a lapse of the statute of limitation. The accrued uncertain tax balance at December 31, 2023 includes $1.5 million of unrecognized tax benefits which, if ultimately recognized, will reduce the Company’s annual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subject to income taxes in the U.S. federal jurisdiction, and various states and foreign jurisdictions. Tax regulations within each jurisdiction are subject to the interpretation of the related tax laws and regulations and require significant judgment to apply. With few exceptions, the Company is no longer subject to U.S. federal, state and local, or non-U.S. income tax examinations by tax authorities for the years before 2019.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calculation of the Company’s provision (benefit) for income taxes requires the use of significant judgment and involves dealing with uncertainties in the application of complex tax laws and regulations. In determining the adequacy of the Company’s provision (benefit) for income taxes, potential settlement outcomes resulting from income tax examinations are regularly assessed. As such, the final outcome of tax examinations, including the total amount payable or the timing of any such payments upon resolution of these issues, cannot be estimated with certainty.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2023, the Company recognized a net increase in interest of $0.3 million related to the </w:t>
      </w:r>
    </w:p>
    <w:p>
      <w:pPr>
        <w:pStyle w:val="TextBody"/>
        <w:bidi w:val="0"/>
        <w:jc w:val="left"/>
        <w:rPr>
          <w:rFonts w:ascii="Times New Roman" w:hAnsi="Times New Roman"/>
          <w:color w:val="000000"/>
          <w:sz w:val="20"/>
        </w:rPr>
      </w:pPr>
      <w:r>
        <w:rPr>
          <w:rFonts w:ascii="Times New Roman" w:hAnsi="Times New Roman"/>
          <w:color w:val="000000"/>
          <w:sz w:val="20"/>
        </w:rPr>
        <w:t xml:space="preserve">unrecognized tax benefits noted in the table above. There was no potential penalty recorded during the year ended December 31, 2023. The net decrease in interest during the year ended December 31, 2022 was not significant. During the year ended December 31, 2022, the Company recorded a potential penalty of $0.1 million. During the year ended December 31, 2021, the Company recognized a net decrease in interest expense of $0.2 million related to the change of unrecognized tax benefits noted in the table above. There was no potential penalty recorded during the year ended December 31, 2021.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approximately $0.4 million accrued for the payment of interest and penalties at December 31, 2023. The Company had approximately $0.1 million accrued for the payment of interest and penalties at December 31, 2022. The amount accrued for the payment of interest and penalties was not significant at December 31, 2021. The Company classifies interest and penalties as interest expense and operating expense, respectively.</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Commitments, Contingencies and Other Matters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Transition of Jose Gordo from Chief Executive Officer to Advisor</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announced on November 30, 2023 that following discussions between GEO and its Chief Executive Officer, Jose Gordo, the parties agreed that Mr. Gordo would depart as Chief Executive Officer and as a Board member on mutually agreeable terms and transition to the role of an advisor, effective December 31, 2023 (the “Separation Date”).</w:t>
      </w:r>
    </w:p>
    <w:p>
      <w:pPr>
        <w:pStyle w:val="TextBody"/>
        <w:bidi w:val="0"/>
        <w:jc w:val="left"/>
        <w:rPr>
          <w:rFonts w:ascii="Times New Roman" w:hAnsi="Times New Roman"/>
          <w:color w:val="000000"/>
          <w:sz w:val="20"/>
        </w:rPr>
      </w:pPr>
      <w:r>
        <w:rPr>
          <w:rFonts w:ascii="Times New Roman" w:hAnsi="Times New Roman"/>
          <w:color w:val="000000"/>
          <w:sz w:val="20"/>
        </w:rPr>
        <w:t xml:space="preserve">Mr. Gordo and the Company entered into a Separation Agreement, on November 29, 2023. Pursuant to the terms of the Separation Agreement, Mr. Gordo will: (i) receive all accrued wages through December 31, 2023, less applicable withholdings; (ii) be eligible to receive a target annual performance award for the year ended December 31, 2023 pursuant to the terms of GEO’s Performance Award Plan, if and to the extent earned, at the same time as other senior management employees participating in the Performance Award Plan; and (iii) be entitled to the payment of health insurance premiums under COBRA for a period ending on the earlier of eighteen (18) months following the Separation Date or the date he is no longer entitled to receive COBRA continuation coverage. Under the terms of the Separation Agreement, Mr. Gordo’s equity award agreements will survive the separation of his employment except that performance shares shall only vest during the 18-month period of the Advisory Agreement. The Separation Agreement also contains a mutual release, cooperation and non-disparagement provisions. </w:t>
      </w:r>
    </w:p>
    <w:p>
      <w:pPr>
        <w:pStyle w:val="TextBody"/>
        <w:bidi w:val="0"/>
        <w:jc w:val="left"/>
        <w:rPr>
          <w:rFonts w:ascii="Times New Roman" w:hAnsi="Times New Roman"/>
          <w:color w:val="000000"/>
          <w:sz w:val="20"/>
        </w:rPr>
      </w:pPr>
      <w:r>
        <w:rPr>
          <w:rFonts w:ascii="Times New Roman" w:hAnsi="Times New Roman"/>
          <w:color w:val="000000"/>
          <w:sz w:val="20"/>
        </w:rPr>
        <w:t xml:space="preserve">Mr. Gordo and the Company also entered into an Advisory Agreement on November 29, 2023, effective as of January 1, 2024, for a period of eighteen (18) months concluding on June 30, 2025. Pursuant to the terms of the Advisory Agreement, Mr. Gordo will be available to give advice and support regarding litigation, client relations, operational issues, growth opportunities, and company financial management and debt restructuring matters and provide any and all other related assistance requested by the Company for an advisory fee of $40,000 per month for the Advisory Period. The Company is seeking to continue Mr. Gordo’s services in these specific areas to benefit from his many years of experience in the industry, the deep relationships he has forged inside the Company and with its industry partners, his global operating perspectives, and his specific expertise in a specialized industry. Additionally, Mr. Gordo’s previously-awarded unvested performance shares shall continue to vest as scheduled through June 30, 2025, when and to the extent the Compensation Committee of the Board certifies that the performance goals are actually met. The Advisory Agreement also contains provisions related to confidentiality and conflicts of interest. </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Appointment of Brian Evans as Chief Executive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Brian Evans, who has been with the Company for 23 years and served as the Company’s Chief Financial Officer for 14 years, was appointed Chief Executive Officer on November 29, 2023, effective January 1, 2024.</w:t>
      </w:r>
    </w:p>
    <w:p>
      <w:pPr>
        <w:pStyle w:val="TextBody"/>
        <w:bidi w:val="0"/>
        <w:jc w:val="left"/>
        <w:rPr>
          <w:rFonts w:ascii="Times New Roman" w:hAnsi="Times New Roman"/>
          <w:color w:val="000000"/>
          <w:sz w:val="20"/>
        </w:rPr>
      </w:pPr>
      <w:r>
        <w:rPr>
          <w:rFonts w:ascii="Times New Roman" w:hAnsi="Times New Roman"/>
          <w:color w:val="000000"/>
          <w:sz w:val="20"/>
        </w:rPr>
        <w:t>In connection with his appointment, Mr. Evans and the Company entered into the Evans Employment Agreement on December 4, 2023 to provide that Mr. Evans will be employed by the Company for a three-year term beginning January 1, 2024 (the “Effective Date”). Unless the Evans Employment Agreement is sooner terminated, or not renewed, it will automatically extend upon the end of its initial term for a rolling three-year term. Pursuant to the terms of the Evans Employment Agreement, Mr. Evans will serve as Chief Executive Officer and report directly to the Executive Chairman. Either Mr. Evans or the Company may terminate Mr. Evan’s employment under the Evans Employment Agreement for any reason upon not less than thirty (30) days written notice.</w:t>
      </w:r>
    </w:p>
    <w:p>
      <w:pPr>
        <w:pStyle w:val="TextBody"/>
        <w:bidi w:val="0"/>
        <w:jc w:val="left"/>
        <w:rPr>
          <w:rFonts w:ascii="Times New Roman" w:hAnsi="Times New Roman"/>
          <w:color w:val="000000"/>
          <w:sz w:val="20"/>
        </w:rPr>
      </w:pPr>
      <w:r>
        <w:rPr>
          <w:rFonts w:ascii="Times New Roman" w:hAnsi="Times New Roman"/>
          <w:color w:val="000000"/>
          <w:sz w:val="20"/>
        </w:rPr>
        <w:t>Under the terms of the Evans Employment Agreement, Mr. Evans will be paid an annual base salary of $1,000,000, subject to the review and potential increase in the sole discretion of the Compensation Committee. Mr. Evans will also be entitled to receive a target annual performance award of 100% of Mr. Evans’ base salary and be entitled to participate in the Stock Incentive Plan.</w:t>
      </w:r>
    </w:p>
    <w:p>
      <w:pPr>
        <w:pStyle w:val="TextBody"/>
        <w:bidi w:val="0"/>
        <w:jc w:val="left"/>
        <w:rPr>
          <w:rFonts w:ascii="Times New Roman" w:hAnsi="Times New Roman"/>
          <w:color w:val="000000"/>
          <w:sz w:val="20"/>
        </w:rPr>
      </w:pPr>
      <w:r>
        <w:rPr>
          <w:rFonts w:ascii="Times New Roman" w:hAnsi="Times New Roman"/>
          <w:color w:val="000000"/>
          <w:sz w:val="20"/>
        </w:rPr>
        <w:t>The Evans Employment Agreement provides that upon the separation of employment by Mr. Evans for good reason, by the Company without cause or upon the death or disability of Mr. Evans, he will be entitled to receive a separation payment equal to two (2) times the sum of his annual base salary. The Company will also continue to provide Mr. Evans and any covered dependents with the Executive Benefits as defined in the Evans Employment Agreement for a period of five (5) years after the date of separation. In the event of Mr. Evans’ death within such five (5) year period, the Company will continue to provide the Executive Benefits to Mr. Evans’ covered dependents, and, if applicable to Mr. Evans’ estate. In addition, the Evans Employment Agreement provides that upon such separation, GEO will transfer all of its interest in any automobile used by Mr. Evans pursuant to its Executive Automobile Policy and pay the balance of any outstanding loans or leases on such automobile so that Mr. Evans owns the automobile outright. In the event such automobile is leased, GEO will pay the residual cost of the lease. Lastly, all of the outstanding and unvested stock options and restricted stock granted to Mr. Evans prior to separation will fully vest immediately upon separation; provided, however that any restricted stock that is subject to performance-based vesting shall only vest when and to the extent the Compensation Committee certifies that the performance goals are actually met, and provided further that Mr. Evans remains in full compliance with the restrictive covenants set forth in the Evans Employment Agreement. Upon a separation of employment by the Company for cause or by Mr. Evans without good reason, Mr. Evans will be entitled to only the amount of compensation that is due through the effective date of the separation.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Evans Employment Agreement includes a non-competition covenant that runs through the three-year period following the separation of the executive’s employment, and confidentiality and work product provisions.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Appointment of Shayn March as Acting Chief Financial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Shayn March, Executive Vice President, Finance and Treasurer, was appointed Acting Chief Financial Officer on November 29, 2023, effective January 1, 2024. Mr. March, 58, joined the Company as Vice President of Finance and Treasurer in March 2009. </w:t>
      </w:r>
    </w:p>
    <w:p>
      <w:pPr>
        <w:pStyle w:val="TextBody"/>
        <w:bidi w:val="0"/>
        <w:jc w:val="left"/>
        <w:rPr>
          <w:rFonts w:ascii="Times New Roman" w:hAnsi="Times New Roman"/>
          <w:color w:val="000000"/>
          <w:sz w:val="20"/>
        </w:rPr>
      </w:pPr>
      <w:r>
        <w:rPr>
          <w:rFonts w:ascii="Times New Roman" w:hAnsi="Times New Roman"/>
          <w:color w:val="000000"/>
          <w:sz w:val="20"/>
        </w:rPr>
        <w:t>In connection with his appointment as Acting Chief Financial Officer, the Compensation Committee approved an increase in Mr. March’s annual base salary to $450,000, effective January 1, 2024. Otherwise, the terms of Mr. March’s employment continue to be governed by the March Employment Agreement. The March Employment Agreement provides that Mr. March will be employed by the Company for a two-year term beginning June 22, 2021. Unless the March Employment Agreement is sooner terminated, or not renewed, it automatically extends for an additional two years after the end of each term. Either Mr. March or the Company may terminate Mr. March’s employment under the March Employment Agreement for any reason upon not less than thirty (30) days written notice. Under the terms of the March Employment Agreement, Mr. March is entitled to receive an annual bonus in accordance with the terms of any plan governing employee bonuses then in effect as established by the Board of Directors.</w:t>
      </w:r>
    </w:p>
    <w:p>
      <w:pPr>
        <w:pStyle w:val="TextBody"/>
        <w:bidi w:val="0"/>
        <w:jc w:val="left"/>
        <w:rPr>
          <w:rFonts w:ascii="Times New Roman" w:hAnsi="Times New Roman"/>
          <w:color w:val="000000"/>
          <w:sz w:val="20"/>
        </w:rPr>
      </w:pPr>
      <w:r>
        <w:rPr>
          <w:rFonts w:ascii="Times New Roman" w:hAnsi="Times New Roman"/>
          <w:color w:val="000000"/>
          <w:sz w:val="20"/>
        </w:rPr>
        <w:t>The March Employment Agreement provides that upon the separation of employment by the Company without cause or upon the death or disability of Mr. March, he will be entitled to receive a separation payment equal to the current annual base salary for the greater of: (i) the remainder of the term or (ii) twelve (12) months. The Company will also continue to provide Mr. March and any covered dependents with the Employee Benefits as defined in the March Employment Agreement for a period of twelve (12) months after the date of separation. In the event of Mr. March’s death within such twelve (12) month period, the Company will continue to provide the Employee Benefits to Mr. March’s covered dependents, and, if applicable to Mr. March’s estate. Lastly, all of the outstanding and unvested stock options and restricted stock granted to Mr. March prior to separation will continue to vest for the greater of: (i) the remainder of the term or (ii) twelve (12) months. Upon a separation of employment by the Company for cause or a resignation by Mr. March, Mr. March will be entitled to only the amount of compensation that is due through the effective date of the separation.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March Employment Agreement includes a non-competition covenant that runs through the two-year period following the separation of the executive’s employment, and confidentiality and work product provisions. </w:t>
      </w:r>
    </w:p>
    <w:p>
      <w:pPr>
        <w:pStyle w:val="TextBody"/>
        <w:bidi w:val="0"/>
        <w:jc w:val="left"/>
        <w:rPr>
          <w:rFonts w:ascii="Times New Roman" w:hAnsi="Times New Roman"/>
          <w:b/>
          <w:i/>
          <w:color w:val="000000"/>
          <w:sz w:val="20"/>
        </w:rPr>
      </w:pPr>
      <w:r>
        <w:rPr>
          <w:rFonts w:ascii="Times New Roman" w:hAnsi="Times New Roman"/>
          <w:b/>
          <w:i/>
          <w:color w:val="000000"/>
          <w:sz w:val="20"/>
        </w:rPr>
        <w:t>Appointment of Wayne Calabrese as President and Chief Operating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Wayne Calabrese, Senior Vice President and Chief Operating Officer, was appointed President and Chief Operating Officer on November 29, 2023, effective January 1, 2024.</w:t>
      </w:r>
    </w:p>
    <w:p>
      <w:pPr>
        <w:pStyle w:val="TextBody"/>
        <w:bidi w:val="0"/>
        <w:jc w:val="left"/>
        <w:rPr>
          <w:rFonts w:ascii="Times New Roman" w:hAnsi="Times New Roman"/>
          <w:color w:val="000000"/>
          <w:sz w:val="20"/>
        </w:rPr>
      </w:pPr>
      <w:r>
        <w:rPr>
          <w:rFonts w:ascii="Times New Roman" w:hAnsi="Times New Roman"/>
          <w:color w:val="000000"/>
          <w:sz w:val="20"/>
        </w:rPr>
        <w:t>In connection with Mr. Calabrese’s appointment as President and Chief Operating Officer, Mr. Calabrese and the Company entered into the Calabrese Employment Agreement, to provide that Mr. Calabrese will be employed by the Company for a two-year term beginning the Effective Date and ending on December 31, 2025.</w:t>
      </w:r>
    </w:p>
    <w:p>
      <w:pPr>
        <w:pStyle w:val="TextBody"/>
        <w:bidi w:val="0"/>
        <w:jc w:val="left"/>
        <w:rPr>
          <w:rFonts w:ascii="Times New Roman" w:hAnsi="Times New Roman"/>
          <w:color w:val="000000"/>
          <w:sz w:val="20"/>
        </w:rPr>
      </w:pPr>
      <w:r>
        <w:rPr>
          <w:rFonts w:ascii="Times New Roman" w:hAnsi="Times New Roman"/>
          <w:color w:val="000000"/>
          <w:sz w:val="20"/>
        </w:rPr>
        <w:t>Under the terms of the Calabrese Employment Agreement, Mr. Calabrese will be paid an annual base salary of $700,000, subject to the review and recommendation of a potential increase in the sole discretion of the Compensation Committee. Mr. Calabrese will be entitled to receive a target annual performance award of eighty percent (80%) of his base salary and will also be entitled to participate in the Stock Incentive Plan.</w:t>
      </w:r>
    </w:p>
    <w:p>
      <w:pPr>
        <w:pStyle w:val="TextBody"/>
        <w:bidi w:val="0"/>
        <w:jc w:val="left"/>
        <w:rPr>
          <w:rFonts w:ascii="Times New Roman" w:hAnsi="Times New Roman"/>
          <w:color w:val="000000"/>
          <w:sz w:val="20"/>
        </w:rPr>
      </w:pPr>
      <w:r>
        <w:rPr>
          <w:rFonts w:ascii="Times New Roman" w:hAnsi="Times New Roman"/>
          <w:color w:val="000000"/>
          <w:sz w:val="20"/>
        </w:rPr>
        <w:t xml:space="preserve">The Calabrese Employment Agreement provides that upon a separation of employment by Mr. Calabrese for good reason or by the Company without cause or upon the death or disability of Mr. Calabrese, he will be entitled to a lump sum separation payment equal to Mr. Calabrese’s annual base salary for six (6) months. In addition, the Calabrese Employment Agreement provides that upon such separation, the Company will transfer all of its interest in any automobile used by Mr. Calabrese pursuant to its Executive Automobile Policy and pay the balance of any outstanding loans or leases on such automobile so that Mr. Calabrese owns the automobile outright. Additionally, all of the outstanding unvested stock options and restricted stock granted to Mr. Calabrese prior to separation will fully vest immediately upon separation; provided however, that any restricted stock that is subject to performance-based vesting shall only vest when and to the extent the Compensation Committee certifies that the performance goals are actually met. Upon a separation of employment by Mr. Calabrese without good reason or by the Company for cause, Mr. Calabrese will be entitled to only the amount of compensation that is due through the effective date of the separation. Except that if Mr. Calabrese’s separation from employment occurs upon the conclusion of his two-year term (or any extension thereof) (the “Full Term Separation Date”), all of the outstanding unvested stock options and restricted stock granted to Mr.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Calabrese prior to the Full Term Separation Date will fully vest immediately upon separation; provided however, that any restricted stock that is still subject to performance-based vesting as of the Full Term Separation Date shall only vest when and to the extent the Compensation Committee certifies that the performance goals are actually met, and provided further that Mr. Calabrese remains in full compliance with the restrictive covenants set forth in the Calabrese Employment Agreement. The Calabrese Employment Agreement also provides that Mr. Calabrese is not eligible for retirement benefits under the Company’s policy based on his prior employment and retirement, which resulted in Mr. Calabrese taking his retirement benefits at that time.</w:t>
      </w:r>
    </w:p>
    <w:p>
      <w:pPr>
        <w:pStyle w:val="TextBody"/>
        <w:bidi w:val="0"/>
        <w:jc w:val="left"/>
        <w:rPr>
          <w:rFonts w:ascii="Times New Roman" w:hAnsi="Times New Roman"/>
          <w:color w:val="000000"/>
          <w:sz w:val="20"/>
        </w:rPr>
      </w:pPr>
      <w:r>
        <w:rPr>
          <w:rFonts w:ascii="Times New Roman" w:hAnsi="Times New Roman"/>
          <w:color w:val="000000"/>
          <w:sz w:val="20"/>
        </w:rPr>
        <w:t xml:space="preserve">The Calabrese Employment Agreement includes a non-competition covenant that runs through the three-year period following the executive’s separation from employment, and confidentiality and work product provisions.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Non-Renewal of Term under Executive Chairman Employment Agreement and Transition of Dr. George Zoley from Executive Chairman to Advisor and non-Executive Chairman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on November 29, 2023, the Company confirmed that Dr. George Zoley, the Company’s Founder and Executive Chairman, will step down as Executive Chairman on June 30, 2026, at the end of his current employment term under his Executive Chairman Employment Agreement. The Company and Dr. Zoley plan on entering into an Advisory Services Agreement prior to June 30, 2026 to reflect Dr. Zoley’s continuing role with the Company as an Advisor beginning on July 1, 2026 while continuing to serve as the Company’s non-Executive Chairman of the Board of Directors, subject to shareholder approval.</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Collective Bargaining Agreements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had approximately 49% of its workforce covered by collective bargaining agreements at December 31, 2023. Collective bargaining agreements with 27% of employees are set to expire in less than one year.</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Contract Developments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December 18, 2023, GEO received a new task order from ICE establishing February 19, 2024 as the end of the contract performance period, ten months short of the end of the Company's 1940-bed company owned Adelanto ICE Processing Center's base contract term. The next day, on December 19</w:t>
      </w:r>
      <w:r>
        <w:rPr>
          <w:rFonts w:ascii="Times New Roman" w:hAnsi="Times New Roman"/>
          <w:color w:val="000000"/>
          <w:sz w:val="13"/>
        </w:rPr>
        <w:t>th</w:t>
      </w:r>
      <w:r>
        <w:rPr>
          <w:rFonts w:ascii="Times New Roman" w:hAnsi="Times New Roman"/>
          <w:color w:val="000000"/>
          <w:sz w:val="20"/>
        </w:rPr>
        <w:t>, ICE issued a public statement, saying, in part, that “While no final decision has been made regarding the disposition of the facility, ICE must consider the effect of ongoing litigation that prevents full use of the facility, likelihood of relief from that litigation, the cost associated with maintaining the facility and the operational requirements for effective national detention operations</w:t>
      </w:r>
      <w:r>
        <w:rPr>
          <w:rFonts w:ascii="Times New Roman" w:hAnsi="Times New Roman"/>
          <w:i/>
          <w:color w:val="000000"/>
          <w:sz w:val="20"/>
        </w:rPr>
        <w:t>.</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GEO believes the task order and public statement issued by ICE demonstrate that the government is considering whether to discontinue its use of the facility before the end of the contract’s base term due to the ongoing impact of the outdated COVID-19 related limitations imposed by the federal court over three years ago. As a result, GEO and the three unions representing the Facility’s employees have filed motions to protect GEO’s interests which include annualized revenues and the potential loss of jobs by 350-plus Facility employees. Subsequent to the filing of these motions, ICE extended the task order funding for the Adelanto contract through June 19,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fourth quarter of 2023, in Colorado, GEO renewed its contract with ICE for the provision of the company-owned 1,532-bed Aurora ICE Processing Center and associated secure support services for a one-year term.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fourth quarter of 2023, in California, GEO renewed its contract with the U.S. Marshals for the provision of secure support services at the government-owned, 512-bed El Centro Detention Facility for a two-year term. </w:t>
      </w:r>
    </w:p>
    <w:p>
      <w:pPr>
        <w:pStyle w:val="TextBody"/>
        <w:bidi w:val="0"/>
        <w:jc w:val="left"/>
        <w:rPr>
          <w:rFonts w:ascii="Times New Roman" w:hAnsi="Times New Roman"/>
          <w:color w:val="000000"/>
          <w:sz w:val="20"/>
        </w:rPr>
      </w:pPr>
      <w:r>
        <w:rPr>
          <w:rFonts w:ascii="Times New Roman" w:hAnsi="Times New Roman"/>
          <w:color w:val="000000"/>
          <w:sz w:val="20"/>
        </w:rPr>
        <w:t>Also during the fourth quarter of 2023, at the state level, GEO received a two-year renewal of its lease agreement with the State of New Mexico for its company-owned, 600-bed Guadalupe County Correctional Facility, which is managed by the New Mexico Corrections Department.</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the Company's GEO Reentry Services division renewed five residential reentry center contracts at the state and federal levels during the fourth quarter of 2023 </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of 2023, the Company renewed two direct contracts with the U.S. Marshals Service. One was at its company-owned 1,900-bed Rio Grande Processing Center in Texas for a five-year term, and the second at its company-leased 770-bed Western Region Detention Facility in San Diego for a two-year term.</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also renewed three contracts with ICE during the third quarter of 2023 for respective one-year terms that include its company-owned 700-bed Broward Transitional Center in Florida, its company-owned 1,904-bed South Texas ICE Processing Center, and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company-owned 1,314-bed Montgomery Processing Center in Texas and entered into a new emergency nine month contract to provide air operations support for ICE.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28, 2023, the Company signed a 66-month lease, with subsequent unlimited one-year options, with the Oklahoma Department of Corrections for its previously idled company-owned Great Plains Correctional Facility which commenced May 1, 2023.</w:t>
      </w:r>
    </w:p>
    <w:p>
      <w:pPr>
        <w:pStyle w:val="TextBody"/>
        <w:bidi w:val="0"/>
        <w:jc w:val="left"/>
        <w:rPr>
          <w:rFonts w:ascii="Times New Roman" w:hAnsi="Times New Roman"/>
          <w:color w:val="000000"/>
          <w:sz w:val="20"/>
        </w:rPr>
      </w:pPr>
      <w:r>
        <w:rPr>
          <w:rFonts w:ascii="Times New Roman" w:hAnsi="Times New Roman"/>
          <w:color w:val="000000"/>
          <w:sz w:val="20"/>
        </w:rPr>
        <w:br/>
        <w:t>During the first quarter of 2023, the USMS exercised the five-year option period under the Company's direct contract for the 768-bed Robert Deyton Facility in Georgia, which is now effective through February 2028.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9, 2023, the Company announced that its Australian subsidiary, GEO Australia, had entered into a contract with the Department of Justice and Community Safety in the State of Victoria for delivery of primary health services across thirteen public prisons. The contract commenced on July 1, 2023.</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December 31, 2023, the Company had contractually required commitments for a number of projects using existing Company financing facilities. The Company’s management estimates that these existing contractually required capital projects will cost approximately $61.3 million, of which $49.0 million was spent through 2023. The Company estimates the remaining capital requirements related to these contractually required capital projects to be approximately $12.3 million. These projects are expected to be completed through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these current estimated capital requirements, the Company is currently in the process of bidding on, or evaluating potential bids for the design, construction and management of a number of new projects. In the event that the Company wins bids for these projects and decides to self-finance their construction, its capital requirements could materially increase.</w:t>
      </w:r>
    </w:p>
    <w:p>
      <w:pPr>
        <w:pStyle w:val="TextBody"/>
        <w:bidi w:val="0"/>
        <w:spacing w:before="270" w:after="283"/>
        <w:jc w:val="left"/>
        <w:rPr>
          <w:rFonts w:ascii="Times New Roman" w:hAnsi="Times New Roman"/>
          <w:sz w:val="20"/>
        </w:rPr>
      </w:pPr>
      <w:r>
        <w:rPr>
          <w:rFonts w:ascii="Times New Roman" w:hAnsi="Times New Roman"/>
          <w:b/>
          <w:i/>
          <w:color w:val="000000"/>
          <w:sz w:val="20"/>
        </w:rPr>
        <w:t>Litigation, Claims and Assessments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Shareholder and Derivative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7, 2020, a putative shareholder class action lawsuit was filed against the Company and its officers George C. Zoley and Brian R. Evans in the U.S. District Court for the Southern District of Florida. On November 18, 2020, the lead plaintiffs, James Michael DeLoach and Edward Oketola, filed a consolidated class action amended complaint against Messrs. Zoley and Evans––as well as then current and former Company officers J. David Donahue and Ann M. Schlarb. On September 23, 2021, the court dismissed all claims against Messrs. Evans and Donahue, and Ms. Schlarb, and dismissed all claims against GEO and Mr. Zoley other than claims related to GEO's disclosures about pending litigation. On October 4, 2021, plaintiffs filed a consolidated class action second amended complaint. The second amended complaint alleged that GEO and Mr. Zoley violated Sections 10(b) and 20(a) of the Securities Exchange Act of 1934 (the “Exchange Act”), and Rule 10b-5 promulgated thereunder, and alleged that Mr. Zoley violated Section 20(a) of the Exchange Act, by making materially false and misleading statements and/or omissions related to pending litigation, and sought relief individually and on behalf of a putative class consisting of all persons and entities––other than the defendants, the officers and directors of the Company, members of their immediate families and their legal representatives, heirs, successors or assigns and any entity in which the defendants have or had a controlling interest––who purchased or otherwise acquired the Company’s securities during the alleged class period from November 9, 2018 to August 5, 2020, inclusive. The second amended complaint sought damages, interest, attorneys’ fees, expert fees, other costs, and such other relief as the court deemed proper. On June 21, 2022, the court dismissed all claims in the second amended complaint other than those related to the Company’s statements about pending lawsuits made prior to July 17, 2019. The parties resolved this matter following mediation for a payment to a settlement class of $3 million paid by the Company's insurance carrier. On November 17, 2023, the court entered a Final Judgment and Order of Dismissal with Prejudice approving the settlement. </w:t>
      </w:r>
    </w:p>
    <w:p>
      <w:pPr>
        <w:pStyle w:val="TextBody"/>
        <w:bidi w:val="0"/>
        <w:jc w:val="left"/>
        <w:rPr>
          <w:rFonts w:ascii="Times New Roman" w:hAnsi="Times New Roman"/>
          <w:color w:val="000000"/>
          <w:sz w:val="20"/>
        </w:rPr>
      </w:pPr>
      <w:r>
        <w:rPr>
          <w:rFonts w:ascii="Times New Roman" w:hAnsi="Times New Roman"/>
          <w:color w:val="000000"/>
          <w:sz w:val="20"/>
        </w:rPr>
        <w:t xml:space="preserve">After the putative shareholder class action lawsuit was filed, three related putative shareholder derivative actions were also filed. These cases generally allege breaches of fiduciary duties related to the same underlying matters alleged in the class action above. First, on July 1, 2021, a putative shareholder derivative complaint was filed in Palm Beach County, Florida Circuit Court against the Company, as well as current and former Company directors and officers George C. Zoley, Jose Gordo, Brian R. Evans, Ann M. Schlarb, Richard H. Glanton, Anne N. Foreman, Christopher C. Wheeler, Julie M. Wood, Guido van Hauwermeiren, Scott M. Kernan, and Duane Helkowski (collectively, the “State Court Defendants”). Second, on November 12, 2021, a putative shareholder derivative complaint was filed in the U.S. District Court for the Southern District of Florida against the Company, the State Court Defendants, as well as then current and former Company officers David Venturella and J. David Donahue (collectively, the “Derivative Defendants”). Third, on August 24, 2022, a putative stockholder derivative complaint was filed in the U.S. District Court for the Southern District of Florida against the Company and the Derivative Defendants. The state-court complaint alleges breach of fiduciary duty and unjust enrichment claims against the State Court Defendants relating to purported healthcare and quality of care deficiencies, an allegedly inadequate response to the COVID-19 pandemic, alleged forced labor by detainees, and alleged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exposure to pending litigation, which purportedly led to damage to GEO. The federal-court complaints make similar allegations of breach of fiduciary duty as to the Derivative Defendants, and also allege that the Derivative Defendants violated Section 10(b) of the Exchange Act, and Rule 10b-5 promulgated thereunder and that Mr. Zoley contributed to alleged violations of Sections 10(b) and 21D of the Exchange Act. These cases are currently stayed.</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Immigration Detainee Litigation</w:t>
      </w:r>
    </w:p>
    <w:p>
      <w:pPr>
        <w:pStyle w:val="TextBody"/>
        <w:bidi w:val="0"/>
        <w:jc w:val="left"/>
        <w:rPr>
          <w:rFonts w:ascii="Times New Roman" w:hAnsi="Times New Roman"/>
          <w:color w:val="000000"/>
          <w:sz w:val="20"/>
        </w:rPr>
      </w:pPr>
      <w:r>
        <w:rPr>
          <w:rFonts w:ascii="Times New Roman" w:hAnsi="Times New Roman"/>
          <w:color w:val="000000"/>
          <w:sz w:val="20"/>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are currently stayed by court order pending appeal of certain of GEO's defenses to the 10th Circuit Court of Appeal. Oral argument before the 10th Circuit was held on September 18, 2023.</w:t>
      </w:r>
    </w:p>
    <w:p>
      <w:pPr>
        <w:pStyle w:val="TextBody"/>
        <w:bidi w:val="0"/>
        <w:jc w:val="left"/>
        <w:rPr>
          <w:rFonts w:ascii="Times New Roman" w:hAnsi="Times New Roman"/>
          <w:color w:val="000000"/>
          <w:sz w:val="20"/>
        </w:rPr>
      </w:pPr>
      <w:r>
        <w:rPr>
          <w:rFonts w:ascii="Times New Roman" w:hAnsi="Times New Roman"/>
          <w:color w:val="000000"/>
          <w:sz w:val="20"/>
        </w:rPr>
        <w:t xml:space="preserve">Since the Colorado suit was initially filed, four similar lawsuits have been filed - two in Washington State and two in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The first of the two Washington State lawsuits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persons in the custody of federal immigration authorities while the federal government is determining their immigration status.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 judgment interest is accruing on these judgments in accordance with Washington law. The trial court has waived the necessity to post a supersedeas bond for the combined judgments and has stayed enforcement of the verdict and judgments while GEO’s appeal to the U.S. Court of Appeals for the Ninth Circuit is pending. Oral argument before the Ninth Circuit was held on October 6, 2022.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has resumed control and jurisdiction over the Washington State lawsuits.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21, 2024, the United States Department of Justice filed its Amicus Curiae in Support of GEO, arguing that the Washington judgments should be reversed because the Supremacy Clause precludes application of the Washington Minimum Wage Statute to work programs for federal detainees. In its Brief, the Department of Justice asserts that application of the Washington law independently contravenes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contends that the immigration statutory structure approved by Congress does not contemplate a role for states or state law in governing the Voluntary Work Program for federal detainees.</w:t>
      </w:r>
    </w:p>
    <w:p>
      <w:pPr>
        <w:pStyle w:val="TextBody"/>
        <w:bidi w:val="0"/>
        <w:jc w:val="left"/>
        <w:rPr>
          <w:rFonts w:ascii="Times New Roman" w:hAnsi="Times New Roman"/>
          <w:color w:val="000000"/>
          <w:sz w:val="20"/>
        </w:rPr>
      </w:pPr>
      <w:r>
        <w:rPr>
          <w:rFonts w:ascii="Times New Roman" w:hAnsi="Times New Roman"/>
          <w:color w:val="000000"/>
          <w:sz w:val="20"/>
        </w:rPr>
        <w:t xml:space="preserve">In California, a class-action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Washington State lawsuits. </w:t>
      </w:r>
    </w:p>
    <w:p>
      <w:pPr>
        <w:pStyle w:val="TextBody"/>
        <w:bidi w:val="0"/>
        <w:jc w:val="left"/>
        <w:rPr>
          <w:rFonts w:ascii="Times New Roman" w:hAnsi="Times New Roman"/>
          <w:color w:val="000000"/>
          <w:sz w:val="20"/>
        </w:rPr>
      </w:pPr>
      <w:r>
        <w:rPr>
          <w:rFonts w:ascii="Times New Roman" w:hAnsi="Times New Roman"/>
          <w:color w:val="000000"/>
          <w:sz w:val="20"/>
        </w:rPr>
        <w:t xml:space="preserve">Current and former detainees of the Mesa Verde ICE Processing Center and the Golden State Annex ICE Processing Center filed a class action lawsuit on July 13, 2022, against the Company in the U.S. District Court for the Eastern District of California, Fresno Division. This lawsuit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 to the cases in Colorado, Washington and California discussed above.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the Washington State lawsuits and a motion to dismiss the action in its entirety. On July 10, 2023, the court entered a stay until the Ninth Circuit rules on the Washington State lawsuits.</w:t>
      </w:r>
    </w:p>
    <w:p>
      <w:pPr>
        <w:pStyle w:val="TextBody"/>
        <w:bidi w:val="0"/>
        <w:jc w:val="left"/>
        <w:rPr>
          <w:rFonts w:ascii="Times New Roman" w:hAnsi="Times New Roman"/>
          <w:color w:val="000000"/>
          <w:sz w:val="20"/>
        </w:rPr>
      </w:pPr>
      <w:r>
        <w:rPr>
          <w:rFonts w:ascii="Times New Roman" w:hAnsi="Times New Roman"/>
          <w:color w:val="000000"/>
          <w:sz w:val="20"/>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at this time as losses are not considered probable.</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Challenges to State Legislation that Conflict with Federal Contracts</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29, 2021, the Company filed a lawsuit in the U.S. District Court for the Western District of Washington against the State of Washington for declaratory and injunctive relief challenging the State of Washington’s newly enacted law – House Bill 1090 – that purports to prohibit the operation of "private detention facilities" in the state, which would prevent the United States from using privately contracted detention facilities to house detainees in the custody of ICE. The court entered a stay of this action pending the final resolution of the AB-32 appeal. On June 22, 2023, the State of Washington filed a stipulation indicating, among other things, that it will not enforce House Bill 1090 against GEO for its operation of the Northwest ICE Processing Center. On November 16, 2023, the court entered a Judgment and dismissed the case.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The Company is awaiting a ruling on its complaint from the U.S. District Court for the Western District of Washington.</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Other Litigation</w:t>
      </w:r>
    </w:p>
    <w:p>
      <w:pPr>
        <w:pStyle w:val="TextBody"/>
        <w:bidi w:val="0"/>
        <w:jc w:val="left"/>
        <w:rPr>
          <w:rFonts w:ascii="Times New Roman" w:hAnsi="Times New Roman"/>
          <w:color w:val="000000"/>
          <w:sz w:val="20"/>
        </w:rPr>
      </w:pPr>
      <w:r>
        <w:rPr>
          <w:rFonts w:ascii="Times New Roman" w:hAnsi="Times New Roman"/>
          <w:color w:val="000000"/>
          <w:sz w:val="20"/>
        </w:rPr>
        <w:t>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Accruals for Legal Proceedings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 </w:t>
      </w:r>
    </w:p>
    <w:p>
      <w:pPr>
        <w:pStyle w:val="TextBody"/>
        <w:bidi w:val="0"/>
        <w:jc w:val="left"/>
        <w:rPr/>
      </w:pPr>
      <w:r>
        <w:rPr/>
        <w:t> </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Other Assessment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A state non-income tax audit completed in 2016 included tax periods for which the state tax authority had previously processed a substantial tax refund. At the completion of the audit fieldwork, the Company received a notice of audit findings disallowing deductions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were previously claimed by the Company, approved by the state tax authority and served as the basis for the approved refund claim. In early January 2017, the Company received a formal Notice of Assessment of Taxes and Demand for Payment from the taxing authority disallowing the deductions. The total tax, penalty and interest related to the assessment is approximately $21.1 million. The Company appealed the administrative ruling. In February 2024, the Company received notice that the New Mexico Court of Appeals had ruled against its appeal. The Company plans to appeal this ruling to the State Supreme Court by timely filing a Petition for Writ of Certiorari. The Company disagrees with the assessment and intends to take all necessary steps to vigorously defend its position. The Company has established an estimated liability based on its estimate of the most probable loss based on the facts and circumstances known to date and the advice of outside counsel in connection with this matter.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Asset Divestitures</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 September 20, 2022, the Company executed a Share and Unit Sale and Purchase Agreement ("SPA") for the sale of its equity investment interest in the government-owned Ravenhall Correctional Centre ("Centre") project in Australia for approximately $84 million in gross proceeds, pre-tax to an unrelated third party. In accordance with the SPA, the Company sold its shares/units in GEO Australasia Holdings Pty Ltd, GEO Australasia Finance Holdings Pty Ltd and GEO Australasia Finance Holding Trust, the Company's former wholly owned subsidiaries. These subsidiaries held the contract receivable and related non-recourse debt which were transferred to the buyer and are no longer an asset or outstanding obligation of the Company. These subsidiaries also held restricted cash that was also transferred to the buyer. The Company continues to manage the operations of the Centre on behalf of the State of Victoria. As a result of the sale, the Company recorded a gain of approximately $29.3 million, pre-tax. The proceeds, along with available cash on hand, were used to repay all of the remaining outstanding principal of its Term Loan B and its newly issued Tranche 3 Loans. Refer to Note 11 - Debt for additional information.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 2021, the Company completed a divestiture of its youth division (“Abraxas”). The divestiture included the sale of certain non-real estate assets in the Company's youth division for total consideration of $10 million which was in the form of an unsecured term note receivable (“Term Note”). The Term Note was to mature July 1, 2026 and bore annual interest at 5%. Principal payments of $250,000 were to be due annually each year starting July 1, 2022. After June 30, 2023, an additional payment would have been due equal to 50% of the excess cash flow (as defined in the Term Note) in excess of $1,000,000. The remaining balance was due on the maturity date. Additionally, the Company had provided a $4 million working capital line of credit (“Grid Note”) which was to mature on December 31, 2022 and bore daily interest at prime minus 1%. Each loan under the Grid Note was payable upon the earlier of (i) on demand, (ii) thirty days from the funding date, or (iii) the maturity date. There were no amounts drawn on the Grid Note during 2021. The sale resulted in the assignment of the Company's youth services management contracts to Abraxas. The Company retained the ownership of the youth services real estate assets and have entered into lease agreements with Abraxas for the six company-owned youth facilities. As a result of the transaction, the Company recorded a loss on asset divestiture of approximately $4.5 million during the year ended December 31, 2021 inclusive of a working capital adjustment. On October 15, 2021, the Company signed a letter agreement with Abraxas and another unrelated not-for-profit entity for the settlement of the Term Note and termination of the Grid Note. In accordance with the letter agreement, Abraxas became affiliated with the other unrelated not-for-profit entity and paid the Company $8 million in full settlement of the Term Note on December 31, 2021.</w:t>
      </w:r>
    </w:p>
    <w:p>
      <w:pPr>
        <w:pStyle w:val="TextBody"/>
        <w:bidi w:val="0"/>
        <w:jc w:val="left"/>
        <w:rPr/>
      </w:pPr>
      <w:r>
        <w:rPr/>
        <w:t> </w:t>
      </w:r>
    </w:p>
    <w:p>
      <w:pPr>
        <w:pStyle w:val="TextBody"/>
        <w:bidi w:val="0"/>
        <w:jc w:val="left"/>
        <w:rPr/>
      </w:pPr>
      <w:r>
        <w:rPr/>
        <w:t> </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70" w:after="283"/>
        <w:jc w:val="left"/>
        <w:rPr>
          <w:rFonts w:ascii="Times New Roman" w:hAnsi="Times New Roman"/>
          <w:b/>
          <w:i/>
          <w:color w:val="000000"/>
          <w:sz w:val="20"/>
        </w:rPr>
      </w:pPr>
      <w:r>
        <w:rPr>
          <w:rFonts w:ascii="Times New Roman" w:hAnsi="Times New Roman"/>
          <w:b/>
          <w:i/>
          <w:color w:val="000000"/>
          <w:sz w:val="20"/>
        </w:rPr>
        <w:t>Options and Restricted Stock Awards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February 8, 2024, the Compensation Committee of the Board resolved to grant shares of restricted stock to certain employees and directors of the Company based on a percentage of salaries for the employees and a preset dollar amount for its directors. The number of shares to be awarded will be based on the stock price of the Company's shares of common stock on March 1, 2024 (the effective date of the awards). Of the total shares of restricted stock to be granted, certain are performance-based awards which vest subject to the achievement of certain total shareholder return and return on capital employed metrics over a three-year period.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Redemption of Senior Notes due 2024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February 9, 2024, the Company delivered a notice of redemption for all of the remaining $23.8 million in outstanding aggregate principal amount of its 5.875% Senior Notes due 2024. The redemption will occur on March 11, 2024 (the "Redemption Date"). The redemption price will be equal to $1,000 per $1,000 original principal amount, plus any accrued and unpaid interest up to, but excluding the Redemption Date. In February 2024 the Company deposited with the trustee the redemption price, using available cash on hand, and the indenture governing the 5.875% Senior Notes due 2024 has been satisfied and discharged.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7" w:name="item_9_changes_in_disagreements_with_acc"/>
      <w:bookmarkEnd w:id="17"/>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i/>
          <w:color w:val="000000"/>
          <w:sz w:val="20"/>
        </w:rPr>
        <w:t>Changes in and Disagreements with Accountants on Accounting and Financial Disclosure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70" w:after="283"/>
        <w:jc w:val="left"/>
        <w:rPr>
          <w:rFonts w:ascii="Times New Roman" w:hAnsi="Times New Roman"/>
          <w:sz w:val="20"/>
        </w:rPr>
      </w:pPr>
      <w:bookmarkStart w:id="18" w:name="item_9a_controls_procedures"/>
      <w:bookmarkEnd w:id="18"/>
      <w:r>
        <w:rPr>
          <w:rFonts w:ascii="Times New Roman" w:hAnsi="Times New Roman"/>
          <w:b/>
          <w:color w:val="000000"/>
          <w:sz w:val="20"/>
        </w:rPr>
        <w:t>Item 9A.</w:t>
      </w:r>
      <w:r>
        <w:rPr>
          <w:rFonts w:ascii="Times New Roman" w:hAnsi="Times New Roman"/>
          <w:color w:val="000000"/>
          <w:sz w:val="20"/>
        </w:rPr>
        <w:t xml:space="preserve"> </w:t>
      </w:r>
      <w:r>
        <w:rPr>
          <w:rFonts w:ascii="Times New Roman" w:hAnsi="Times New Roman"/>
          <w:b/>
          <w:i/>
          <w:color w:val="000000"/>
          <w:sz w:val="20"/>
        </w:rPr>
        <w:t>Controls</w:t>
      </w:r>
      <w:r>
        <w:rPr>
          <w:rFonts w:ascii="Times New Roman" w:hAnsi="Times New Roman"/>
          <w:color w:val="000000"/>
          <w:sz w:val="20"/>
        </w:rPr>
        <w:t xml:space="preserve"> </w:t>
      </w:r>
      <w:r>
        <w:rPr>
          <w:rFonts w:ascii="Times New Roman" w:hAnsi="Times New Roman"/>
          <w:b/>
          <w:i/>
          <w:color w:val="000000"/>
          <w:sz w:val="20"/>
        </w:rPr>
        <w:t>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Securities and Exchange Commission, or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 Management’s Annual Report on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See “Item 8. — Financial Statements and Supplementary Data — Management’s Annual Report on Internal Control Over Financial Reporting” for management’s report on the effectiveness of our internal control over financial reporting as of December 31, 2022.</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 Attestation Report of the Registered Public Accounting Firm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See “Item 8. — Financial Statements and Supplementary Data — Report of Independent Registered Public Accounting Firm” for the report of our independent registered public accounting firm on the effectiveness of our internal control over financial reporting as of December 31, 2022.</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 Changes in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management is responsible for reporting any changes in our internal control over financial reporting (as such terms are defined in Rules 13a-15(f) and 15d-15(f) under the Exchange Act) during the period to which this report relates that have materially affected, or are reasonably likely to materially affect, our internal control over 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w:t>
      </w:r>
    </w:p>
    <w:p>
      <w:pPr>
        <w:pStyle w:val="TextBody"/>
        <w:bidi w:val="0"/>
        <w:spacing w:before="270" w:after="283"/>
        <w:jc w:val="left"/>
        <w:rPr>
          <w:rFonts w:ascii="Times New Roman" w:hAnsi="Times New Roman"/>
          <w:sz w:val="20"/>
        </w:rPr>
      </w:pPr>
      <w:bookmarkStart w:id="19" w:name="item_9b_or_information"/>
      <w:bookmarkEnd w:id="19"/>
      <w:r>
        <w:rPr>
          <w:rFonts w:ascii="Times New Roman" w:hAnsi="Times New Roman"/>
          <w:b/>
          <w:color w:val="000000"/>
          <w:sz w:val="20"/>
        </w:rPr>
        <w:t>Item 9B.</w:t>
      </w:r>
      <w:r>
        <w:rPr>
          <w:rFonts w:ascii="Times New Roman" w:hAnsi="Times New Roman"/>
          <w:color w:val="000000"/>
          <w:sz w:val="20"/>
        </w:rPr>
        <w:t xml:space="preserve"> </w:t>
      </w:r>
      <w:r>
        <w:rPr>
          <w:rFonts w:ascii="Times New Roman" w:hAnsi="Times New Roman"/>
          <w:b/>
          <w:i/>
          <w:color w:val="000000"/>
          <w:sz w:val="20"/>
        </w:rPr>
        <w:t>Other Information</w:t>
      </w:r>
    </w:p>
    <w:p>
      <w:pPr>
        <w:pStyle w:val="TextBody"/>
        <w:bidi w:val="0"/>
        <w:jc w:val="left"/>
        <w:rPr>
          <w:rFonts w:ascii="Times New Roman" w:hAnsi="Times New Roman"/>
          <w:color w:val="000000"/>
          <w:sz w:val="20"/>
        </w:rPr>
      </w:pPr>
      <w:r>
        <w:rPr>
          <w:rFonts w:ascii="Times New Roman" w:hAnsi="Times New Roman"/>
          <w:color w:val="000000"/>
          <w:sz w:val="20"/>
        </w:rPr>
        <w:t>During the fiscal quarter ended December 31, 2023, no director or officer of the Company adopted or terminated a “Rule 10b5-1 trading arrangement” or a “non-Rule 10b5-1 trading arrangement” (in each case, as defined in Item 408 of Regulation S-K).</w:t>
      </w:r>
    </w:p>
    <w:p>
      <w:pPr>
        <w:pStyle w:val="TextBody"/>
        <w:bidi w:val="0"/>
        <w:spacing w:before="270" w:after="283"/>
        <w:jc w:val="left"/>
        <w:rPr>
          <w:rFonts w:ascii="Times New Roman" w:hAnsi="Times New Roman"/>
          <w:sz w:val="20"/>
        </w:rPr>
      </w:pPr>
      <w:bookmarkStart w:id="20" w:name="item_9c_disclosure_regarding_foreign_jur"/>
      <w:bookmarkEnd w:id="20"/>
      <w:r>
        <w:rPr>
          <w:rFonts w:ascii="Times New Roman" w:hAnsi="Times New Roman"/>
          <w:b/>
          <w:color w:val="000000"/>
          <w:sz w:val="20"/>
        </w:rPr>
        <w:t>Item 9C.</w:t>
      </w:r>
      <w:r>
        <w:rPr>
          <w:rFonts w:ascii="Times New Roman" w:hAnsi="Times New Roman"/>
          <w:color w:val="000000"/>
          <w:sz w:val="20"/>
        </w:rPr>
        <w:t xml:space="preserve"> </w:t>
      </w:r>
      <w:r>
        <w:rPr>
          <w:rFonts w:ascii="Times New Roman" w:hAnsi="Times New Roman"/>
          <w:b/>
          <w:i/>
          <w:color w:val="000000"/>
          <w:sz w:val="20"/>
        </w:rPr>
        <w:t>Disclosure Regarding Foreign Jurisdictions that Prevent Inspections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1" w:name="part_iii"/>
      <w:bookmarkEnd w:id="2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sz w:val="20"/>
        </w:rPr>
      </w:pPr>
      <w:bookmarkStart w:id="22" w:name="item_10_directors_executive_ficers_corpo"/>
      <w:bookmarkEnd w:id="22"/>
      <w:r>
        <w:rPr>
          <w:rFonts w:ascii="Times New Roman" w:hAnsi="Times New Roman"/>
          <w:b/>
          <w:color w:val="000000"/>
          <w:sz w:val="20"/>
        </w:rPr>
        <w:t>ITEM 10.</w:t>
      </w:r>
      <w:r>
        <w:rPr>
          <w:rFonts w:ascii="Times New Roman" w:hAnsi="Times New Roman"/>
          <w:color w:val="000000"/>
          <w:sz w:val="20"/>
        </w:rPr>
        <w:t xml:space="preserve"> </w:t>
      </w:r>
      <w:r>
        <w:rPr>
          <w:rFonts w:ascii="Times New Roman" w:hAnsi="Times New Roman"/>
          <w:b/>
          <w:i/>
          <w:color w:val="000000"/>
          <w:sz w:val="20"/>
        </w:rPr>
        <w:t>Directors, Executive Officers and Corporate Governance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adopted a code of business conduct and ethics applicable to all of our directors, officers, employees, agents and representatives, including our consultants. The code strives to deter wrongdoing and promote honest and ethical conduct, the avoidance of conflicts of interest, full, fair, accurate, timely and transparent disclosure, compliance with the applicable government and self-regulatory organization laws, rules and regulations, prompt internal reporting of violations of the code, and accountability for compliance with the code. In addition, we have adopted a code of ethics for the CEO, our senior financial officers and all other employees. The codes can be found on our website at http://www.geogroup.com by clicking on the link “About Us” on our homepage and then clicking on the link “Corporate Governance.” In addition, the codes are available in print to any shareholder who request them by contacting our Vice President of Corporate Relations at 561-999-7306. In the event that we amend or waive any of the provisions of the code of business conduct and ethics and the code of ethics for the CEO, our senior financial officers and employees that relate to any element of the code of ethics definition enumerated in Item 406(b) of Regulation S-K, we intend to disclose the same on our Investor Relations website. The other information required by this item will be contained in, and is incorporated by reference from, the proxy statement for our 2024 annual meeting of shareholders, which will be filed with the SEC pursuant to Regulation 14A within 120 days after the end of the year covered by this report.</w:t>
      </w:r>
    </w:p>
    <w:p>
      <w:pPr>
        <w:pStyle w:val="TextBody"/>
        <w:bidi w:val="0"/>
        <w:spacing w:before="270" w:after="283"/>
        <w:jc w:val="left"/>
        <w:rPr>
          <w:rFonts w:ascii="Times New Roman" w:hAnsi="Times New Roman"/>
          <w:sz w:val="20"/>
        </w:rPr>
      </w:pPr>
      <w:bookmarkStart w:id="23" w:name="item_11_executive_compensation"/>
      <w:bookmarkEnd w:id="23"/>
      <w:r>
        <w:rPr>
          <w:rFonts w:ascii="Times New Roman" w:hAnsi="Times New Roman"/>
          <w:b/>
          <w:color w:val="000000"/>
          <w:sz w:val="20"/>
        </w:rPr>
        <w:t>ITEM 11.</w:t>
      </w:r>
      <w:r>
        <w:rPr>
          <w:rFonts w:ascii="Times New Roman" w:hAnsi="Times New Roman"/>
          <w:color w:val="000000"/>
          <w:sz w:val="20"/>
        </w:rPr>
        <w:t xml:space="preserve"> </w:t>
      </w:r>
      <w:r>
        <w:rPr>
          <w:rFonts w:ascii="Times New Roman" w:hAnsi="Times New Roman"/>
          <w:b/>
          <w:i/>
          <w:color w:val="000000"/>
          <w:sz w:val="20"/>
        </w:rPr>
        <w:t>Executive Compensation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contained in, and is incorporated by reference from, the proxy statement for our 2024 annual meeting of shareholders, which will be filed with the SEC pursuant to Regulation 14A within 120 days after the end of the fiscal year covered by this report.</w:t>
      </w:r>
    </w:p>
    <w:p>
      <w:pPr>
        <w:pStyle w:val="TextBody"/>
        <w:bidi w:val="0"/>
        <w:spacing w:before="270" w:after="283"/>
        <w:jc w:val="left"/>
        <w:rPr>
          <w:rFonts w:ascii="Times New Roman" w:hAnsi="Times New Roman"/>
          <w:sz w:val="20"/>
        </w:rPr>
      </w:pPr>
      <w:bookmarkStart w:id="24" w:name="item_12_security_ownership_certain_benef"/>
      <w:bookmarkEnd w:id="24"/>
      <w:r>
        <w:rPr>
          <w:rFonts w:ascii="Times New Roman" w:hAnsi="Times New Roman"/>
          <w:b/>
          <w:color w:val="000000"/>
          <w:sz w:val="20"/>
        </w:rPr>
        <w:t>ITEM 12.</w:t>
      </w:r>
      <w:r>
        <w:rPr>
          <w:rFonts w:ascii="Times New Roman" w:hAnsi="Times New Roman"/>
          <w:color w:val="000000"/>
          <w:sz w:val="20"/>
        </w:rPr>
        <w:t xml:space="preserve"> </w:t>
      </w:r>
      <w:r>
        <w:rPr>
          <w:rFonts w:ascii="Times New Roman" w:hAnsi="Times New Roman"/>
          <w:b/>
          <w:i/>
          <w:color w:val="000000"/>
          <w:sz w:val="20"/>
        </w:rPr>
        <w:t>Security Ownership of Certain Beneficial Owners and Management and Related Stockholder Matters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contained in, and is incorporated by reference from, the proxy statement for our 2024 annual meeting of shareholders, which will be filed with the SEC pursuant to Regulation 14A within 120 days after the end of the fiscal year covered by this report.</w:t>
      </w:r>
    </w:p>
    <w:p>
      <w:pPr>
        <w:pStyle w:val="TextBody"/>
        <w:bidi w:val="0"/>
        <w:spacing w:before="270" w:after="283"/>
        <w:jc w:val="left"/>
        <w:rPr>
          <w:rFonts w:ascii="Times New Roman" w:hAnsi="Times New Roman"/>
          <w:sz w:val="20"/>
        </w:rPr>
      </w:pPr>
      <w:bookmarkStart w:id="25" w:name="item_13_certain_relationships_related_tr"/>
      <w:bookmarkEnd w:id="25"/>
      <w:r>
        <w:rPr>
          <w:rFonts w:ascii="Times New Roman" w:hAnsi="Times New Roman"/>
          <w:b/>
          <w:color w:val="000000"/>
          <w:sz w:val="20"/>
        </w:rPr>
        <w:t>ITEM 13.</w:t>
      </w:r>
      <w:r>
        <w:rPr>
          <w:rFonts w:ascii="Times New Roman" w:hAnsi="Times New Roman"/>
          <w:color w:val="000000"/>
          <w:sz w:val="20"/>
        </w:rPr>
        <w:t xml:space="preserve"> </w:t>
      </w:r>
      <w:r>
        <w:rPr>
          <w:rFonts w:ascii="Times New Roman" w:hAnsi="Times New Roman"/>
          <w:b/>
          <w:i/>
          <w:color w:val="000000"/>
          <w:sz w:val="20"/>
        </w:rPr>
        <w:t>Certain Relationships and Related</w:t>
      </w:r>
      <w:r>
        <w:rPr>
          <w:rFonts w:ascii="Times New Roman" w:hAnsi="Times New Roman"/>
          <w:color w:val="000000"/>
          <w:sz w:val="20"/>
        </w:rPr>
        <w:t xml:space="preserve"> </w:t>
      </w:r>
      <w:r>
        <w:rPr>
          <w:rFonts w:ascii="Times New Roman" w:hAnsi="Times New Roman"/>
          <w:b/>
          <w:i/>
          <w:color w:val="000000"/>
          <w:sz w:val="20"/>
        </w:rPr>
        <w:t>Transactions, and Director Independence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contained in, and is incorporated by reference from, the proxy statement for our 2024 annual meeting of shareholders, which will be filed with the SEC pursuant to Regulation 14A within 120 days after the end of the fiscal year covered by this report.</w:t>
      </w:r>
    </w:p>
    <w:p>
      <w:pPr>
        <w:pStyle w:val="TextBody"/>
        <w:bidi w:val="0"/>
        <w:spacing w:before="270" w:after="283"/>
        <w:jc w:val="left"/>
        <w:rPr>
          <w:rFonts w:ascii="Times New Roman" w:hAnsi="Times New Roman"/>
          <w:sz w:val="20"/>
        </w:rPr>
      </w:pPr>
      <w:bookmarkStart w:id="26" w:name="item_14_principal_accounting_fees_servic"/>
      <w:bookmarkEnd w:id="26"/>
      <w:r>
        <w:rPr>
          <w:rFonts w:ascii="Times New Roman" w:hAnsi="Times New Roman"/>
          <w:b/>
          <w:color w:val="000000"/>
          <w:sz w:val="20"/>
        </w:rPr>
        <w:t>ITEM 14.</w:t>
      </w:r>
      <w:r>
        <w:rPr>
          <w:rFonts w:ascii="Times New Roman" w:hAnsi="Times New Roman"/>
          <w:color w:val="000000"/>
          <w:sz w:val="20"/>
        </w:rPr>
        <w:t xml:space="preserve"> </w:t>
      </w:r>
      <w:r>
        <w:rPr>
          <w:rFonts w:ascii="Times New Roman" w:hAnsi="Times New Roman"/>
          <w:b/>
          <w:i/>
          <w:color w:val="000000"/>
          <w:sz w:val="20"/>
        </w:rPr>
        <w:t>Principal Accountant Fees and Services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required by this item will be contained in, and is incorporated by reference from, the proxy statement for our 2024 annual meeting of shareholders, which will be filed with the SEC pursuant to Regulation 14A within 120 days after the end of the fiscal year covered by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7" w:name="part_iv"/>
      <w:bookmarkEnd w:id="27"/>
      <w:r>
        <w:rPr>
          <w:rFonts w:ascii="Times New Roman" w:hAnsi="Times New Roman"/>
          <w:b/>
          <w:color w:val="000000"/>
          <w:sz w:val="20"/>
        </w:rPr>
        <w:t>PART IV</w:t>
      </w:r>
    </w:p>
    <w:p>
      <w:pPr>
        <w:pStyle w:val="TextBody"/>
        <w:bidi w:val="0"/>
        <w:spacing w:before="240" w:after="283"/>
        <w:jc w:val="left"/>
        <w:rPr>
          <w:rFonts w:ascii="Times New Roman" w:hAnsi="Times New Roman"/>
          <w:sz w:val="20"/>
        </w:rPr>
      </w:pPr>
      <w:bookmarkStart w:id="28" w:name="item_15_exhibits_financial_statement_sch"/>
      <w:bookmarkEnd w:id="28"/>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i/>
          <w:color w:val="000000"/>
          <w:sz w:val="20"/>
        </w:rPr>
        <w:t>Exhibit and Financial Statement Schedules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(a)(1) </w:t>
      </w:r>
      <w:r>
        <w:rPr>
          <w:rFonts w:ascii="Times New Roman" w:hAnsi="Times New Roman"/>
          <w:i/>
          <w:color w:val="000000"/>
          <w:sz w:val="20"/>
        </w:rPr>
        <w:t>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of GEO are filed under Item 8 of Part II of this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i/>
          <w:color w:val="000000"/>
          <w:sz w:val="20"/>
        </w:rPr>
        <w:t>Financial Statement Schedule.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Schedule II — Valuation and Qualifying Accounts — Page 148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schedules specified in the accounting regulations of the Securities and Exchange Commission have been omitted because they are either inapplicable or not required.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i/>
          <w:color w:val="000000"/>
          <w:sz w:val="20"/>
        </w:rPr>
        <w:t>Exhibits Required by Item 601 of Regulation S-K. The following exhibits are filed as part of this Annual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
        <w:gridCol w:w="176"/>
        <w:gridCol w:w="6134"/>
        <w:gridCol w:w="3160"/>
      </w:tblGrid>
      <w:tr>
        <w:trPr/>
        <w:tc>
          <w:tcPr>
            <w:tcW w:w="7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34"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735"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29"/>
              <w:jc w:val="center"/>
              <w:rPr>
                <w:rFonts w:ascii="Times New Roman" w:hAnsi="Times New Roman"/>
                <w:b/>
                <w:color w:val="000000"/>
                <w:sz w:val="16"/>
                <w:u w:val="single"/>
              </w:rPr>
            </w:pPr>
            <w:r>
              <w:rPr>
                <w:rFonts w:ascii="Times New Roman" w:hAnsi="Times New Roman"/>
                <w:b/>
                <w:color w:val="000000"/>
                <w:sz w:val="16"/>
                <w:u w:val="single"/>
              </w:rPr>
              <w:t>Number</w:t>
            </w:r>
          </w:p>
        </w:tc>
        <w:tc>
          <w:tcPr>
            <w:tcW w:w="176" w:type="dxa"/>
            <w:tcBorders/>
            <w:vAlign w:val="center"/>
          </w:tcPr>
          <w:p>
            <w:pPr>
              <w:pStyle w:val="TableContents"/>
              <w:bidi w:val="0"/>
              <w:spacing w:before="0" w:after="283"/>
              <w:ind w:left="0" w:right="0" w:firstLine="29"/>
              <w:jc w:val="left"/>
              <w:rPr>
                <w:sz w:val="4"/>
                <w:szCs w:val="4"/>
              </w:rPr>
            </w:pPr>
            <w:r>
              <w:rPr>
                <w:sz w:val="4"/>
                <w:szCs w:val="4"/>
              </w:rPr>
            </w:r>
          </w:p>
        </w:tc>
        <w:tc>
          <w:tcPr>
            <w:tcW w:w="6134" w:type="dxa"/>
            <w:tcBorders/>
            <w:vAlign w:val="center"/>
          </w:tcPr>
          <w:p>
            <w:pPr>
              <w:pStyle w:val="TableContents"/>
              <w:bidi w:val="0"/>
              <w:spacing w:before="0" w:after="283"/>
              <w:ind w:left="0" w:right="0" w:firstLine="40"/>
              <w:jc w:val="center"/>
              <w:rPr>
                <w:rFonts w:ascii="Times New Roman" w:hAnsi="Times New Roman"/>
                <w:b/>
                <w:color w:val="000000"/>
                <w:sz w:val="16"/>
                <w:u w:val="single"/>
              </w:rPr>
            </w:pPr>
            <w:r>
              <w:rPr>
                <w:rFonts w:ascii="Times New Roman" w:hAnsi="Times New Roman"/>
                <w:b/>
                <w:color w:val="000000"/>
                <w:sz w:val="16"/>
                <w:u w:val="single"/>
              </w:rPr>
              <w:t>Description</w:t>
            </w:r>
          </w:p>
        </w:tc>
        <w:tc>
          <w:tcPr>
            <w:tcW w:w="3160" w:type="dxa"/>
            <w:tcBorders/>
            <w:vAlign w:val="center"/>
          </w:tcPr>
          <w:p>
            <w:pPr>
              <w:pStyle w:val="TableContents"/>
              <w:bidi w:val="0"/>
              <w:spacing w:before="0" w:after="283"/>
              <w:ind w:left="40" w:right="0" w:firstLine="40"/>
              <w:jc w:val="left"/>
              <w:rPr/>
            </w:pPr>
            <w:r>
              <w:rPr/>
              <w:t> </w:t>
            </w:r>
          </w:p>
        </w:tc>
      </w:tr>
      <w:tr>
        <w:trPr/>
        <w:tc>
          <w:tcPr>
            <w:tcW w:w="735" w:type="dxa"/>
            <w:tcBorders/>
            <w:vAlign w:val="center"/>
          </w:tcPr>
          <w:p>
            <w:pPr>
              <w:pStyle w:val="TableContents"/>
              <w:bidi w:val="0"/>
              <w:spacing w:before="0" w:after="283"/>
              <w:ind w:left="0" w:right="0" w:firstLine="30"/>
              <w:jc w:val="left"/>
              <w:rPr>
                <w:sz w:val="4"/>
                <w:szCs w:val="4"/>
              </w:rPr>
            </w:pPr>
            <w:r>
              <w:rPr>
                <w:sz w:val="4"/>
                <w:szCs w:val="4"/>
              </w:rPr>
            </w:r>
          </w:p>
        </w:tc>
        <w:tc>
          <w:tcPr>
            <w:tcW w:w="6310" w:type="dxa"/>
            <w:gridSpan w:val="2"/>
            <w:tcBorders/>
            <w:vAlign w:val="center"/>
          </w:tcPr>
          <w:p>
            <w:pPr>
              <w:pStyle w:val="TableContents"/>
              <w:bidi w:val="0"/>
              <w:spacing w:before="0" w:after="283"/>
              <w:ind w:left="0" w:right="0" w:firstLine="40"/>
              <w:jc w:val="left"/>
              <w:rPr>
                <w:sz w:val="4"/>
                <w:szCs w:val="4"/>
              </w:rPr>
            </w:pPr>
            <w:r>
              <w:rPr>
                <w:sz w:val="4"/>
                <w:szCs w:val="4"/>
              </w:rPr>
            </w:r>
          </w:p>
        </w:tc>
        <w:tc>
          <w:tcPr>
            <w:tcW w:w="3160" w:type="dxa"/>
            <w:tcBorders/>
            <w:vAlign w:val="center"/>
          </w:tcPr>
          <w:p>
            <w:pPr>
              <w:pStyle w:val="TableContents"/>
              <w:bidi w:val="0"/>
              <w:spacing w:before="0" w:after="283"/>
              <w:ind w:left="0" w:right="0" w:firstLine="40"/>
              <w:jc w:val="left"/>
              <w:rPr>
                <w:sz w:val="4"/>
                <w:szCs w:val="4"/>
              </w:rPr>
            </w:pPr>
            <w:r>
              <w:rPr>
                <w:sz w:val="4"/>
                <w:szCs w:val="4"/>
              </w:rPr>
            </w:r>
          </w:p>
        </w:tc>
      </w:tr>
      <w:tr>
        <w:trPr/>
        <w:tc>
          <w:tcPr>
            <w:tcW w:w="73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1.1</w:t>
            </w:r>
          </w:p>
        </w:tc>
        <w:tc>
          <w:tcPr>
            <w:tcW w:w="176" w:type="dxa"/>
            <w:tcBorders/>
            <w:vAlign w:val="center"/>
          </w:tcPr>
          <w:p>
            <w:pPr>
              <w:pStyle w:val="TableContents"/>
              <w:bidi w:val="0"/>
              <w:spacing w:before="0" w:after="283"/>
              <w:ind w:left="29" w:right="0" w:firstLine="29"/>
              <w:jc w:val="left"/>
              <w:rPr/>
            </w:pPr>
            <w:r>
              <w:rPr/>
              <w:t> </w:t>
            </w:r>
          </w:p>
        </w:tc>
        <w:tc>
          <w:tcPr>
            <w:tcW w:w="613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Form of Equity Distribution Agreement, dated December 28, 2023, by and among The GEO Group, Inc. and each of Cantor Fitzgerald &amp; Co., Compass Point Research &amp; Trading, LLC, Imperial Capital, LLC, JonesTrading Institutional Services LLC, Noble Capital Markets, Inc., Northland Securities, Inc., StoneX Financial Inc., Virtu Americas LLC, and Wedbush Securities Inc.</w:t>
            </w:r>
          </w:p>
        </w:tc>
        <w:tc>
          <w:tcPr>
            <w:tcW w:w="3160"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3">
              <w:r>
                <w:rPr>
                  <w:rStyle w:val="InternetLink"/>
                  <w:rFonts w:ascii="Times New Roman" w:hAnsi="Times New Roman"/>
                  <w:color w:val="000000"/>
                  <w:sz w:val="20"/>
                  <w:u w:val="single"/>
                </w:rPr>
                <w:t>https://www.sec.gov/Archives/edgar/data/923796/000119312523305223/d669399dex11.htm</w:t>
              </w:r>
            </w:hyperlink>
          </w:p>
        </w:tc>
      </w:tr>
      <w:tr>
        <w:trPr/>
        <w:tc>
          <w:tcPr>
            <w:tcW w:w="735" w:type="dxa"/>
            <w:tcBorders/>
            <w:vAlign w:val="center"/>
          </w:tcPr>
          <w:p>
            <w:pPr>
              <w:pStyle w:val="TableContents"/>
              <w:bidi w:val="0"/>
              <w:spacing w:before="0" w:after="283"/>
              <w:ind w:left="0" w:right="0" w:firstLine="29"/>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13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left"/>
              <w:rPr/>
            </w:pPr>
            <w:r>
              <w:rPr/>
              <w:t> </w:t>
            </w:r>
          </w:p>
        </w:tc>
        <w:tc>
          <w:tcPr>
            <w:tcW w:w="3160"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73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3.1</w:t>
            </w:r>
          </w:p>
        </w:tc>
        <w:tc>
          <w:tcPr>
            <w:tcW w:w="176" w:type="dxa"/>
            <w:tcBorders/>
            <w:vAlign w:val="center"/>
          </w:tcPr>
          <w:p>
            <w:pPr>
              <w:pStyle w:val="TableContents"/>
              <w:bidi w:val="0"/>
              <w:spacing w:before="0" w:after="283"/>
              <w:ind w:left="0" w:right="0" w:firstLine="30"/>
              <w:jc w:val="left"/>
              <w:rPr/>
            </w:pPr>
            <w:r>
              <w:rPr/>
              <w:t> </w:t>
            </w:r>
          </w:p>
        </w:tc>
        <w:tc>
          <w:tcPr>
            <w:tcW w:w="613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Amended and Restated Articles of Incorporation (incorporated by reference to Exhibit 3.1 to the Company’s Current Report on Form 8-K, filed on June 30, 2014).</w:t>
            </w:r>
          </w:p>
        </w:tc>
        <w:tc>
          <w:tcPr>
            <w:tcW w:w="3160"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
              <w:r>
                <w:rPr>
                  <w:rStyle w:val="InternetLink"/>
                  <w:rFonts w:ascii="Times New Roman" w:hAnsi="Times New Roman"/>
                  <w:color w:val="000000"/>
                  <w:sz w:val="20"/>
                </w:rPr>
                <w:t>https://www.sec.gov/Archives/edgar/data/923796/000119312514254491/d750635dex31.htm</w:t>
              </w:r>
            </w:hyperlink>
          </w:p>
        </w:tc>
      </w:tr>
      <w:tr>
        <w:trPr/>
        <w:tc>
          <w:tcPr>
            <w:tcW w:w="735" w:type="dxa"/>
            <w:tcBorders/>
            <w:vAlign w:val="center"/>
          </w:tcPr>
          <w:p>
            <w:pPr>
              <w:pStyle w:val="TableContents"/>
              <w:bidi w:val="0"/>
              <w:spacing w:before="0" w:after="283"/>
              <w:ind w:left="0" w:right="0" w:firstLine="29"/>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134" w:type="dxa"/>
            <w:tcBorders/>
            <w:vAlign w:val="center"/>
          </w:tcPr>
          <w:p>
            <w:pPr>
              <w:pStyle w:val="TableContents"/>
              <w:bidi w:val="0"/>
              <w:spacing w:before="0" w:after="283"/>
              <w:ind w:left="0" w:right="0" w:firstLine="40"/>
              <w:jc w:val="left"/>
              <w:rPr/>
            </w:pPr>
            <w:r>
              <w:rPr/>
              <w:t> </w:t>
            </w:r>
          </w:p>
        </w:tc>
        <w:tc>
          <w:tcPr>
            <w:tcW w:w="3160" w:type="dxa"/>
            <w:tcBorders/>
            <w:vAlign w:val="center"/>
          </w:tcPr>
          <w:p>
            <w:pPr>
              <w:pStyle w:val="TableContents"/>
              <w:bidi w:val="0"/>
              <w:spacing w:before="0" w:after="283"/>
              <w:ind w:left="40" w:right="0" w:firstLine="40"/>
              <w:jc w:val="left"/>
              <w:rPr/>
            </w:pPr>
            <w:r>
              <w:rPr/>
              <w:t> </w:t>
            </w:r>
          </w:p>
        </w:tc>
      </w:tr>
      <w:tr>
        <w:trPr/>
        <w:tc>
          <w:tcPr>
            <w:tcW w:w="73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3.2</w:t>
            </w:r>
          </w:p>
        </w:tc>
        <w:tc>
          <w:tcPr>
            <w:tcW w:w="176" w:type="dxa"/>
            <w:tcBorders/>
            <w:vAlign w:val="center"/>
          </w:tcPr>
          <w:p>
            <w:pPr>
              <w:pStyle w:val="TableContents"/>
              <w:bidi w:val="0"/>
              <w:spacing w:before="0" w:after="283"/>
              <w:ind w:left="0" w:right="0" w:firstLine="30"/>
              <w:jc w:val="left"/>
              <w:rPr/>
            </w:pPr>
            <w:r>
              <w:rPr/>
              <w:t> </w:t>
            </w:r>
          </w:p>
        </w:tc>
        <w:tc>
          <w:tcPr>
            <w:tcW w:w="613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Articles of Merger, effective as of June 27, 2014 (incorporated by reference to Exhibit 3.2 to the Company’s Current Report on Form 8-K, filed on June 30, 2014).</w:t>
            </w:r>
          </w:p>
        </w:tc>
        <w:tc>
          <w:tcPr>
            <w:tcW w:w="3160"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5">
              <w:r>
                <w:rPr>
                  <w:rStyle w:val="InternetLink"/>
                  <w:rFonts w:ascii="Times New Roman" w:hAnsi="Times New Roman"/>
                  <w:color w:val="000000"/>
                  <w:sz w:val="20"/>
                </w:rPr>
                <w:t>https://www.sec.gov/Archives/edgar/data/923796/000119312514254491/d750635dex32.htm</w:t>
              </w:r>
            </w:hyperlink>
          </w:p>
        </w:tc>
      </w:tr>
      <w:tr>
        <w:trPr/>
        <w:tc>
          <w:tcPr>
            <w:tcW w:w="735" w:type="dxa"/>
            <w:tcBorders/>
            <w:vAlign w:val="center"/>
          </w:tcPr>
          <w:p>
            <w:pPr>
              <w:pStyle w:val="TableContents"/>
              <w:bidi w:val="0"/>
              <w:spacing w:before="0" w:after="283"/>
              <w:ind w:left="0" w:right="0" w:firstLine="30"/>
              <w:jc w:val="left"/>
              <w:rPr/>
            </w:pPr>
            <w:r>
              <w:rPr/>
              <w:t> </w:t>
            </w:r>
          </w:p>
        </w:tc>
        <w:tc>
          <w:tcPr>
            <w:tcW w:w="6310" w:type="dxa"/>
            <w:gridSpan w:val="2"/>
            <w:tcBorders/>
            <w:vAlign w:val="center"/>
          </w:tcPr>
          <w:p>
            <w:pPr>
              <w:pStyle w:val="TableContents"/>
              <w:bidi w:val="0"/>
              <w:spacing w:before="0" w:after="283"/>
              <w:ind w:left="0" w:right="0" w:firstLine="40"/>
              <w:jc w:val="left"/>
              <w:rPr/>
            </w:pPr>
            <w:r>
              <w:rPr/>
              <w:t> </w:t>
            </w:r>
          </w:p>
        </w:tc>
        <w:tc>
          <w:tcPr>
            <w:tcW w:w="3160" w:type="dxa"/>
            <w:tcBorders/>
            <w:vAlign w:val="center"/>
          </w:tcPr>
          <w:p>
            <w:pPr>
              <w:pStyle w:val="TableContents"/>
              <w:bidi w:val="0"/>
              <w:spacing w:before="0" w:after="283"/>
              <w:ind w:left="40" w:right="0" w:firstLine="40"/>
              <w:jc w:val="left"/>
              <w:rPr/>
            </w:pPr>
            <w:r>
              <w:rPr/>
              <w:t> </w:t>
            </w:r>
          </w:p>
        </w:tc>
      </w:tr>
      <w:tr>
        <w:trPr/>
        <w:tc>
          <w:tcPr>
            <w:tcW w:w="73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3.3</w:t>
            </w:r>
          </w:p>
        </w:tc>
        <w:tc>
          <w:tcPr>
            <w:tcW w:w="176" w:type="dxa"/>
            <w:tcBorders/>
            <w:vAlign w:val="center"/>
          </w:tcPr>
          <w:p>
            <w:pPr>
              <w:pStyle w:val="TableContents"/>
              <w:bidi w:val="0"/>
              <w:spacing w:before="0" w:after="283"/>
              <w:ind w:left="0" w:right="0" w:firstLine="30"/>
              <w:jc w:val="left"/>
              <w:rPr/>
            </w:pPr>
            <w:r>
              <w:rPr/>
              <w:t> </w:t>
            </w:r>
          </w:p>
        </w:tc>
        <w:tc>
          <w:tcPr>
            <w:tcW w:w="613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Articles of Amendment to the Amended and Restated Articles of Incorporation of The GEO Group, Inc. (incorporated by reference to Exhibit 3.1 to the Company’s Current Report on Form 8-K, filed on April 26, 2017).</w:t>
            </w:r>
          </w:p>
        </w:tc>
        <w:tc>
          <w:tcPr>
            <w:tcW w:w="3160"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6">
              <w:r>
                <w:rPr>
                  <w:rStyle w:val="InternetLink"/>
                  <w:rFonts w:ascii="Times New Roman" w:hAnsi="Times New Roman"/>
                  <w:color w:val="000000"/>
                  <w:sz w:val="20"/>
                </w:rPr>
                <w:t>https://www.sec.gov/Archives/edgar/data/923796/000119312517137344/d384798dex31.htm</w:t>
              </w:r>
            </w:hyperlink>
          </w:p>
        </w:tc>
      </w:tr>
      <w:tr>
        <w:trPr/>
        <w:tc>
          <w:tcPr>
            <w:tcW w:w="735" w:type="dxa"/>
            <w:tcBorders/>
            <w:vAlign w:val="center"/>
          </w:tcPr>
          <w:p>
            <w:pPr>
              <w:pStyle w:val="TableContents"/>
              <w:bidi w:val="0"/>
              <w:spacing w:before="0" w:after="283"/>
              <w:ind w:left="0" w:right="0" w:firstLine="30"/>
              <w:jc w:val="left"/>
              <w:rPr/>
            </w:pPr>
            <w:r>
              <w:rPr/>
              <w:t> </w:t>
            </w:r>
          </w:p>
        </w:tc>
        <w:tc>
          <w:tcPr>
            <w:tcW w:w="6310" w:type="dxa"/>
            <w:gridSpan w:val="2"/>
            <w:tcBorders/>
            <w:vAlign w:val="center"/>
          </w:tcPr>
          <w:p>
            <w:pPr>
              <w:pStyle w:val="TableContents"/>
              <w:bidi w:val="0"/>
              <w:spacing w:before="0" w:after="283"/>
              <w:ind w:left="0" w:right="0" w:firstLine="40"/>
              <w:jc w:val="left"/>
              <w:rPr/>
            </w:pPr>
            <w:r>
              <w:rPr/>
              <w:t> </w:t>
            </w:r>
          </w:p>
        </w:tc>
        <w:tc>
          <w:tcPr>
            <w:tcW w:w="3160" w:type="dxa"/>
            <w:tcBorders/>
            <w:vAlign w:val="center"/>
          </w:tcPr>
          <w:p>
            <w:pPr>
              <w:pStyle w:val="TableContents"/>
              <w:bidi w:val="0"/>
              <w:spacing w:before="0" w:after="283"/>
              <w:ind w:left="40" w:right="0" w:firstLine="40"/>
              <w:jc w:val="left"/>
              <w:rPr/>
            </w:pPr>
            <w:r>
              <w:rPr/>
              <w:t> </w:t>
            </w:r>
          </w:p>
        </w:tc>
      </w:tr>
      <w:tr>
        <w:trPr/>
        <w:tc>
          <w:tcPr>
            <w:tcW w:w="73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3.4</w:t>
            </w:r>
          </w:p>
        </w:tc>
        <w:tc>
          <w:tcPr>
            <w:tcW w:w="176" w:type="dxa"/>
            <w:tcBorders/>
            <w:vAlign w:val="center"/>
          </w:tcPr>
          <w:p>
            <w:pPr>
              <w:pStyle w:val="TableContents"/>
              <w:bidi w:val="0"/>
              <w:spacing w:before="0" w:after="283"/>
              <w:ind w:left="0" w:right="0" w:firstLine="30"/>
              <w:jc w:val="left"/>
              <w:rPr/>
            </w:pPr>
            <w:r>
              <w:rPr/>
              <w:t> </w:t>
            </w:r>
          </w:p>
        </w:tc>
        <w:tc>
          <w:tcPr>
            <w:tcW w:w="613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Third Amended and Restated Bylaws of The GEO Group, Inc. (incorporated by reference to Exhibit 3.1 to the Company’s Current Report on Form 8-K, filed on June 21, 2021).</w:t>
            </w:r>
          </w:p>
        </w:tc>
        <w:tc>
          <w:tcPr>
            <w:tcW w:w="3160"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7">
              <w:r>
                <w:rPr>
                  <w:rStyle w:val="InternetLink"/>
                  <w:rFonts w:ascii="Times New Roman" w:hAnsi="Times New Roman"/>
                  <w:color w:val="000000"/>
                  <w:sz w:val="20"/>
                </w:rPr>
                <w:t>https://www.sec.gov/Archives/edgar/data/0000923796/000119312521195250/d192125dex31.htm</w:t>
              </w:r>
            </w:hyperlink>
          </w:p>
        </w:tc>
      </w:tr>
      <w:tr>
        <w:trPr/>
        <w:tc>
          <w:tcPr>
            <w:tcW w:w="735" w:type="dxa"/>
            <w:tcBorders/>
            <w:vAlign w:val="center"/>
          </w:tcPr>
          <w:p>
            <w:pPr>
              <w:pStyle w:val="TableContents"/>
              <w:bidi w:val="0"/>
              <w:spacing w:before="0" w:after="283"/>
              <w:ind w:left="0" w:right="0" w:firstLine="29"/>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134" w:type="dxa"/>
            <w:tcBorders/>
            <w:vAlign w:val="center"/>
          </w:tcPr>
          <w:p>
            <w:pPr>
              <w:pStyle w:val="TableContents"/>
              <w:bidi w:val="0"/>
              <w:spacing w:before="0" w:after="283"/>
              <w:ind w:left="0" w:right="0" w:firstLine="40"/>
              <w:jc w:val="left"/>
              <w:rPr/>
            </w:pPr>
            <w:r>
              <w:rPr/>
              <w:t> </w:t>
            </w:r>
          </w:p>
        </w:tc>
        <w:tc>
          <w:tcPr>
            <w:tcW w:w="3160" w:type="dxa"/>
            <w:tcBorders/>
            <w:vAlign w:val="center"/>
          </w:tcPr>
          <w:p>
            <w:pPr>
              <w:pStyle w:val="TableContents"/>
              <w:bidi w:val="0"/>
              <w:spacing w:before="0" w:after="283"/>
              <w:ind w:left="40" w:right="0" w:firstLine="40"/>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5"/>
        <w:gridCol w:w="176"/>
        <w:gridCol w:w="6199"/>
        <w:gridCol w:w="3305"/>
      </w:tblGrid>
      <w:tr>
        <w:trPr/>
        <w:tc>
          <w:tcPr>
            <w:tcW w:w="5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99"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52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3.5</w:t>
            </w:r>
          </w:p>
        </w:tc>
        <w:tc>
          <w:tcPr>
            <w:tcW w:w="176" w:type="dxa"/>
            <w:tcBorders/>
            <w:vAlign w:val="center"/>
          </w:tcPr>
          <w:p>
            <w:pPr>
              <w:pStyle w:val="TableContents"/>
              <w:bidi w:val="0"/>
              <w:spacing w:before="0" w:after="283"/>
              <w:ind w:left="0" w:right="0" w:firstLine="30"/>
              <w:jc w:val="left"/>
              <w:rPr/>
            </w:pPr>
            <w:r>
              <w:rPr/>
              <w:t> </w:t>
            </w:r>
          </w:p>
        </w:tc>
        <w:tc>
          <w:tcPr>
            <w:tcW w:w="6199" w:type="dxa"/>
            <w:tcBorders>
              <w:top w:val="single" w:sz="5" w:space="0" w:color="000000"/>
              <w:left w:val="single" w:sz="5" w:space="0" w:color="000000"/>
              <w:bottom w:val="single" w:sz="6"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to Third Amended and Restated Bylaws, effective January 21, 2022 (incorporated by reference to Exhibit 3.1 to the Company’s Current Report on Form 8-K filed on January 27, 2022).</w:t>
            </w:r>
          </w:p>
        </w:tc>
        <w:tc>
          <w:tcPr>
            <w:tcW w:w="3305" w:type="dxa"/>
            <w:tcBorders>
              <w:top w:val="single" w:sz="5" w:space="0" w:color="000000"/>
              <w:bottom w:val="single" w:sz="6"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8">
              <w:r>
                <w:rPr>
                  <w:rStyle w:val="InternetLink"/>
                  <w:rFonts w:ascii="Times New Roman" w:hAnsi="Times New Roman"/>
                  <w:color w:val="000000"/>
                  <w:sz w:val="20"/>
                </w:rPr>
                <w:t>https://www.sec.gov/Archives/edgar/data/0000923796/000119312522019826/d305099dex31.htm</w:t>
              </w:r>
            </w:hyperlink>
          </w:p>
        </w:tc>
      </w:tr>
      <w:tr>
        <w:trPr/>
        <w:tc>
          <w:tcPr>
            <w:tcW w:w="525" w:type="dxa"/>
            <w:tcBorders/>
            <w:vAlign w:val="center"/>
          </w:tcPr>
          <w:p>
            <w:pPr>
              <w:pStyle w:val="TableContents"/>
              <w:bidi w:val="0"/>
              <w:spacing w:before="0" w:after="283"/>
              <w:ind w:left="0" w:right="0" w:firstLine="29"/>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199" w:type="dxa"/>
            <w:tcBorders>
              <w:bottom w:val="single" w:sz="6" w:space="0" w:color="000000"/>
            </w:tcBorders>
            <w:tcMar>
              <w:top w:w="0" w:type="dxa"/>
              <w:left w:w="0" w:type="dxa"/>
              <w:right w:w="0" w:type="dxa"/>
            </w:tcMar>
            <w:vAlign w:val="center"/>
          </w:tcPr>
          <w:p>
            <w:pPr>
              <w:pStyle w:val="TableContents"/>
              <w:bidi w:val="0"/>
              <w:spacing w:before="0" w:after="283"/>
              <w:ind w:left="0" w:right="0" w:firstLine="40"/>
              <w:jc w:val="left"/>
              <w:rPr/>
            </w:pPr>
            <w:r>
              <w:rPr/>
              <w:t> </w:t>
            </w:r>
          </w:p>
        </w:tc>
        <w:tc>
          <w:tcPr>
            <w:tcW w:w="3305" w:type="dxa"/>
            <w:tcBorders>
              <w:bottom w:val="single" w:sz="6"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52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3.6</w:t>
            </w:r>
          </w:p>
        </w:tc>
        <w:tc>
          <w:tcPr>
            <w:tcW w:w="176" w:type="dxa"/>
            <w:tcBorders/>
            <w:vAlign w:val="center"/>
          </w:tcPr>
          <w:p>
            <w:pPr>
              <w:pStyle w:val="TableContents"/>
              <w:bidi w:val="0"/>
              <w:spacing w:before="0" w:after="283"/>
              <w:ind w:left="0" w:right="0" w:firstLine="30"/>
              <w:jc w:val="left"/>
              <w:rPr/>
            </w:pPr>
            <w:r>
              <w:rPr/>
              <w:t> </w:t>
            </w:r>
          </w:p>
        </w:tc>
        <w:tc>
          <w:tcPr>
            <w:tcW w:w="6199"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to Third Amended and Restated Bylaws, effective February 14, 2022 (incorporated by reference to Exhibit 3.1 to the Company’s Current Report on Form 8-K filed on February 18, 2022).</w:t>
            </w:r>
          </w:p>
        </w:tc>
        <w:tc>
          <w:tcPr>
            <w:tcW w:w="3305"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9">
              <w:r>
                <w:rPr>
                  <w:rStyle w:val="InternetLink"/>
                  <w:rFonts w:ascii="Times New Roman" w:hAnsi="Times New Roman"/>
                  <w:color w:val="000000"/>
                  <w:sz w:val="20"/>
                </w:rPr>
                <w:t>https://www.sec.gov/Archives/edgar/data/0000923796/000119312522045923/d106900dex31.htm</w:t>
              </w:r>
            </w:hyperlink>
          </w:p>
        </w:tc>
      </w:tr>
      <w:tr>
        <w:trPr/>
        <w:tc>
          <w:tcPr>
            <w:tcW w:w="525" w:type="dxa"/>
            <w:tcBorders/>
            <w:vAlign w:val="center"/>
          </w:tcPr>
          <w:p>
            <w:pPr>
              <w:pStyle w:val="TableContents"/>
              <w:bidi w:val="0"/>
              <w:spacing w:before="0" w:after="283"/>
              <w:ind w:left="0" w:right="0" w:firstLine="30"/>
              <w:jc w:val="left"/>
              <w:rPr/>
            </w:pPr>
            <w:r>
              <w:rPr/>
              <w:t> </w:t>
            </w:r>
          </w:p>
        </w:tc>
        <w:tc>
          <w:tcPr>
            <w:tcW w:w="6375" w:type="dxa"/>
            <w:gridSpan w:val="2"/>
            <w:tcBorders/>
            <w:vAlign w:val="center"/>
          </w:tcPr>
          <w:p>
            <w:pPr>
              <w:pStyle w:val="TableContents"/>
              <w:bidi w:val="0"/>
              <w:spacing w:before="0" w:after="283"/>
              <w:ind w:left="0" w:right="0" w:firstLine="40"/>
              <w:jc w:val="left"/>
              <w:rPr/>
            </w:pPr>
            <w:r>
              <w:rPr/>
              <w:t> </w:t>
            </w:r>
          </w:p>
        </w:tc>
        <w:tc>
          <w:tcPr>
            <w:tcW w:w="3305" w:type="dxa"/>
            <w:tcBorders/>
            <w:vAlign w:val="center"/>
          </w:tcPr>
          <w:p>
            <w:pPr>
              <w:pStyle w:val="TableContents"/>
              <w:bidi w:val="0"/>
              <w:spacing w:before="0" w:after="283"/>
              <w:ind w:left="40" w:right="0" w:firstLine="40"/>
              <w:jc w:val="left"/>
              <w:rPr/>
            </w:pPr>
            <w:r>
              <w:rPr/>
              <w:t> </w:t>
            </w:r>
          </w:p>
        </w:tc>
      </w:tr>
      <w:tr>
        <w:trPr/>
        <w:tc>
          <w:tcPr>
            <w:tcW w:w="52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3.7</w:t>
            </w:r>
          </w:p>
        </w:tc>
        <w:tc>
          <w:tcPr>
            <w:tcW w:w="176" w:type="dxa"/>
            <w:tcBorders/>
            <w:vAlign w:val="center"/>
          </w:tcPr>
          <w:p>
            <w:pPr>
              <w:pStyle w:val="TableContents"/>
              <w:bidi w:val="0"/>
              <w:spacing w:before="0" w:after="283"/>
              <w:ind w:left="0" w:right="0" w:firstLine="30"/>
              <w:jc w:val="left"/>
              <w:rPr/>
            </w:pPr>
            <w:r>
              <w:rPr/>
              <w:t> </w:t>
            </w:r>
          </w:p>
        </w:tc>
        <w:tc>
          <w:tcPr>
            <w:tcW w:w="6199"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Amendment to Third Amended and Restated Bylaws, effective December 27, 2022 (incorporated by reference to Exhibit 3.1 to the Company's Current Report on Form 8-K, filed on December 28, 2022).</w:t>
            </w:r>
          </w:p>
        </w:tc>
        <w:tc>
          <w:tcPr>
            <w:tcW w:w="3305"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10">
              <w:r>
                <w:rPr>
                  <w:rStyle w:val="InternetLink"/>
                  <w:rFonts w:ascii="Times New Roman" w:hAnsi="Times New Roman"/>
                  <w:color w:val="000000"/>
                  <w:sz w:val="20"/>
                  <w:u w:val="single"/>
                </w:rPr>
                <w:t>https://www.sec.gov/Archives/edgar/data/923796/000119312522313783/d398856dex31.htm</w:t>
              </w:r>
            </w:hyperlink>
          </w:p>
        </w:tc>
      </w:tr>
      <w:tr>
        <w:trPr/>
        <w:tc>
          <w:tcPr>
            <w:tcW w:w="525" w:type="dxa"/>
            <w:tcBorders/>
            <w:vAlign w:val="center"/>
          </w:tcPr>
          <w:p>
            <w:pPr>
              <w:pStyle w:val="TableContents"/>
              <w:bidi w:val="0"/>
              <w:spacing w:before="0" w:after="283"/>
              <w:ind w:left="0" w:right="0" w:firstLine="29"/>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199"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left"/>
              <w:rPr/>
            </w:pPr>
            <w:r>
              <w:rPr/>
              <w:t> </w:t>
            </w:r>
          </w:p>
        </w:tc>
        <w:tc>
          <w:tcPr>
            <w:tcW w:w="3305"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525" w:type="dxa"/>
            <w:tcBorders/>
            <w:vAlign w:val="center"/>
          </w:tcPr>
          <w:p>
            <w:pPr>
              <w:pStyle w:val="TableContents"/>
              <w:bidi w:val="0"/>
              <w:spacing w:before="0" w:after="283"/>
              <w:ind w:left="0" w:right="0" w:firstLine="29"/>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199" w:type="dxa"/>
            <w:tcBorders/>
            <w:vAlign w:val="center"/>
          </w:tcPr>
          <w:p>
            <w:pPr>
              <w:pStyle w:val="TableContents"/>
              <w:bidi w:val="0"/>
              <w:spacing w:before="0" w:after="283"/>
              <w:ind w:left="0" w:right="0" w:firstLine="40"/>
              <w:jc w:val="left"/>
              <w:rPr/>
            </w:pPr>
            <w:r>
              <w:rPr/>
              <w:t> </w:t>
            </w:r>
          </w:p>
        </w:tc>
        <w:tc>
          <w:tcPr>
            <w:tcW w:w="3305" w:type="dxa"/>
            <w:tcBorders/>
            <w:vAlign w:val="center"/>
          </w:tcPr>
          <w:p>
            <w:pPr>
              <w:pStyle w:val="TableContents"/>
              <w:bidi w:val="0"/>
              <w:spacing w:before="0" w:after="283"/>
              <w:ind w:left="40" w:right="0" w:firstLine="40"/>
              <w:jc w:val="left"/>
              <w:rPr/>
            </w:pPr>
            <w:r>
              <w:rPr/>
              <w:t> </w:t>
            </w:r>
          </w:p>
        </w:tc>
      </w:tr>
      <w:tr>
        <w:trPr/>
        <w:tc>
          <w:tcPr>
            <w:tcW w:w="525" w:type="dxa"/>
            <w:tcBorders/>
            <w:vAlign w:val="center"/>
          </w:tcPr>
          <w:p>
            <w:pPr>
              <w:pStyle w:val="TableContents"/>
              <w:bidi w:val="0"/>
              <w:spacing w:before="0" w:after="283"/>
              <w:ind w:left="0" w:right="0" w:firstLine="29"/>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199" w:type="dxa"/>
            <w:tcBorders/>
            <w:vAlign w:val="center"/>
          </w:tcPr>
          <w:p>
            <w:pPr>
              <w:pStyle w:val="TableContents"/>
              <w:bidi w:val="0"/>
              <w:spacing w:before="0" w:after="283"/>
              <w:ind w:left="0" w:right="0" w:firstLine="40"/>
              <w:jc w:val="left"/>
              <w:rPr/>
            </w:pPr>
            <w:r>
              <w:rPr/>
              <w:t> </w:t>
            </w:r>
          </w:p>
        </w:tc>
        <w:tc>
          <w:tcPr>
            <w:tcW w:w="3305" w:type="dxa"/>
            <w:tcBorders/>
            <w:vAlign w:val="center"/>
          </w:tcPr>
          <w:p>
            <w:pPr>
              <w:pStyle w:val="TableContents"/>
              <w:bidi w:val="0"/>
              <w:spacing w:before="0" w:after="283"/>
              <w:ind w:left="40" w:right="0" w:firstLine="40"/>
              <w:jc w:val="left"/>
              <w:rPr/>
            </w:pPr>
            <w:r>
              <w:rPr/>
              <w:t> </w:t>
            </w:r>
          </w:p>
        </w:tc>
      </w:tr>
      <w:tr>
        <w:trPr/>
        <w:tc>
          <w:tcPr>
            <w:tcW w:w="52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3.8</w:t>
            </w:r>
          </w:p>
        </w:tc>
        <w:tc>
          <w:tcPr>
            <w:tcW w:w="176" w:type="dxa"/>
            <w:tcBorders/>
            <w:vAlign w:val="center"/>
          </w:tcPr>
          <w:p>
            <w:pPr>
              <w:pStyle w:val="TableContents"/>
              <w:bidi w:val="0"/>
              <w:spacing w:before="0" w:after="283"/>
              <w:ind w:left="29" w:right="0" w:firstLine="29"/>
              <w:jc w:val="left"/>
              <w:rPr/>
            </w:pPr>
            <w:r>
              <w:rPr/>
              <w:t> </w:t>
            </w:r>
          </w:p>
        </w:tc>
        <w:tc>
          <w:tcPr>
            <w:tcW w:w="6199"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Amendment to Third Amended and Restated Bylaws, effective February 9, 2024 (incorporated by reference to Exhibit 3.1 to the Company's Current Report on Form 8-K, filed on February 15, 2024).</w:t>
            </w:r>
          </w:p>
        </w:tc>
        <w:tc>
          <w:tcPr>
            <w:tcW w:w="3305" w:type="dxa"/>
            <w:tcBorders>
              <w:top w:val="single" w:sz="5" w:space="0" w:color="000000"/>
              <w:bottom w:val="single" w:sz="5" w:space="0" w:color="000000"/>
              <w:right w:val="single" w:sz="5" w:space="0" w:color="000000"/>
            </w:tcBorders>
            <w:tcMar>
              <w:left w:w="0" w:type="dxa"/>
            </w:tcMar>
            <w:vAlign w:val="center"/>
          </w:tcPr>
          <w:p>
            <w:pPr>
              <w:pStyle w:val="TableContents"/>
              <w:bidi w:val="0"/>
              <w:ind w:left="40" w:right="0" w:firstLine="40"/>
              <w:jc w:val="both"/>
              <w:rPr/>
            </w:pPr>
            <w:hyperlink r:id="rId11">
              <w:r>
                <w:rPr>
                  <w:rStyle w:val="InternetLink"/>
                  <w:rFonts w:ascii="Times New Roman" w:hAnsi="Times New Roman"/>
                  <w:color w:val="000000"/>
                  <w:sz w:val="20"/>
                  <w:u w:val="single"/>
                </w:rPr>
                <w:t>https://www.sec.gov/Archives/edgar/data/923796/000119312524037639/d763000dex31.htm</w:t>
              </w:r>
            </w:hyperlink>
          </w:p>
          <w:p>
            <w:pPr>
              <w:pStyle w:val="TableContents"/>
              <w:bidi w:val="0"/>
              <w:spacing w:before="0" w:after="283"/>
              <w:ind w:left="40" w:right="0" w:firstLine="40"/>
              <w:jc w:val="both"/>
              <w:rPr/>
            </w:pPr>
            <w:r>
              <w:rPr/>
              <w:t> </w:t>
            </w:r>
          </w:p>
        </w:tc>
      </w:tr>
      <w:tr>
        <w:trPr/>
        <w:tc>
          <w:tcPr>
            <w:tcW w:w="525" w:type="dxa"/>
            <w:tcBorders/>
            <w:vAlign w:val="center"/>
          </w:tcPr>
          <w:p>
            <w:pPr>
              <w:pStyle w:val="TableContents"/>
              <w:bidi w:val="0"/>
              <w:spacing w:before="0" w:after="283"/>
              <w:ind w:left="0" w:right="0" w:firstLine="29"/>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199"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left"/>
              <w:rPr/>
            </w:pPr>
            <w:r>
              <w:rPr/>
              <w:t> </w:t>
            </w:r>
          </w:p>
        </w:tc>
        <w:tc>
          <w:tcPr>
            <w:tcW w:w="3305"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52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4.1</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6199"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Indenture, dated as of September 25, 2014, by and between GEO and Wells Fargo Bank, National Association, as Trustee (incorporated by reference to Exhibit 4.1 to the Company’s Current Report on Form 8-K, filed on October 1, 2014).</w:t>
            </w:r>
          </w:p>
        </w:tc>
        <w:tc>
          <w:tcPr>
            <w:tcW w:w="3305"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12">
              <w:r>
                <w:rPr>
                  <w:rStyle w:val="InternetLink"/>
                  <w:rFonts w:ascii="Times New Roman" w:hAnsi="Times New Roman"/>
                  <w:color w:val="000000"/>
                  <w:sz w:val="20"/>
                </w:rPr>
                <w:t>https://www.sec.gov/Archives/edgar/data/923796/000119312514360857/d795633dex41.htm</w:t>
              </w:r>
            </w:hyperlink>
          </w:p>
        </w:tc>
      </w:tr>
      <w:tr>
        <w:trPr/>
        <w:tc>
          <w:tcPr>
            <w:tcW w:w="525" w:type="dxa"/>
            <w:tcBorders/>
            <w:vAlign w:val="center"/>
          </w:tcPr>
          <w:p>
            <w:pPr>
              <w:pStyle w:val="TableContents"/>
              <w:bidi w:val="0"/>
              <w:spacing w:before="0" w:after="283"/>
              <w:ind w:left="0" w:right="0" w:firstLine="29"/>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6199" w:type="dxa"/>
            <w:tcBorders/>
            <w:vAlign w:val="center"/>
          </w:tcPr>
          <w:p>
            <w:pPr>
              <w:pStyle w:val="TableContents"/>
              <w:bidi w:val="0"/>
              <w:spacing w:before="0" w:after="283"/>
              <w:ind w:left="0" w:right="0" w:firstLine="40"/>
              <w:jc w:val="left"/>
              <w:rPr>
                <w:sz w:val="4"/>
                <w:szCs w:val="4"/>
              </w:rPr>
            </w:pPr>
            <w:r>
              <w:rPr>
                <w:sz w:val="4"/>
                <w:szCs w:val="4"/>
              </w:rPr>
            </w:r>
          </w:p>
        </w:tc>
        <w:tc>
          <w:tcPr>
            <w:tcW w:w="3305" w:type="dxa"/>
            <w:tcBorders/>
            <w:vAlign w:val="center"/>
          </w:tcPr>
          <w:p>
            <w:pPr>
              <w:pStyle w:val="TableContents"/>
              <w:bidi w:val="0"/>
              <w:spacing w:before="0" w:after="283"/>
              <w:ind w:left="0" w:right="0" w:firstLine="40"/>
              <w:jc w:val="left"/>
              <w:rPr>
                <w:sz w:val="4"/>
                <w:szCs w:val="4"/>
              </w:rPr>
            </w:pPr>
            <w:r>
              <w:rPr>
                <w:sz w:val="4"/>
                <w:szCs w:val="4"/>
              </w:rPr>
            </w:r>
          </w:p>
        </w:tc>
      </w:tr>
      <w:tr>
        <w:trPr/>
        <w:tc>
          <w:tcPr>
            <w:tcW w:w="52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4.2</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6199"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First Supplemental Indenture, dated as of September 25, 2014, by and among GEO, certain subsidiary guarantors and Wells Fargo Bank, National Association, as Trustee with respect to the 5.875% Senior Notes due 2024 (incorporated by reference to Exhibit 4.2 to the Company’s Current Report on Form 8-K, filed on October 1, 2014).</w:t>
            </w:r>
          </w:p>
        </w:tc>
        <w:tc>
          <w:tcPr>
            <w:tcW w:w="3305"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13">
              <w:r>
                <w:rPr>
                  <w:rStyle w:val="InternetLink"/>
                  <w:rFonts w:ascii="Times New Roman" w:hAnsi="Times New Roman"/>
                  <w:color w:val="000000"/>
                  <w:sz w:val="20"/>
                </w:rPr>
                <w:t>https://www.sec.gov/Archives/edgar/data/923796/000119312514360857/d795633dex42.htm</w:t>
              </w:r>
            </w:hyperlink>
          </w:p>
        </w:tc>
      </w:tr>
      <w:tr>
        <w:trPr/>
        <w:tc>
          <w:tcPr>
            <w:tcW w:w="525" w:type="dxa"/>
            <w:tcBorders/>
            <w:vAlign w:val="center"/>
          </w:tcPr>
          <w:p>
            <w:pPr>
              <w:pStyle w:val="TableContents"/>
              <w:bidi w:val="0"/>
              <w:spacing w:before="0" w:after="283"/>
              <w:ind w:left="0" w:right="0" w:firstLine="29"/>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199" w:type="dxa"/>
            <w:tcBorders/>
            <w:vAlign w:val="center"/>
          </w:tcPr>
          <w:p>
            <w:pPr>
              <w:pStyle w:val="TableContents"/>
              <w:bidi w:val="0"/>
              <w:spacing w:before="0" w:after="283"/>
              <w:ind w:left="0" w:right="0" w:firstLine="40"/>
              <w:jc w:val="left"/>
              <w:rPr/>
            </w:pPr>
            <w:r>
              <w:rPr/>
              <w:t> </w:t>
            </w:r>
          </w:p>
        </w:tc>
        <w:tc>
          <w:tcPr>
            <w:tcW w:w="3305" w:type="dxa"/>
            <w:tcBorders/>
            <w:vAlign w:val="center"/>
          </w:tcPr>
          <w:p>
            <w:pPr>
              <w:pStyle w:val="TableContents"/>
              <w:bidi w:val="0"/>
              <w:spacing w:before="0" w:after="283"/>
              <w:ind w:left="40" w:right="0" w:firstLine="40"/>
              <w:jc w:val="left"/>
              <w:rPr/>
            </w:pPr>
            <w:r>
              <w:rPr/>
              <w:t> </w:t>
            </w:r>
          </w:p>
        </w:tc>
      </w:tr>
      <w:tr>
        <w:trPr/>
        <w:tc>
          <w:tcPr>
            <w:tcW w:w="52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4.3</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6199"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Form of 5.875% Senior Note due 2024 (included in Exhibit 4.5).</w:t>
            </w:r>
          </w:p>
        </w:tc>
        <w:tc>
          <w:tcPr>
            <w:tcW w:w="3305"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14">
              <w:r>
                <w:rPr>
                  <w:rStyle w:val="InternetLink"/>
                  <w:rFonts w:ascii="Times New Roman" w:hAnsi="Times New Roman"/>
                  <w:color w:val="000000"/>
                  <w:sz w:val="20"/>
                </w:rPr>
                <w:t>https://www.sec.gov/Archives/edgar/data/923796/000119312514360857/d795633dex42.htm</w:t>
              </w:r>
            </w:hyperlink>
          </w:p>
        </w:tc>
      </w:tr>
      <w:tr>
        <w:trPr/>
        <w:tc>
          <w:tcPr>
            <w:tcW w:w="525" w:type="dxa"/>
            <w:tcBorders/>
            <w:vAlign w:val="center"/>
          </w:tcPr>
          <w:p>
            <w:pPr>
              <w:pStyle w:val="TableContents"/>
              <w:bidi w:val="0"/>
              <w:spacing w:before="0" w:after="283"/>
              <w:ind w:left="0" w:right="0" w:firstLine="29"/>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199" w:type="dxa"/>
            <w:tcBorders/>
            <w:vAlign w:val="center"/>
          </w:tcPr>
          <w:p>
            <w:pPr>
              <w:pStyle w:val="TableContents"/>
              <w:bidi w:val="0"/>
              <w:spacing w:before="0" w:after="283"/>
              <w:ind w:left="0" w:right="0" w:firstLine="40"/>
              <w:jc w:val="left"/>
              <w:rPr/>
            </w:pPr>
            <w:r>
              <w:rPr/>
              <w:t> </w:t>
            </w:r>
          </w:p>
        </w:tc>
        <w:tc>
          <w:tcPr>
            <w:tcW w:w="3305" w:type="dxa"/>
            <w:tcBorders/>
            <w:vAlign w:val="center"/>
          </w:tcPr>
          <w:p>
            <w:pPr>
              <w:pStyle w:val="TableContents"/>
              <w:bidi w:val="0"/>
              <w:spacing w:before="0" w:after="283"/>
              <w:ind w:left="40" w:right="0" w:firstLine="40"/>
              <w:jc w:val="left"/>
              <w:rPr/>
            </w:pPr>
            <w:r>
              <w:rPr/>
              <w:t> </w:t>
            </w:r>
          </w:p>
        </w:tc>
      </w:tr>
      <w:tr>
        <w:trPr/>
        <w:tc>
          <w:tcPr>
            <w:tcW w:w="525" w:type="dxa"/>
            <w:tcBorders/>
            <w:vAlign w:val="center"/>
          </w:tcPr>
          <w:p>
            <w:pPr>
              <w:pStyle w:val="TableContents"/>
              <w:bidi w:val="0"/>
              <w:spacing w:before="0" w:after="283"/>
              <w:ind w:left="0" w:right="0" w:firstLine="29"/>
              <w:jc w:val="left"/>
              <w:rPr>
                <w:color w:val="000000"/>
              </w:rPr>
            </w:pPr>
            <w:r>
              <w:rPr>
                <w:color w:val="000000"/>
              </w:rPr>
              <w:t>  </w:t>
            </w:r>
            <w:r>
              <w:rPr>
                <w:rFonts w:ascii="Times New Roman" w:hAnsi="Times New Roman"/>
                <w:color w:val="000000"/>
                <w:sz w:val="20"/>
              </w:rPr>
              <w:t>4.4</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6199"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 xml:space="preserve">Second Supplemental Indenture, dated as of April 18, 2016, by and </w:t>
            </w:r>
          </w:p>
        </w:tc>
        <w:tc>
          <w:tcPr>
            <w:tcW w:w="3305"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15">
              <w:r>
                <w:rPr>
                  <w:rStyle w:val="InternetLink"/>
                  <w:rFonts w:ascii="Times New Roman" w:hAnsi="Times New Roman"/>
                  <w:color w:val="000000"/>
                  <w:sz w:val="20"/>
                </w:rPr>
                <w:t>https://www.sec.gov/Archives/edgar/data/923796/000119312516545008/d172173dex41.htm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9"/>
        <w:gridCol w:w="176"/>
        <w:gridCol w:w="6204"/>
        <w:gridCol w:w="3196"/>
      </w:tblGrid>
      <w:tr>
        <w:trPr/>
        <w:tc>
          <w:tcPr>
            <w:tcW w:w="62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204"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629"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20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30" w:right="30" w:firstLine="30"/>
              <w:jc w:val="both"/>
              <w:rPr>
                <w:rFonts w:ascii="Times New Roman" w:hAnsi="Times New Roman"/>
                <w:color w:val="000000"/>
                <w:sz w:val="20"/>
              </w:rPr>
            </w:pPr>
            <w:r>
              <w:rPr>
                <w:rFonts w:ascii="Times New Roman" w:hAnsi="Times New Roman"/>
                <w:color w:val="000000"/>
                <w:sz w:val="20"/>
              </w:rPr>
              <w:t>among The GEO Group, Inc., the subsidiary guarantors named therein and Wells Fargo Bank, National Association, as Trustee with respect to the 6.00% Senior Notes due 2026 (incorporated by reference to Exhibit 4.1 to the Company’s Current Report on Form 8-K, filed on April 18, 2016).</w:t>
            </w:r>
          </w:p>
        </w:tc>
        <w:tc>
          <w:tcPr>
            <w:tcW w:w="3196"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ind w:left="0" w:right="30" w:hanging="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4.5</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620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Form of 6.00% Senior Notes due 2026 (included in Exhibit 4.7).</w:t>
            </w:r>
          </w:p>
        </w:tc>
        <w:tc>
          <w:tcPr>
            <w:tcW w:w="3196"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16">
              <w:r>
                <w:rPr>
                  <w:rStyle w:val="InternetLink"/>
                  <w:rFonts w:ascii="Times New Roman" w:hAnsi="Times New Roman"/>
                  <w:color w:val="000000"/>
                  <w:sz w:val="20"/>
                </w:rPr>
                <w:t>https://www.sec.gov/Archives/edgar/data/923796/000119312516545008/d172173dex41.htm</w:t>
              </w:r>
            </w:hyperlink>
          </w:p>
        </w:tc>
      </w:tr>
      <w:tr>
        <w:trPr/>
        <w:tc>
          <w:tcPr>
            <w:tcW w:w="629" w:type="dxa"/>
            <w:tcBorders/>
            <w:vAlign w:val="center"/>
          </w:tcPr>
          <w:p>
            <w:pPr>
              <w:pStyle w:val="TableContents"/>
              <w:bidi w:val="0"/>
              <w:spacing w:before="0" w:after="283"/>
              <w:ind w:left="0" w:right="0" w:firstLine="28"/>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204" w:type="dxa"/>
            <w:tcBorders/>
            <w:vAlign w:val="center"/>
          </w:tcPr>
          <w:p>
            <w:pPr>
              <w:pStyle w:val="TableContents"/>
              <w:bidi w:val="0"/>
              <w:spacing w:before="0" w:after="283"/>
              <w:ind w:left="0" w:right="0" w:firstLine="40"/>
              <w:jc w:val="left"/>
              <w:rPr/>
            </w:pPr>
            <w:r>
              <w:rPr/>
              <w:t> </w:t>
            </w:r>
          </w:p>
        </w:tc>
        <w:tc>
          <w:tcPr>
            <w:tcW w:w="3196" w:type="dxa"/>
            <w:tcBorders/>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204" w:type="dxa"/>
            <w:tcBorders/>
            <w:vAlign w:val="center"/>
          </w:tcPr>
          <w:p>
            <w:pPr>
              <w:pStyle w:val="TableContents"/>
              <w:bidi w:val="0"/>
              <w:spacing w:before="0" w:after="283"/>
              <w:ind w:left="0" w:right="0" w:firstLine="40"/>
              <w:jc w:val="left"/>
              <w:rPr/>
            </w:pPr>
            <w:r>
              <w:rPr/>
              <w:t> </w:t>
            </w:r>
          </w:p>
        </w:tc>
        <w:tc>
          <w:tcPr>
            <w:tcW w:w="3196" w:type="dxa"/>
            <w:tcBorders/>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4.6</w:t>
            </w:r>
          </w:p>
        </w:tc>
        <w:tc>
          <w:tcPr>
            <w:tcW w:w="176" w:type="dxa"/>
            <w:tcBorders/>
            <w:vAlign w:val="center"/>
          </w:tcPr>
          <w:p>
            <w:pPr>
              <w:pStyle w:val="TableContents"/>
              <w:bidi w:val="0"/>
              <w:spacing w:before="0" w:after="283"/>
              <w:ind w:left="0" w:right="0" w:firstLine="28"/>
              <w:jc w:val="left"/>
              <w:rPr>
                <w:sz w:val="4"/>
                <w:szCs w:val="4"/>
              </w:rPr>
            </w:pPr>
            <w:r>
              <w:rPr>
                <w:sz w:val="4"/>
                <w:szCs w:val="4"/>
              </w:rPr>
            </w:r>
          </w:p>
        </w:tc>
        <w:tc>
          <w:tcPr>
            <w:tcW w:w="6204" w:type="dxa"/>
            <w:tcBorders>
              <w:top w:val="single" w:sz="5" w:space="0" w:color="000000"/>
              <w:left w:val="single" w:sz="5" w:space="0" w:color="000000"/>
              <w:bottom w:val="single" w:sz="5" w:space="0" w:color="000000"/>
              <w:right w:val="single" w:sz="5" w:space="0" w:color="000000"/>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Indenture, dated as of February 24, 2021, by and among GEO Corrections Holdings, Inc., as issuer, The GEO Group, Inc. and the other guarantors named therein, as guarantors, and the Trustee (portions of this exhibit have been omitted) (incorporated by reference to Exhibit 4.1 to the Company's Current Report on Form 8-K, filed on March 2, 2021). </w:t>
            </w:r>
          </w:p>
          <w:p>
            <w:pPr>
              <w:pStyle w:val="TableContents"/>
              <w:bidi w:val="0"/>
              <w:spacing w:before="0" w:after="283"/>
              <w:ind w:left="30" w:right="30" w:hanging="0"/>
              <w:jc w:val="both"/>
              <w:rPr/>
            </w:pPr>
            <w:r>
              <w:rPr/>
              <w:t> </w:t>
            </w:r>
          </w:p>
        </w:tc>
        <w:tc>
          <w:tcPr>
            <w:tcW w:w="3196"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jc w:val="both"/>
              <w:rPr/>
            </w:pPr>
            <w:hyperlink r:id="rId17">
              <w:r>
                <w:rPr>
                  <w:rStyle w:val="InternetLink"/>
                  <w:rFonts w:ascii="Times New Roman" w:hAnsi="Times New Roman"/>
                  <w:color w:val="000000"/>
                  <w:sz w:val="20"/>
                </w:rPr>
                <w:t>https://www.sec.gov/Archives/edgar/data/0000923796/000119312521065641/d85561dex41.htm</w:t>
              </w:r>
            </w:hyperlink>
          </w:p>
        </w:tc>
      </w:tr>
      <w:tr>
        <w:trPr/>
        <w:tc>
          <w:tcPr>
            <w:tcW w:w="629" w:type="dxa"/>
            <w:tcBorders/>
            <w:vAlign w:val="center"/>
          </w:tcPr>
          <w:p>
            <w:pPr>
              <w:pStyle w:val="TableContents"/>
              <w:bidi w:val="0"/>
              <w:spacing w:before="0" w:after="283"/>
              <w:ind w:left="0" w:right="0" w:firstLine="28"/>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204" w:type="dxa"/>
            <w:tcBorders/>
            <w:vAlign w:val="center"/>
          </w:tcPr>
          <w:p>
            <w:pPr>
              <w:pStyle w:val="TableContents"/>
              <w:bidi w:val="0"/>
              <w:spacing w:before="0" w:after="283"/>
              <w:ind w:left="0" w:right="0" w:firstLine="40"/>
              <w:jc w:val="left"/>
              <w:rPr/>
            </w:pPr>
            <w:r>
              <w:rPr/>
              <w:t> </w:t>
            </w:r>
          </w:p>
        </w:tc>
        <w:tc>
          <w:tcPr>
            <w:tcW w:w="3196" w:type="dxa"/>
            <w:tcBorders/>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4.7</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204" w:type="dxa"/>
            <w:tcBorders>
              <w:top w:val="single" w:sz="6"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Form of 6.5% Exchangeable Senior Notes due 2026 (included in Exhibit 4.9).</w:t>
            </w:r>
          </w:p>
        </w:tc>
        <w:tc>
          <w:tcPr>
            <w:tcW w:w="31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40" w:right="0" w:firstLine="40"/>
              <w:jc w:val="left"/>
              <w:rPr/>
            </w:pPr>
            <w:hyperlink r:id="rId18">
              <w:r>
                <w:rPr>
                  <w:rStyle w:val="InternetLink"/>
                  <w:rFonts w:ascii="Times New Roman" w:hAnsi="Times New Roman"/>
                  <w:color w:val="000000"/>
                  <w:sz w:val="20"/>
                </w:rPr>
                <w:t>https://www.sec.gov/Archives/edgar/data/0000923796/000119312521065641/d85561dex41.htm</w:t>
              </w:r>
            </w:hyperlink>
          </w:p>
        </w:tc>
      </w:tr>
      <w:tr>
        <w:trPr/>
        <w:tc>
          <w:tcPr>
            <w:tcW w:w="629" w:type="dxa"/>
            <w:tcBorders/>
            <w:vAlign w:val="center"/>
          </w:tcPr>
          <w:p>
            <w:pPr>
              <w:pStyle w:val="TableContents"/>
              <w:bidi w:val="0"/>
              <w:spacing w:before="0" w:after="283"/>
              <w:ind w:left="0" w:right="0" w:firstLine="28"/>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204"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19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4.8</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204"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sz w:val="24"/>
              </w:rPr>
            </w:pPr>
            <w:r>
              <w:rPr>
                <w:rFonts w:ascii="Times New Roman" w:hAnsi="Times New Roman"/>
                <w:color w:val="000000"/>
                <w:sz w:val="20"/>
              </w:rPr>
              <w:t>Indenture, dated as of August 19, 2022, among The GEO Group, Inc., the guarantors named therein and Ankura Trust Company, LLC, as trustee and second lien collateral trustee, relating to the 10.500% Senior Second Lien Secured Notes due 2028 (incorporated by reference to Exhibit 4.1 to the Company's Current Report on Form 8-K filed on August 25, 2022)</w:t>
            </w:r>
            <w:r>
              <w:rPr>
                <w:rFonts w:ascii="Times New Roman" w:hAnsi="Times New Roman"/>
                <w:color w:val="000000"/>
                <w:sz w:val="24"/>
              </w:rPr>
              <w:t xml:space="preserve">. </w:t>
            </w:r>
          </w:p>
        </w:tc>
        <w:tc>
          <w:tcPr>
            <w:tcW w:w="319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hyperlink r:id="rId19">
              <w:r>
                <w:rPr>
                  <w:rStyle w:val="InternetLink"/>
                  <w:rFonts w:ascii="Times New Roman" w:hAnsi="Times New Roman"/>
                  <w:color w:val="000000"/>
                  <w:sz w:val="20"/>
                  <w:u w:val="single"/>
                </w:rPr>
                <w:t>https://www.sec.gov/Archives/edgar/data/923796/000119312522230195/d392591dex41.htm</w:t>
              </w:r>
            </w:hyperlink>
          </w:p>
        </w:tc>
      </w:tr>
      <w:tr>
        <w:trPr/>
        <w:tc>
          <w:tcPr>
            <w:tcW w:w="629" w:type="dxa"/>
            <w:tcBorders/>
            <w:vAlign w:val="center"/>
          </w:tcPr>
          <w:p>
            <w:pPr>
              <w:pStyle w:val="TableContents"/>
              <w:bidi w:val="0"/>
              <w:spacing w:before="0" w:after="283"/>
              <w:ind w:left="0" w:right="0" w:firstLine="30"/>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204"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r>
              <w:rPr/>
              <w:t> </w:t>
            </w:r>
          </w:p>
        </w:tc>
        <w:tc>
          <w:tcPr>
            <w:tcW w:w="319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30" w:right="30" w:firstLine="3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4.9</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204"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Form of 10.500% Senior Second Lien Secured Notes due 2028 (included in Exhibit 4.8).</w:t>
            </w:r>
          </w:p>
        </w:tc>
        <w:tc>
          <w:tcPr>
            <w:tcW w:w="319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hyperlink r:id="rId20">
              <w:r>
                <w:rPr>
                  <w:rStyle w:val="InternetLink"/>
                  <w:rFonts w:ascii="Times New Roman" w:hAnsi="Times New Roman"/>
                  <w:color w:val="000000"/>
                  <w:sz w:val="20"/>
                  <w:u w:val="single"/>
                </w:rPr>
                <w:t>https://www.sec.gov/Archives/edgar/data/923796/000119312522230195/d392591dex41.htm</w:t>
              </w:r>
            </w:hyperlink>
          </w:p>
        </w:tc>
      </w:tr>
      <w:tr>
        <w:trPr/>
        <w:tc>
          <w:tcPr>
            <w:tcW w:w="629" w:type="dxa"/>
            <w:tcBorders/>
            <w:vAlign w:val="center"/>
          </w:tcPr>
          <w:p>
            <w:pPr>
              <w:pStyle w:val="TableContents"/>
              <w:bidi w:val="0"/>
              <w:spacing w:before="0" w:after="283"/>
              <w:ind w:left="0" w:right="0" w:firstLine="30"/>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204"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r>
              <w:rPr/>
              <w:t> </w:t>
            </w:r>
          </w:p>
        </w:tc>
        <w:tc>
          <w:tcPr>
            <w:tcW w:w="319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30" w:right="30" w:firstLine="3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4.10</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204"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Indenture, dated as of August 19, 2022, among The GEO Group, Inc., the guarantors named therein and Ankura Trust Company, LLC, as trustee and second lien collateral trustee, relating to the 9.500% Senior Second Lien Secured Notes due 2028 </w:t>
            </w:r>
          </w:p>
        </w:tc>
        <w:tc>
          <w:tcPr>
            <w:tcW w:w="319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40" w:right="0" w:firstLine="40"/>
              <w:jc w:val="left"/>
              <w:rPr/>
            </w:pPr>
            <w:hyperlink r:id="rId21">
              <w:r>
                <w:rPr>
                  <w:rStyle w:val="InternetLink"/>
                  <w:rFonts w:ascii="Times New Roman" w:hAnsi="Times New Roman"/>
                  <w:color w:val="000000"/>
                  <w:sz w:val="20"/>
                  <w:u w:val="single"/>
                </w:rPr>
                <w:t>https://www.sec.gov/Archives/edgar/data/923796/000119312522230195/d392591dex43.htm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9"/>
        <w:gridCol w:w="176"/>
        <w:gridCol w:w="6618"/>
        <w:gridCol w:w="2782"/>
      </w:tblGrid>
      <w:tr>
        <w:trPr/>
        <w:tc>
          <w:tcPr>
            <w:tcW w:w="62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618"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r>
      <w:tr>
        <w:trPr/>
        <w:tc>
          <w:tcPr>
            <w:tcW w:w="629" w:type="dxa"/>
            <w:tcBorders/>
            <w:vAlign w:val="center"/>
          </w:tcPr>
          <w:p>
            <w:pPr>
              <w:pStyle w:val="TableContents"/>
              <w:bidi w:val="0"/>
              <w:spacing w:before="0" w:after="283"/>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jc w:val="left"/>
              <w:rPr/>
            </w:pPr>
            <w:r>
              <w:rPr/>
              <w:t> </w:t>
            </w:r>
          </w:p>
        </w:tc>
        <w:tc>
          <w:tcPr>
            <w:tcW w:w="6618" w:type="dxa"/>
            <w:tcBorders>
              <w:top w:val="single" w:sz="6" w:space="0" w:color="000000"/>
              <w:bottom w:val="single" w:sz="6"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(incorporated by reference to Exhibit 4.3 to the Company's Current Report on Form 8-K filed on August 25, 2022). </w:t>
            </w:r>
          </w:p>
        </w:tc>
        <w:tc>
          <w:tcPr>
            <w:tcW w:w="278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30"/>
              <w:jc w:val="left"/>
              <w:rPr/>
            </w:pPr>
            <w:r>
              <w:rPr/>
              <w:t> </w:t>
            </w:r>
          </w:p>
        </w:tc>
      </w:tr>
      <w:tr>
        <w:trPr/>
        <w:tc>
          <w:tcPr>
            <w:tcW w:w="629" w:type="dxa"/>
            <w:tcBorders/>
            <w:vAlign w:val="center"/>
          </w:tcPr>
          <w:p>
            <w:pPr>
              <w:pStyle w:val="TableContents"/>
              <w:bidi w:val="0"/>
              <w:spacing w:before="0" w:after="283"/>
              <w:ind w:left="0" w:right="0" w:firstLine="30"/>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618"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r>
              <w:rPr/>
              <w:t> </w:t>
            </w:r>
          </w:p>
        </w:tc>
        <w:tc>
          <w:tcPr>
            <w:tcW w:w="27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30" w:right="30" w:firstLine="3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4.11</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618"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Form of 9.500% Senior Second Lien Secured Notes due 2028 (included in Exhibit 4.10).</w:t>
            </w:r>
          </w:p>
        </w:tc>
        <w:tc>
          <w:tcPr>
            <w:tcW w:w="27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hyperlink r:id="rId22">
              <w:r>
                <w:rPr>
                  <w:rStyle w:val="InternetLink"/>
                  <w:rFonts w:ascii="Times New Roman" w:hAnsi="Times New Roman"/>
                  <w:color w:val="000000"/>
                  <w:sz w:val="20"/>
                  <w:u w:val="single"/>
                </w:rPr>
                <w:t>https://www.sec.gov/Archives/edgar/data/923796/000119312522230195/d392591dex43.htm</w:t>
              </w:r>
            </w:hyperlink>
          </w:p>
        </w:tc>
      </w:tr>
      <w:tr>
        <w:trPr/>
        <w:tc>
          <w:tcPr>
            <w:tcW w:w="629" w:type="dxa"/>
            <w:tcBorders/>
            <w:vAlign w:val="center"/>
          </w:tcPr>
          <w:p>
            <w:pPr>
              <w:pStyle w:val="TableContents"/>
              <w:bidi w:val="0"/>
              <w:spacing w:before="0" w:after="283"/>
              <w:ind w:left="0" w:right="0" w:firstLine="30"/>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618"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r>
              <w:rPr/>
              <w:t> </w:t>
            </w:r>
          </w:p>
        </w:tc>
        <w:tc>
          <w:tcPr>
            <w:tcW w:w="27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30" w:right="30" w:firstLine="3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4.12</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618"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Supplemental Indenture, dated as of August 19, 2022, among The GEO Group, Inc., the guarantors named therein and Regions Bank (successor to Wells Fargo Bank, National Association), as trustee, to the Indenture, dated as of September 24, 2014, among The GEO Group, Inc. and Regions Bank (successor to Wells Fargo Bank, National Association), as trustee, relating to the 5.875% Senior Notes due 2024 (incorporated by reference to Exhibit 4.6 to the Company's Current Report on Form 8-K filed on August 25, 2022). </w:t>
            </w:r>
          </w:p>
        </w:tc>
        <w:tc>
          <w:tcPr>
            <w:tcW w:w="27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hyperlink r:id="rId23">
              <w:r>
                <w:rPr>
                  <w:rStyle w:val="InternetLink"/>
                  <w:rFonts w:ascii="Times New Roman" w:hAnsi="Times New Roman"/>
                  <w:color w:val="000000"/>
                  <w:sz w:val="20"/>
                  <w:u w:val="single"/>
                </w:rPr>
                <w:t>https://www.sec.gov/Archives/edgar/data/923796/000119312522230195/d392591dex46.htm</w:t>
              </w:r>
            </w:hyperlink>
          </w:p>
        </w:tc>
      </w:tr>
      <w:tr>
        <w:trPr/>
        <w:tc>
          <w:tcPr>
            <w:tcW w:w="629" w:type="dxa"/>
            <w:tcBorders/>
            <w:vAlign w:val="center"/>
          </w:tcPr>
          <w:p>
            <w:pPr>
              <w:pStyle w:val="TableContents"/>
              <w:bidi w:val="0"/>
              <w:spacing w:before="0" w:after="283"/>
              <w:ind w:left="0" w:right="0" w:firstLine="30"/>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618"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r>
              <w:rPr/>
              <w:t> </w:t>
            </w:r>
          </w:p>
        </w:tc>
        <w:tc>
          <w:tcPr>
            <w:tcW w:w="27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30" w:right="30" w:firstLine="3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4.13</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618"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Supplemental Indenture, dated as of August 19, 2022, among The GEO Group, Inc., the guarantors named therein and Regions Bank (successor to Wells Fargo Bank, National Association), as trustee, to the Indenture, dated as of September 24, 2014, among The GEO Group, Inc. and Regions Bank (successor to Wells Fargo Bank, National Association), as trustee, relating to the 6.000% Senior Notes due 2026 (incorporated by reference to Exhibit 4.7 to the Company's Current Report on Form 8-K filed on August 25, 2022). </w:t>
            </w:r>
          </w:p>
        </w:tc>
        <w:tc>
          <w:tcPr>
            <w:tcW w:w="27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left"/>
              <w:rPr/>
            </w:pPr>
            <w:hyperlink r:id="rId24">
              <w:r>
                <w:rPr>
                  <w:rStyle w:val="InternetLink"/>
                  <w:rFonts w:ascii="Times New Roman" w:hAnsi="Times New Roman"/>
                  <w:color w:val="000000"/>
                  <w:sz w:val="20"/>
                  <w:u w:val="single"/>
                </w:rPr>
                <w:t>https://www.sec.gov/Archives/edgar/data/923796/000119312522230195/d392591dex47.htm</w:t>
              </w:r>
            </w:hyperlink>
          </w:p>
        </w:tc>
      </w:tr>
      <w:tr>
        <w:trPr/>
        <w:tc>
          <w:tcPr>
            <w:tcW w:w="629" w:type="dxa"/>
            <w:tcBorders/>
            <w:vAlign w:val="center"/>
          </w:tcPr>
          <w:p>
            <w:pPr>
              <w:pStyle w:val="TableContents"/>
              <w:bidi w:val="0"/>
              <w:spacing w:before="0" w:after="283"/>
              <w:ind w:left="0" w:right="0" w:firstLine="30"/>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618"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2782" w:type="dxa"/>
            <w:tcBorders>
              <w:bottom w:val="single" w:sz="6" w:space="0" w:color="000000"/>
            </w:tcBorders>
            <w:tcMar>
              <w:top w:w="0" w:type="dxa"/>
              <w:left w:w="0" w:type="dxa"/>
              <w:right w:w="0" w:type="dxa"/>
            </w:tcMar>
            <w:vAlign w:val="center"/>
          </w:tcPr>
          <w:p>
            <w:pPr>
              <w:pStyle w:val="TableContents"/>
              <w:bidi w:val="0"/>
              <w:spacing w:before="0" w:after="283"/>
              <w:ind w:left="30" w:right="30" w:firstLine="30"/>
              <w:jc w:val="left"/>
              <w:rPr/>
            </w:pPr>
            <w:r>
              <w:rPr/>
              <w:t> </w:t>
            </w:r>
          </w:p>
        </w:tc>
      </w:tr>
      <w:tr>
        <w:trPr/>
        <w:tc>
          <w:tcPr>
            <w:tcW w:w="629" w:type="dxa"/>
            <w:tcBorders/>
            <w:vAlign w:val="center"/>
          </w:tcPr>
          <w:p>
            <w:pPr>
              <w:pStyle w:val="TableContents"/>
              <w:bidi w:val="0"/>
              <w:jc w:val="left"/>
              <w:rPr>
                <w:color w:val="000000"/>
              </w:rPr>
            </w:pPr>
            <w:r>
              <w:rPr>
                <w:color w:val="000000"/>
              </w:rPr>
              <w:t>  </w:t>
            </w:r>
            <w:r>
              <w:rPr>
                <w:rFonts w:ascii="Times New Roman" w:hAnsi="Times New Roman"/>
                <w:color w:val="000000"/>
                <w:sz w:val="20"/>
              </w:rPr>
              <w:t>4.14</w:t>
            </w:r>
          </w:p>
          <w:p>
            <w:pPr>
              <w:pStyle w:val="TableContents"/>
              <w:bidi w:val="0"/>
              <w:spacing w:before="0" w:after="283"/>
              <w:ind w:left="0" w:right="0" w:firstLine="28"/>
              <w:jc w:val="left"/>
              <w:rPr/>
            </w:pPr>
            <w:r>
              <w:rPr/>
              <w:t> </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sz w:val="4"/>
                <w:szCs w:val="4"/>
              </w:rPr>
            </w:pPr>
            <w:r>
              <w:rPr>
                <w:sz w:val="4"/>
                <w:szCs w:val="4"/>
              </w:rPr>
            </w:r>
          </w:p>
        </w:tc>
        <w:tc>
          <w:tcPr>
            <w:tcW w:w="661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pPr>
            <w:hyperlink r:id="rId25">
              <w:r>
                <w:rPr>
                  <w:rStyle w:val="InternetLink"/>
                  <w:rFonts w:ascii="Times New Roman" w:hAnsi="Times New Roman"/>
                  <w:color w:val="000080"/>
                  <w:sz w:val="20"/>
                </w:rPr>
                <w:t>Description of Registrant's Securities</w:t>
              </w:r>
            </w:hyperlink>
            <w:r>
              <w:rPr>
                <w:rFonts w:ascii="Times New Roman" w:hAnsi="Times New Roman"/>
                <w:color w:val="000000"/>
                <w:sz w:val="20"/>
              </w:rPr>
              <w:t> (incorporated by reference to exhibit 4.14 to the Company's Annual Report on Form 10-K filed on February 27, 2023).</w:t>
            </w:r>
          </w:p>
        </w:tc>
        <w:tc>
          <w:tcPr>
            <w:tcW w:w="278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hyperlink r:id="rId26">
              <w:r>
                <w:rPr>
                  <w:rStyle w:val="InternetLink"/>
                  <w:rFonts w:ascii="Times New Roman" w:hAnsi="Times New Roman"/>
                  <w:color w:val="000000"/>
                  <w:sz w:val="20"/>
                  <w:u w:val="single"/>
                </w:rPr>
                <w:t>https://www.sec.gov/Archives/edgar/data/923796/000095017023004713/geo-ex4_14.htm</w:t>
              </w:r>
            </w:hyperlink>
          </w:p>
        </w:tc>
      </w:tr>
      <w:tr>
        <w:trPr/>
        <w:tc>
          <w:tcPr>
            <w:tcW w:w="629" w:type="dxa"/>
            <w:tcBorders/>
            <w:vAlign w:val="center"/>
          </w:tcPr>
          <w:p>
            <w:pPr>
              <w:pStyle w:val="TableContents"/>
              <w:bidi w:val="0"/>
              <w:spacing w:before="0" w:after="283"/>
              <w:ind w:left="0" w:right="0" w:firstLine="28"/>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6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278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4.15</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661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Form of Indenture for Senior Debt Securities (incorporated by reference to Exhibit 4.1 to the Company's registration statement on Form S-3ASR, filed on October 30, 2023).</w:t>
            </w:r>
          </w:p>
        </w:tc>
        <w:tc>
          <w:tcPr>
            <w:tcW w:w="27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40" w:right="0" w:firstLine="40"/>
              <w:jc w:val="left"/>
              <w:rPr/>
            </w:pPr>
            <w:hyperlink r:id="rId27">
              <w:r>
                <w:rPr>
                  <w:rStyle w:val="InternetLink"/>
                  <w:rFonts w:ascii="Times New Roman" w:hAnsi="Times New Roman"/>
                  <w:color w:val="000000"/>
                  <w:sz w:val="20"/>
                  <w:u w:val="single"/>
                </w:rPr>
                <w:t>https://www.sec.gov/Archives/edgar/data/923796/000119312523266272/d531971dex41.htm</w:t>
              </w:r>
            </w:hyperlink>
          </w:p>
        </w:tc>
      </w:tr>
      <w:tr>
        <w:trPr/>
        <w:tc>
          <w:tcPr>
            <w:tcW w:w="629" w:type="dxa"/>
            <w:tcBorders/>
            <w:vAlign w:val="center"/>
          </w:tcPr>
          <w:p>
            <w:pPr>
              <w:pStyle w:val="TableContents"/>
              <w:bidi w:val="0"/>
              <w:spacing w:before="0" w:after="283"/>
              <w:ind w:left="0" w:right="0" w:firstLine="28"/>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618"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27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40" w:right="0" w:firstLine="40"/>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1"/>
        <w:gridCol w:w="176"/>
        <w:gridCol w:w="5724"/>
        <w:gridCol w:w="3674"/>
      </w:tblGrid>
      <w:tr>
        <w:trPr/>
        <w:tc>
          <w:tcPr>
            <w:tcW w:w="6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24" w:type="dxa"/>
            <w:tcBorders/>
            <w:vAlign w:val="center"/>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4.16</w:t>
            </w:r>
          </w:p>
        </w:tc>
        <w:tc>
          <w:tcPr>
            <w:tcW w:w="176" w:type="dxa"/>
            <w:tcBorders>
              <w:right w:val="single" w:sz="6" w:space="0" w:color="000000"/>
            </w:tcBorders>
            <w:tcMar>
              <w:top w:w="0" w:type="dxa"/>
              <w:left w:w="0" w:type="dxa"/>
              <w:bottom w:w="0" w:type="dxa"/>
            </w:tcMar>
            <w:vAlign w:val="center"/>
          </w:tcPr>
          <w:p>
            <w:pPr>
              <w:pStyle w:val="TableContents"/>
              <w:bidi w:val="0"/>
              <w:spacing w:before="0" w:after="283"/>
              <w:ind w:left="0" w:right="0" w:firstLine="30"/>
              <w:jc w:val="left"/>
              <w:rPr/>
            </w:pPr>
            <w:r>
              <w:rPr/>
              <w:t> </w:t>
            </w:r>
          </w:p>
        </w:tc>
        <w:tc>
          <w:tcPr>
            <w:tcW w:w="5724" w:type="dxa"/>
            <w:tcBorders>
              <w:top w:val="single" w:sz="4" w:space="0" w:color="000000"/>
              <w:bottom w:val="single" w:sz="6" w:space="0" w:color="000000"/>
              <w:right w:val="single" w:sz="4" w:space="0" w:color="000000"/>
            </w:tcBorders>
            <w:tcMar>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Form of Indenture for Subordinated Debt Securities (incorporated by reference to Exhibit 4.2 to the Company's registration statement on Form S-3ASR, filed on October 30, 2023).</w:t>
            </w:r>
          </w:p>
        </w:tc>
        <w:tc>
          <w:tcPr>
            <w:tcW w:w="367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40" w:right="0" w:firstLine="40"/>
              <w:jc w:val="left"/>
              <w:rPr/>
            </w:pPr>
            <w:hyperlink r:id="rId28">
              <w:r>
                <w:rPr>
                  <w:rStyle w:val="InternetLink"/>
                  <w:rFonts w:ascii="Times New Roman" w:hAnsi="Times New Roman"/>
                  <w:color w:val="000000"/>
                  <w:sz w:val="20"/>
                  <w:u w:val="single"/>
                </w:rPr>
                <w:t>https://www.sec.gov/Archives/edgar/data/923796/000119312523266272/d531971dex42.htm</w:t>
              </w:r>
            </w:hyperlink>
          </w:p>
        </w:tc>
      </w:tr>
      <w:tr>
        <w:trPr/>
        <w:tc>
          <w:tcPr>
            <w:tcW w:w="631" w:type="dxa"/>
            <w:tcBorders/>
            <w:vAlign w:val="center"/>
          </w:tcPr>
          <w:p>
            <w:pPr>
              <w:pStyle w:val="TableContents"/>
              <w:bidi w:val="0"/>
              <w:spacing w:before="0" w:after="283"/>
              <w:ind w:left="0" w:right="0" w:firstLine="28"/>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5724" w:type="dxa"/>
            <w:tcBorders/>
            <w:vAlign w:val="center"/>
          </w:tcPr>
          <w:p>
            <w:pPr>
              <w:pStyle w:val="TableContents"/>
              <w:bidi w:val="0"/>
              <w:spacing w:before="0" w:after="283"/>
              <w:ind w:left="0" w:right="0" w:firstLine="40"/>
              <w:jc w:val="both"/>
              <w:rPr/>
            </w:pPr>
            <w:r>
              <w:rPr/>
              <w:t> </w:t>
            </w:r>
          </w:p>
        </w:tc>
        <w:tc>
          <w:tcPr>
            <w:tcW w:w="3674" w:type="dxa"/>
            <w:tcBorders/>
            <w:vAlign w:val="center"/>
          </w:tcPr>
          <w:p>
            <w:pPr>
              <w:pStyle w:val="TableContents"/>
              <w:bidi w:val="0"/>
              <w:spacing w:before="0" w:after="283"/>
              <w:ind w:left="40" w:right="0" w:firstLine="40"/>
              <w:jc w:val="left"/>
              <w:rPr/>
            </w:pPr>
            <w:r>
              <w:rPr/>
              <w:t> </w:t>
            </w:r>
          </w:p>
        </w:tc>
      </w:tr>
      <w:tr>
        <w:trPr/>
        <w:tc>
          <w:tcPr>
            <w:tcW w:w="631"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10.1</w:t>
            </w:r>
          </w:p>
        </w:tc>
        <w:tc>
          <w:tcPr>
            <w:tcW w:w="176" w:type="dxa"/>
            <w:tcBorders/>
            <w:vAlign w:val="center"/>
          </w:tcPr>
          <w:p>
            <w:pPr>
              <w:pStyle w:val="TableContents"/>
              <w:bidi w:val="0"/>
              <w:spacing w:before="0" w:after="283"/>
              <w:ind w:left="0" w:right="0" w:firstLine="30"/>
              <w:jc w:val="left"/>
              <w:rPr/>
            </w:pPr>
            <w:r>
              <w:rPr/>
              <w:t> </w:t>
            </w:r>
          </w:p>
        </w:tc>
        <w:tc>
          <w:tcPr>
            <w:tcW w:w="572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30" w:right="30" w:firstLine="30"/>
              <w:jc w:val="both"/>
              <w:rPr>
                <w:rFonts w:ascii="Times New Roman" w:hAnsi="Times New Roman"/>
                <w:color w:val="000000"/>
                <w:sz w:val="20"/>
              </w:rPr>
            </w:pPr>
            <w:r>
              <w:rPr>
                <w:rFonts w:ascii="Times New Roman" w:hAnsi="Times New Roman"/>
                <w:color w:val="000000"/>
                <w:sz w:val="20"/>
              </w:rPr>
              <w:t>Form of Indemnification Agreement between the Company and its Officers and Directors (incorporated herein by reference to Exhibit 10.3 to the Company’s registration statement on Form S-1, filed on May 24, 1994) (P)</w:t>
            </w:r>
          </w:p>
        </w:tc>
        <w:tc>
          <w:tcPr>
            <w:tcW w:w="3674" w:type="dxa"/>
            <w:tcBorders>
              <w:top w:val="single" w:sz="5" w:space="0" w:color="000000"/>
            </w:tcBorders>
            <w:tcMar>
              <w:left w:w="0" w:type="dxa"/>
              <w:bottom w:w="0" w:type="dxa"/>
              <w:right w:w="0" w:type="dxa"/>
            </w:tcMar>
            <w:vAlign w:val="center"/>
          </w:tcPr>
          <w:p>
            <w:pPr>
              <w:pStyle w:val="TableContents"/>
              <w:bidi w:val="0"/>
              <w:spacing w:before="0" w:after="283"/>
              <w:ind w:left="40" w:right="0" w:hanging="0"/>
              <w:jc w:val="left"/>
              <w:rPr/>
            </w:pPr>
            <w:r>
              <w:rPr/>
              <w:t> </w:t>
            </w:r>
          </w:p>
        </w:tc>
      </w:tr>
      <w:tr>
        <w:trPr/>
        <w:tc>
          <w:tcPr>
            <w:tcW w:w="631" w:type="dxa"/>
            <w:tcBorders/>
            <w:vAlign w:val="center"/>
          </w:tcPr>
          <w:p>
            <w:pPr>
              <w:pStyle w:val="TableContents"/>
              <w:bidi w:val="0"/>
              <w:spacing w:before="0" w:after="283"/>
              <w:ind w:left="0" w:right="0" w:firstLine="30"/>
              <w:jc w:val="left"/>
              <w:rPr/>
            </w:pPr>
            <w:r>
              <w:rPr/>
              <w:t> </w:t>
            </w:r>
          </w:p>
        </w:tc>
        <w:tc>
          <w:tcPr>
            <w:tcW w:w="5900" w:type="dxa"/>
            <w:gridSpan w:val="2"/>
            <w:tcBorders/>
            <w:vAlign w:val="center"/>
          </w:tcPr>
          <w:p>
            <w:pPr>
              <w:pStyle w:val="TableContents"/>
              <w:bidi w:val="0"/>
              <w:spacing w:before="0" w:after="283"/>
              <w:ind w:left="0" w:right="0" w:firstLine="40"/>
              <w:jc w:val="left"/>
              <w:rPr/>
            </w:pPr>
            <w:r>
              <w:rPr/>
              <w:t> </w:t>
            </w:r>
          </w:p>
        </w:tc>
        <w:tc>
          <w:tcPr>
            <w:tcW w:w="3674" w:type="dxa"/>
            <w:tcBorders/>
            <w:vAlign w:val="center"/>
          </w:tcPr>
          <w:p>
            <w:pPr>
              <w:pStyle w:val="TableContents"/>
              <w:bidi w:val="0"/>
              <w:spacing w:before="0" w:after="283"/>
              <w:ind w:left="40" w:right="0" w:firstLine="40"/>
              <w:jc w:val="left"/>
              <w:rPr/>
            </w:pPr>
            <w:r>
              <w:rPr/>
              <w:t> </w:t>
            </w:r>
          </w:p>
        </w:tc>
      </w:tr>
      <w:tr>
        <w:trPr/>
        <w:tc>
          <w:tcPr>
            <w:tcW w:w="631"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10.2</w:t>
            </w:r>
          </w:p>
        </w:tc>
        <w:tc>
          <w:tcPr>
            <w:tcW w:w="176" w:type="dxa"/>
            <w:tcBorders/>
            <w:vAlign w:val="center"/>
          </w:tcPr>
          <w:p>
            <w:pPr>
              <w:pStyle w:val="TableContents"/>
              <w:bidi w:val="0"/>
              <w:spacing w:before="0" w:after="283"/>
              <w:ind w:left="0" w:right="0" w:firstLine="30"/>
              <w:jc w:val="left"/>
              <w:rPr/>
            </w:pPr>
            <w:r>
              <w:rPr/>
              <w:t> </w:t>
            </w:r>
          </w:p>
        </w:tc>
        <w:tc>
          <w:tcPr>
            <w:tcW w:w="572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The GEO Group, Inc. Senior Management Performance Award Plan, as Amended and Restated (incorporated by reference to Exhibit 10.3 to the Company's Annual Report on Form 10-K, filed on February 26, 2019) </w:t>
            </w:r>
          </w:p>
        </w:tc>
        <w:tc>
          <w:tcPr>
            <w:tcW w:w="3674"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29">
              <w:r>
                <w:rPr>
                  <w:rStyle w:val="InternetLink"/>
                  <w:rFonts w:ascii="Times New Roman" w:hAnsi="Times New Roman"/>
                  <w:color w:val="000000"/>
                  <w:sz w:val="20"/>
                </w:rPr>
                <w:t>https://www.sec.gov/Archives/edgar/data/923796/000119312519050054/d663410dex103.htm</w:t>
              </w:r>
            </w:hyperlink>
          </w:p>
        </w:tc>
      </w:tr>
      <w:tr>
        <w:trPr/>
        <w:tc>
          <w:tcPr>
            <w:tcW w:w="631" w:type="dxa"/>
            <w:tcBorders/>
            <w:vAlign w:val="center"/>
          </w:tcPr>
          <w:p>
            <w:pPr>
              <w:pStyle w:val="TableContents"/>
              <w:bidi w:val="0"/>
              <w:spacing w:before="0" w:after="283"/>
              <w:ind w:left="0" w:right="0" w:firstLine="30"/>
              <w:jc w:val="left"/>
              <w:rPr/>
            </w:pPr>
            <w:r>
              <w:rPr/>
              <w:t> </w:t>
            </w:r>
          </w:p>
        </w:tc>
        <w:tc>
          <w:tcPr>
            <w:tcW w:w="5900" w:type="dxa"/>
            <w:gridSpan w:val="2"/>
            <w:tcBorders/>
            <w:vAlign w:val="center"/>
          </w:tcPr>
          <w:p>
            <w:pPr>
              <w:pStyle w:val="TableContents"/>
              <w:bidi w:val="0"/>
              <w:spacing w:before="0" w:after="283"/>
              <w:ind w:left="0" w:right="0" w:firstLine="40"/>
              <w:jc w:val="left"/>
              <w:rPr/>
            </w:pPr>
            <w:r>
              <w:rPr/>
              <w:t> </w:t>
            </w:r>
          </w:p>
        </w:tc>
        <w:tc>
          <w:tcPr>
            <w:tcW w:w="3674" w:type="dxa"/>
            <w:tcBorders/>
            <w:vAlign w:val="center"/>
          </w:tcPr>
          <w:p>
            <w:pPr>
              <w:pStyle w:val="TableContents"/>
              <w:bidi w:val="0"/>
              <w:spacing w:before="0" w:after="283"/>
              <w:ind w:left="40" w:right="0" w:firstLine="40"/>
              <w:jc w:val="left"/>
              <w:rPr/>
            </w:pPr>
            <w:r>
              <w:rPr/>
              <w:t> </w:t>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10.3</w:t>
            </w:r>
          </w:p>
        </w:tc>
        <w:tc>
          <w:tcPr>
            <w:tcW w:w="176" w:type="dxa"/>
            <w:tcBorders/>
            <w:vAlign w:val="center"/>
          </w:tcPr>
          <w:p>
            <w:pPr>
              <w:pStyle w:val="TableContents"/>
              <w:bidi w:val="0"/>
              <w:spacing w:before="0" w:after="283"/>
              <w:ind w:left="0" w:right="0" w:firstLine="30"/>
              <w:jc w:val="both"/>
              <w:rPr/>
            </w:pPr>
            <w:r>
              <w:rPr/>
              <w:t> </w:t>
            </w:r>
          </w:p>
        </w:tc>
        <w:tc>
          <w:tcPr>
            <w:tcW w:w="5724" w:type="dxa"/>
            <w:tcBorders>
              <w:top w:val="single" w:sz="5" w:space="0" w:color="000000"/>
              <w:left w:val="single" w:sz="5" w:space="0" w:color="000000"/>
              <w:bottom w:val="single" w:sz="5" w:space="0" w:color="000000"/>
              <w:right w:val="single" w:sz="4" w:space="0" w:color="000000"/>
            </w:tcBorders>
            <w:vAlign w:val="center"/>
          </w:tcPr>
          <w:p>
            <w:pPr>
              <w:pStyle w:val="TableContents"/>
              <w:bidi w:val="0"/>
              <w:spacing w:before="0" w:after="283"/>
              <w:ind w:left="30" w:right="30" w:firstLine="30"/>
              <w:jc w:val="both"/>
              <w:rPr/>
            </w:pPr>
            <w:hyperlink r:id="rId30">
              <w:r>
                <w:rPr>
                  <w:rStyle w:val="InternetLink"/>
                  <w:rFonts w:ascii="Times New Roman" w:hAnsi="Times New Roman"/>
                  <w:color w:val="000000"/>
                  <w:sz w:val="20"/>
                </w:rPr>
                <w:t>Amendment to The GEO Group, Inc. Senior Management Performance Award Plan (incorporated by reference to exhibit 10.3 to the Company's Annual Report on Form 10-K filed on February 27, 2023). </w:t>
              </w:r>
            </w:hyperlink>
          </w:p>
        </w:tc>
        <w:tc>
          <w:tcPr>
            <w:tcW w:w="3674" w:type="dxa"/>
            <w:tcBorders>
              <w:top w:val="single" w:sz="5" w:space="0" w:color="000000"/>
            </w:tcBorders>
            <w:tcMar>
              <w:left w:w="0" w:type="dxa"/>
              <w:bottom w:w="0" w:type="dxa"/>
              <w:right w:w="0" w:type="dxa"/>
            </w:tcMar>
            <w:vAlign w:val="center"/>
          </w:tcPr>
          <w:p>
            <w:pPr>
              <w:pStyle w:val="TableContents"/>
              <w:bidi w:val="0"/>
              <w:spacing w:before="0" w:after="283"/>
              <w:ind w:left="40" w:right="0" w:hanging="0"/>
              <w:jc w:val="both"/>
              <w:rPr/>
            </w:pPr>
            <w:hyperlink r:id="rId31">
              <w:r>
                <w:rPr>
                  <w:rStyle w:val="InternetLink"/>
                  <w:rFonts w:ascii="Times New Roman" w:hAnsi="Times New Roman"/>
                  <w:color w:val="000000"/>
                  <w:sz w:val="20"/>
                  <w:u w:val="single"/>
                </w:rPr>
                <w:t>https://www.sec.gov/Archives/edgar/data/923796/000095017023004713/geo-ex10_3.htm</w:t>
              </w:r>
            </w:hyperlink>
          </w:p>
        </w:tc>
      </w:tr>
      <w:tr>
        <w:trPr/>
        <w:tc>
          <w:tcPr>
            <w:tcW w:w="631" w:type="dxa"/>
            <w:tcBorders/>
            <w:vAlign w:val="center"/>
          </w:tcPr>
          <w:p>
            <w:pPr>
              <w:pStyle w:val="TableContents"/>
              <w:bidi w:val="0"/>
              <w:spacing w:before="0" w:after="283"/>
              <w:ind w:left="0" w:right="0" w:firstLine="28"/>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5724" w:type="dxa"/>
            <w:tcBorders>
              <w:left w:val="single" w:sz="5" w:space="0" w:color="000000"/>
              <w:bottom w:val="single" w:sz="5" w:space="0" w:color="000000"/>
            </w:tcBorders>
            <w:tcMar>
              <w:top w:w="0" w:type="dxa"/>
              <w:right w:w="0" w:type="dxa"/>
            </w:tcMar>
            <w:vAlign w:val="center"/>
          </w:tcPr>
          <w:p>
            <w:pPr>
              <w:pStyle w:val="TableContents"/>
              <w:bidi w:val="0"/>
              <w:spacing w:before="0" w:after="283"/>
              <w:ind w:left="0" w:right="0" w:firstLine="40"/>
              <w:jc w:val="left"/>
              <w:rPr/>
            </w:pPr>
            <w:r>
              <w:rPr/>
              <w:t> </w:t>
            </w:r>
          </w:p>
        </w:tc>
        <w:tc>
          <w:tcPr>
            <w:tcW w:w="3674"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31"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10.4</w:t>
            </w:r>
          </w:p>
        </w:tc>
        <w:tc>
          <w:tcPr>
            <w:tcW w:w="176" w:type="dxa"/>
            <w:tcBorders/>
            <w:vAlign w:val="center"/>
          </w:tcPr>
          <w:p>
            <w:pPr>
              <w:pStyle w:val="TableContents"/>
              <w:bidi w:val="0"/>
              <w:spacing w:before="0" w:after="283"/>
              <w:ind w:left="0" w:right="0" w:firstLine="30"/>
              <w:jc w:val="left"/>
              <w:rPr/>
            </w:pPr>
            <w:r>
              <w:rPr/>
              <w:t> </w:t>
            </w:r>
          </w:p>
        </w:tc>
        <w:tc>
          <w:tcPr>
            <w:tcW w:w="572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Amended and Restated The GEO Group, Inc. Senior Officer Retirement Plan, effective December 31, 2008 (incorporated by reference to Exhibit 10.8 to the Company’s Current Report on Form 8-K January 7, 2009) </w:t>
            </w:r>
          </w:p>
        </w:tc>
        <w:tc>
          <w:tcPr>
            <w:tcW w:w="3674"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32">
              <w:r>
                <w:rPr>
                  <w:rStyle w:val="InternetLink"/>
                  <w:rFonts w:ascii="Times New Roman" w:hAnsi="Times New Roman"/>
                  <w:color w:val="000000"/>
                  <w:sz w:val="20"/>
                </w:rPr>
                <w:t>https://www.sec.gov/Archives/edgar/data/923796/000095014409000110/g17230exv10w8.htm</w:t>
              </w:r>
            </w:hyperlink>
          </w:p>
        </w:tc>
      </w:tr>
      <w:tr>
        <w:trPr/>
        <w:tc>
          <w:tcPr>
            <w:tcW w:w="631" w:type="dxa"/>
            <w:tcBorders/>
            <w:vAlign w:val="center"/>
          </w:tcPr>
          <w:p>
            <w:pPr>
              <w:pStyle w:val="TableContents"/>
              <w:bidi w:val="0"/>
              <w:spacing w:before="0" w:after="283"/>
              <w:ind w:left="0" w:right="0" w:firstLine="30"/>
              <w:jc w:val="left"/>
              <w:rPr/>
            </w:pPr>
            <w:r>
              <w:rPr/>
              <w:t> </w:t>
            </w:r>
          </w:p>
        </w:tc>
        <w:tc>
          <w:tcPr>
            <w:tcW w:w="5900" w:type="dxa"/>
            <w:gridSpan w:val="2"/>
            <w:tcBorders/>
            <w:vAlign w:val="center"/>
          </w:tcPr>
          <w:p>
            <w:pPr>
              <w:pStyle w:val="TableContents"/>
              <w:bidi w:val="0"/>
              <w:spacing w:before="0" w:after="283"/>
              <w:ind w:left="0" w:right="0" w:firstLine="40"/>
              <w:jc w:val="left"/>
              <w:rPr/>
            </w:pPr>
            <w:r>
              <w:rPr/>
              <w:t> </w:t>
            </w:r>
          </w:p>
        </w:tc>
        <w:tc>
          <w:tcPr>
            <w:tcW w:w="3674" w:type="dxa"/>
            <w:tcBorders/>
            <w:vAlign w:val="center"/>
          </w:tcPr>
          <w:p>
            <w:pPr>
              <w:pStyle w:val="TableContents"/>
              <w:bidi w:val="0"/>
              <w:spacing w:before="0" w:after="283"/>
              <w:ind w:left="40" w:right="0" w:firstLine="40"/>
              <w:jc w:val="left"/>
              <w:rPr/>
            </w:pPr>
            <w:r>
              <w:rPr/>
              <w:t> </w:t>
            </w:r>
          </w:p>
        </w:tc>
      </w:tr>
      <w:tr>
        <w:trPr/>
        <w:tc>
          <w:tcPr>
            <w:tcW w:w="631" w:type="dxa"/>
            <w:tcBorders/>
            <w:vAlign w:val="center"/>
          </w:tcPr>
          <w:p>
            <w:pPr>
              <w:pStyle w:val="TableContents"/>
              <w:bidi w:val="0"/>
              <w:spacing w:before="0" w:after="283"/>
              <w:ind w:left="0" w:right="0" w:firstLine="30"/>
              <w:jc w:val="left"/>
              <w:rPr/>
            </w:pPr>
            <w:r>
              <w:rPr/>
              <w:t> </w:t>
            </w:r>
          </w:p>
        </w:tc>
        <w:tc>
          <w:tcPr>
            <w:tcW w:w="5900" w:type="dxa"/>
            <w:gridSpan w:val="2"/>
            <w:tcBorders/>
            <w:vAlign w:val="center"/>
          </w:tcPr>
          <w:p>
            <w:pPr>
              <w:pStyle w:val="TableContents"/>
              <w:bidi w:val="0"/>
              <w:spacing w:before="0" w:after="283"/>
              <w:ind w:left="0" w:right="0" w:firstLine="40"/>
              <w:jc w:val="left"/>
              <w:rPr/>
            </w:pPr>
            <w:r>
              <w:rPr/>
              <w:t> </w:t>
            </w:r>
          </w:p>
        </w:tc>
        <w:tc>
          <w:tcPr>
            <w:tcW w:w="3674" w:type="dxa"/>
            <w:tcBorders/>
            <w:vAlign w:val="center"/>
          </w:tcPr>
          <w:p>
            <w:pPr>
              <w:pStyle w:val="TableContents"/>
              <w:bidi w:val="0"/>
              <w:spacing w:before="0" w:after="283"/>
              <w:ind w:left="40" w:right="0" w:firstLine="40"/>
              <w:jc w:val="left"/>
              <w:rPr/>
            </w:pPr>
            <w:r>
              <w:rPr/>
              <w:t> </w:t>
            </w:r>
          </w:p>
        </w:tc>
      </w:tr>
      <w:tr>
        <w:trPr/>
        <w:tc>
          <w:tcPr>
            <w:tcW w:w="631"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10.5</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572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Amended and Restated The GEO Group, Inc. Executive Retirement Plan (effective January 1, 2008) (incorporated by reference to Exhibit 10.36 to the Company’s Quarterly Report on Form 10-K, filed on March 1, 2012) </w:t>
            </w:r>
          </w:p>
        </w:tc>
        <w:tc>
          <w:tcPr>
            <w:tcW w:w="3674"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33">
              <w:r>
                <w:rPr>
                  <w:rStyle w:val="InternetLink"/>
                  <w:rFonts w:ascii="Times New Roman" w:hAnsi="Times New Roman"/>
                  <w:color w:val="000000"/>
                  <w:sz w:val="20"/>
                </w:rPr>
                <w:t>https://www.sec.gov/Archives/edgar/data/923796/000119312512090269/d259590dex1036.htm</w:t>
              </w:r>
            </w:hyperlink>
          </w:p>
        </w:tc>
      </w:tr>
      <w:tr>
        <w:trPr/>
        <w:tc>
          <w:tcPr>
            <w:tcW w:w="631" w:type="dxa"/>
            <w:tcBorders/>
            <w:vAlign w:val="center"/>
          </w:tcPr>
          <w:p>
            <w:pPr>
              <w:pStyle w:val="TableContents"/>
              <w:bidi w:val="0"/>
              <w:spacing w:before="0" w:after="283"/>
              <w:ind w:left="0" w:right="0" w:firstLine="30"/>
              <w:jc w:val="left"/>
              <w:rPr/>
            </w:pPr>
            <w:r>
              <w:rPr/>
              <w:t> </w:t>
            </w:r>
          </w:p>
        </w:tc>
        <w:tc>
          <w:tcPr>
            <w:tcW w:w="5900" w:type="dxa"/>
            <w:gridSpan w:val="2"/>
            <w:tcBorders/>
            <w:vAlign w:val="center"/>
          </w:tcPr>
          <w:p>
            <w:pPr>
              <w:pStyle w:val="TableContents"/>
              <w:bidi w:val="0"/>
              <w:spacing w:before="0" w:after="283"/>
              <w:ind w:left="0" w:right="0" w:firstLine="40"/>
              <w:jc w:val="left"/>
              <w:rPr/>
            </w:pPr>
            <w:r>
              <w:rPr/>
              <w:t> </w:t>
            </w:r>
          </w:p>
        </w:tc>
        <w:tc>
          <w:tcPr>
            <w:tcW w:w="3674" w:type="dxa"/>
            <w:tcBorders/>
            <w:vAlign w:val="center"/>
          </w:tcPr>
          <w:p>
            <w:pPr>
              <w:pStyle w:val="TableContents"/>
              <w:bidi w:val="0"/>
              <w:spacing w:before="0" w:after="283"/>
              <w:ind w:left="40" w:right="0" w:firstLine="40"/>
              <w:jc w:val="left"/>
              <w:rPr/>
            </w:pPr>
            <w:r>
              <w:rPr/>
              <w:t> </w:t>
            </w:r>
          </w:p>
        </w:tc>
      </w:tr>
      <w:tr>
        <w:trPr/>
        <w:tc>
          <w:tcPr>
            <w:tcW w:w="631"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10.6</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572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to The GEO Group, Inc. Executive Retirement Plan (incorporated by reference to Exhibit 10.37 to the Company’s Annual Report on Form 10-K, filed on March 1, 2012) </w:t>
            </w:r>
          </w:p>
        </w:tc>
        <w:tc>
          <w:tcPr>
            <w:tcW w:w="3674"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34">
              <w:r>
                <w:rPr>
                  <w:rStyle w:val="InternetLink"/>
                  <w:rFonts w:ascii="Times New Roman" w:hAnsi="Times New Roman"/>
                  <w:color w:val="000000"/>
                  <w:sz w:val="20"/>
                </w:rPr>
                <w:t>https://www.sec.gov/Archives/edgar/data/923796/000119312512090269/d259590dex1037.htm</w:t>
              </w:r>
            </w:hyperlink>
          </w:p>
        </w:tc>
      </w:tr>
      <w:tr>
        <w:trPr/>
        <w:tc>
          <w:tcPr>
            <w:tcW w:w="631" w:type="dxa"/>
            <w:tcBorders/>
            <w:vAlign w:val="center"/>
          </w:tcPr>
          <w:p>
            <w:pPr>
              <w:pStyle w:val="TableContents"/>
              <w:bidi w:val="0"/>
              <w:spacing w:before="0" w:after="283"/>
              <w:ind w:left="0" w:right="0" w:firstLine="30"/>
              <w:jc w:val="left"/>
              <w:rPr/>
            </w:pPr>
            <w:r>
              <w:rPr/>
              <w:t> </w:t>
            </w:r>
          </w:p>
        </w:tc>
        <w:tc>
          <w:tcPr>
            <w:tcW w:w="5900" w:type="dxa"/>
            <w:gridSpan w:val="2"/>
            <w:tcBorders/>
            <w:vAlign w:val="center"/>
          </w:tcPr>
          <w:p>
            <w:pPr>
              <w:pStyle w:val="TableContents"/>
              <w:bidi w:val="0"/>
              <w:spacing w:before="0" w:after="283"/>
              <w:ind w:left="0" w:right="0" w:firstLine="40"/>
              <w:jc w:val="left"/>
              <w:rPr/>
            </w:pPr>
            <w:r>
              <w:rPr/>
              <w:t> </w:t>
            </w:r>
          </w:p>
        </w:tc>
        <w:tc>
          <w:tcPr>
            <w:tcW w:w="3674" w:type="dxa"/>
            <w:tcBorders>
              <w:bottom w:val="single" w:sz="5"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31"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10.7</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572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 xml:space="preserve">The GEO Group, Inc. Deferred Compensation Plan (as amended and restated effective January 1, 2008) (incorporated by reference to Exhibit 10.38 to the Company’s </w:t>
            </w:r>
          </w:p>
        </w:tc>
        <w:tc>
          <w:tcPr>
            <w:tcW w:w="3674"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35">
              <w:r>
                <w:rPr>
                  <w:rStyle w:val="InternetLink"/>
                  <w:rFonts w:ascii="Times New Roman" w:hAnsi="Times New Roman"/>
                  <w:color w:val="000000"/>
                  <w:sz w:val="20"/>
                </w:rPr>
                <w:t>https://www.sec.gov/Archives/edgar/data/923796/000119312512090269/d259590dex1038.htm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2"/>
        <w:gridCol w:w="212"/>
        <w:gridCol w:w="6668"/>
        <w:gridCol w:w="2693"/>
      </w:tblGrid>
      <w:tr>
        <w:trPr/>
        <w:tc>
          <w:tcPr>
            <w:tcW w:w="6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668"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ind w:left="0" w:right="0" w:firstLine="30"/>
              <w:jc w:val="left"/>
              <w:rPr/>
            </w:pPr>
            <w:r>
              <w:rPr/>
              <w:t> </w:t>
            </w:r>
          </w:p>
        </w:tc>
        <w:tc>
          <w:tcPr>
            <w:tcW w:w="6668"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30" w:right="30" w:firstLine="30"/>
              <w:jc w:val="both"/>
              <w:rPr>
                <w:rFonts w:ascii="Times New Roman" w:hAnsi="Times New Roman"/>
                <w:color w:val="000000"/>
                <w:sz w:val="20"/>
              </w:rPr>
            </w:pPr>
            <w:r>
              <w:rPr>
                <w:rFonts w:ascii="Times New Roman" w:hAnsi="Times New Roman"/>
                <w:color w:val="000000"/>
                <w:sz w:val="20"/>
              </w:rPr>
              <w:t>Annual Report on Form 10-K, filed on March 1, 2012) </w:t>
            </w:r>
          </w:p>
        </w:tc>
        <w:tc>
          <w:tcPr>
            <w:tcW w:w="2693"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ind w:left="0" w:right="0" w:firstLine="30"/>
              <w:jc w:val="left"/>
              <w:rPr/>
            </w:pPr>
            <w:r>
              <w:rPr/>
              <w:t> </w:t>
            </w:r>
          </w:p>
        </w:tc>
        <w:tc>
          <w:tcPr>
            <w:tcW w:w="6880" w:type="dxa"/>
            <w:gridSpan w:val="2"/>
            <w:tcBorders/>
            <w:vAlign w:val="center"/>
          </w:tcPr>
          <w:p>
            <w:pPr>
              <w:pStyle w:val="TableContents"/>
              <w:bidi w:val="0"/>
              <w:spacing w:before="0" w:after="283"/>
              <w:ind w:left="0" w:right="0" w:firstLine="40"/>
              <w:jc w:val="left"/>
              <w:rPr/>
            </w:pPr>
            <w:r>
              <w:rPr/>
              <w:t> </w:t>
            </w:r>
          </w:p>
        </w:tc>
        <w:tc>
          <w:tcPr>
            <w:tcW w:w="2693" w:type="dxa"/>
            <w:tcBorders/>
            <w:vAlign w:val="center"/>
          </w:tcPr>
          <w:p>
            <w:pPr>
              <w:pStyle w:val="TableContents"/>
              <w:bidi w:val="0"/>
              <w:spacing w:before="0" w:after="283"/>
              <w:ind w:left="40" w:right="0" w:firstLine="40"/>
              <w:jc w:val="left"/>
              <w:rPr/>
            </w:pPr>
            <w:r>
              <w:rPr/>
              <w:t> </w:t>
            </w:r>
          </w:p>
        </w:tc>
      </w:tr>
      <w:tr>
        <w:trPr/>
        <w:tc>
          <w:tcPr>
            <w:tcW w:w="632"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10.8</w:t>
            </w:r>
          </w:p>
        </w:tc>
        <w:tc>
          <w:tcPr>
            <w:tcW w:w="212" w:type="dxa"/>
            <w:tcBorders/>
            <w:vAlign w:val="center"/>
          </w:tcPr>
          <w:p>
            <w:pPr>
              <w:pStyle w:val="TableContents"/>
              <w:bidi w:val="0"/>
              <w:spacing w:before="0" w:after="283"/>
              <w:ind w:left="0" w:right="0" w:firstLine="30"/>
              <w:jc w:val="left"/>
              <w:rPr>
                <w:sz w:val="4"/>
                <w:szCs w:val="4"/>
              </w:rPr>
            </w:pPr>
            <w:r>
              <w:rPr>
                <w:sz w:val="4"/>
                <w:szCs w:val="4"/>
              </w:rPr>
            </w:r>
          </w:p>
        </w:tc>
        <w:tc>
          <w:tcPr>
            <w:tcW w:w="6668"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to The GEO Group, Inc. Deferred Compensation Plan (incorporated by reference to Exhibit 10.39 to the Company’s Annual Report on Form 10-K, filed on March 1, 2012) </w:t>
            </w:r>
          </w:p>
        </w:tc>
        <w:tc>
          <w:tcPr>
            <w:tcW w:w="2693"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36">
              <w:r>
                <w:rPr>
                  <w:rStyle w:val="InternetLink"/>
                  <w:rFonts w:ascii="Times New Roman" w:hAnsi="Times New Roman"/>
                  <w:color w:val="000000"/>
                  <w:sz w:val="20"/>
                </w:rPr>
                <w:t>https://www.sec.gov/Archives/edgar/data/0000923796/000119312512090269/d259590dex1039.htm</w:t>
              </w:r>
            </w:hyperlink>
          </w:p>
        </w:tc>
      </w:tr>
      <w:tr>
        <w:trPr/>
        <w:tc>
          <w:tcPr>
            <w:tcW w:w="632" w:type="dxa"/>
            <w:tcBorders/>
            <w:vAlign w:val="center"/>
          </w:tcPr>
          <w:p>
            <w:pPr>
              <w:pStyle w:val="TableContents"/>
              <w:bidi w:val="0"/>
              <w:spacing w:before="0" w:after="283"/>
              <w:ind w:left="0" w:right="0" w:firstLine="30"/>
              <w:jc w:val="left"/>
              <w:rPr/>
            </w:pPr>
            <w:r>
              <w:rPr/>
              <w:t> </w:t>
            </w:r>
          </w:p>
        </w:tc>
        <w:tc>
          <w:tcPr>
            <w:tcW w:w="6880" w:type="dxa"/>
            <w:gridSpan w:val="2"/>
            <w:tcBorders/>
            <w:vAlign w:val="center"/>
          </w:tcPr>
          <w:p>
            <w:pPr>
              <w:pStyle w:val="TableContents"/>
              <w:bidi w:val="0"/>
              <w:spacing w:before="0" w:after="283"/>
              <w:ind w:left="0" w:right="0" w:firstLine="40"/>
              <w:jc w:val="left"/>
              <w:rPr/>
            </w:pPr>
            <w:r>
              <w:rPr/>
              <w:t> </w:t>
            </w:r>
          </w:p>
        </w:tc>
        <w:tc>
          <w:tcPr>
            <w:tcW w:w="2693" w:type="dxa"/>
            <w:tcBorders/>
            <w:vAlign w:val="center"/>
          </w:tcPr>
          <w:p>
            <w:pPr>
              <w:pStyle w:val="TableContents"/>
              <w:bidi w:val="0"/>
              <w:spacing w:before="0" w:after="283"/>
              <w:ind w:left="40" w:right="0" w:firstLine="40"/>
              <w:jc w:val="left"/>
              <w:rPr/>
            </w:pPr>
            <w:r>
              <w:rPr/>
              <w:t> </w:t>
            </w:r>
          </w:p>
        </w:tc>
      </w:tr>
      <w:tr>
        <w:trPr/>
        <w:tc>
          <w:tcPr>
            <w:tcW w:w="632"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10.9</w:t>
            </w:r>
          </w:p>
        </w:tc>
        <w:tc>
          <w:tcPr>
            <w:tcW w:w="212" w:type="dxa"/>
            <w:tcBorders/>
            <w:vAlign w:val="center"/>
          </w:tcPr>
          <w:p>
            <w:pPr>
              <w:pStyle w:val="TableContents"/>
              <w:bidi w:val="0"/>
              <w:spacing w:before="0" w:after="283"/>
              <w:ind w:left="0" w:right="0" w:firstLine="30"/>
              <w:jc w:val="left"/>
              <w:rPr>
                <w:sz w:val="4"/>
                <w:szCs w:val="4"/>
              </w:rPr>
            </w:pPr>
            <w:r>
              <w:rPr>
                <w:sz w:val="4"/>
                <w:szCs w:val="4"/>
              </w:rPr>
            </w:r>
          </w:p>
        </w:tc>
        <w:tc>
          <w:tcPr>
            <w:tcW w:w="6668"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to The GEO Group, Inc. Deferred Compensation Plan (incorporated by reference to Exhibit 10.40 to the Company’s Annual Report on Form 10-K, filed on March 1, 2012) </w:t>
            </w:r>
          </w:p>
        </w:tc>
        <w:tc>
          <w:tcPr>
            <w:tcW w:w="2693"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37">
              <w:r>
                <w:rPr>
                  <w:rStyle w:val="InternetLink"/>
                  <w:rFonts w:ascii="Times New Roman" w:hAnsi="Times New Roman"/>
                  <w:color w:val="000000"/>
                  <w:sz w:val="20"/>
                </w:rPr>
                <w:t>https://www.sec.gov/Archives/edgar/data/923796/000119312512090269/d259590dex1040.htm</w:t>
              </w:r>
            </w:hyperlink>
          </w:p>
        </w:tc>
      </w:tr>
      <w:tr>
        <w:trPr/>
        <w:tc>
          <w:tcPr>
            <w:tcW w:w="632" w:type="dxa"/>
            <w:tcBorders/>
            <w:vAlign w:val="center"/>
          </w:tcPr>
          <w:p>
            <w:pPr>
              <w:pStyle w:val="TableContents"/>
              <w:bidi w:val="0"/>
              <w:spacing w:before="0" w:after="283"/>
              <w:ind w:left="0" w:right="0" w:firstLine="30"/>
              <w:jc w:val="left"/>
              <w:rPr/>
            </w:pPr>
            <w:r>
              <w:rPr/>
              <w:t> </w:t>
            </w:r>
          </w:p>
        </w:tc>
        <w:tc>
          <w:tcPr>
            <w:tcW w:w="6880" w:type="dxa"/>
            <w:gridSpan w:val="2"/>
            <w:tcBorders/>
            <w:vAlign w:val="center"/>
          </w:tcPr>
          <w:p>
            <w:pPr>
              <w:pStyle w:val="TableContents"/>
              <w:bidi w:val="0"/>
              <w:spacing w:before="0" w:after="283"/>
              <w:ind w:left="0" w:right="0" w:firstLine="40"/>
              <w:jc w:val="left"/>
              <w:rPr/>
            </w:pPr>
            <w:r>
              <w:rPr/>
              <w:t> </w:t>
            </w:r>
          </w:p>
        </w:tc>
        <w:tc>
          <w:tcPr>
            <w:tcW w:w="2693" w:type="dxa"/>
            <w:tcBorders/>
            <w:vAlign w:val="center"/>
          </w:tcPr>
          <w:p>
            <w:pPr>
              <w:pStyle w:val="TableContents"/>
              <w:bidi w:val="0"/>
              <w:spacing w:before="0" w:after="283"/>
              <w:ind w:left="40" w:right="0" w:firstLine="40"/>
              <w:jc w:val="left"/>
              <w:rPr/>
            </w:pPr>
            <w:r>
              <w:rPr/>
              <w:t> </w:t>
            </w:r>
          </w:p>
        </w:tc>
      </w:tr>
      <w:tr>
        <w:trPr/>
        <w:tc>
          <w:tcPr>
            <w:tcW w:w="632"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 xml:space="preserve">10.10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668"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Amendment No. 4 to Third Amended and Restated Credit Agreement, dated as of August 19, 2022, by and among the lenders party thereto (including pursuant to a borrower assignment agreement), The GEO Group, Inc., GEO Corrections Holdings, Inc. and BNP Paribas, as administrative agent for the lenders under the existing credit agreement (incorporated by reference to Exhibit 10.1 to the Company's Current Report on Form 8-K, filed on August 25, 2022). **</w:t>
            </w:r>
          </w:p>
        </w:tc>
        <w:tc>
          <w:tcPr>
            <w:tcW w:w="2693"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40" w:right="0" w:firstLine="40"/>
              <w:jc w:val="both"/>
              <w:rPr/>
            </w:pPr>
            <w:hyperlink r:id="rId38">
              <w:r>
                <w:rPr>
                  <w:rStyle w:val="InternetLink"/>
                  <w:rFonts w:ascii="Times New Roman" w:hAnsi="Times New Roman"/>
                  <w:color w:val="000000"/>
                  <w:sz w:val="20"/>
                  <w:u w:val="single"/>
                </w:rPr>
                <w:t>https://www.sec.gov/Archives/edgar/data/923796/000119312522230195/d392591dex102.htm</w:t>
              </w:r>
            </w:hyperlink>
          </w:p>
        </w:tc>
      </w:tr>
      <w:tr>
        <w:trPr/>
        <w:tc>
          <w:tcPr>
            <w:tcW w:w="632" w:type="dxa"/>
            <w:tcBorders/>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66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2693"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32"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 xml:space="preserve">10.11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66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 xml:space="preserve">Amendment No. 5 to Third Amended and Restated Credit Agreement and Agency Resignation and Appointment Agreement, dated as of August 19, 2022, by and among The GEO Group, Inc., GEO Corrections Holdings, Inc., the guarantors party thereto, the revolving credit lenders party thereto, the term lenders party thereto, the issuing lenders and the swingline lender, BNP Paribas, as the existing administrative agent for lenders under the existing credit agreement, Alter Domus Products Corp., as the new administrative agent for the lenders under the amended credit agreement, and Alter Domus Products Corp., as the administrative agent for the lenders under the exchange credit agreement (incorporated by reference to Exhibit 10.2 to the Company's Current Report on </w:t>
            </w:r>
          </w:p>
        </w:tc>
        <w:tc>
          <w:tcPr>
            <w:tcW w:w="2693"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39">
              <w:r>
                <w:rPr>
                  <w:rStyle w:val="InternetLink"/>
                  <w:rFonts w:ascii="Times New Roman" w:hAnsi="Times New Roman"/>
                  <w:color w:val="000000"/>
                  <w:sz w:val="20"/>
                  <w:u w:val="single"/>
                </w:rPr>
                <w:t>https://www.sec.gov/Archives/edgar/data/923796/000119312522230195/d392591dex102.htm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8"/>
        <w:gridCol w:w="212"/>
        <w:gridCol w:w="5786"/>
        <w:gridCol w:w="3579"/>
      </w:tblGrid>
      <w:tr>
        <w:trPr/>
        <w:tc>
          <w:tcPr>
            <w:tcW w:w="6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86" w:type="dxa"/>
            <w:tcBorders/>
            <w:vAlign w:val="center"/>
          </w:tcPr>
          <w:p>
            <w:pPr>
              <w:pStyle w:val="TableContents"/>
              <w:bidi w:val="0"/>
              <w:spacing w:before="0" w:after="283"/>
              <w:jc w:val="left"/>
              <w:rPr>
                <w:sz w:val="4"/>
                <w:szCs w:val="4"/>
              </w:rPr>
            </w:pPr>
            <w:r>
              <w:rPr>
                <w:sz w:val="4"/>
                <w:szCs w:val="4"/>
              </w:rPr>
            </w:r>
          </w:p>
        </w:tc>
        <w:tc>
          <w:tcPr>
            <w:tcW w:w="3579" w:type="dxa"/>
            <w:tcBorders/>
            <w:vAlign w:val="center"/>
          </w:tcPr>
          <w:p>
            <w:pPr>
              <w:pStyle w:val="TableContents"/>
              <w:bidi w:val="0"/>
              <w:spacing w:before="0" w:after="283"/>
              <w:jc w:val="left"/>
              <w:rPr>
                <w:sz w:val="4"/>
                <w:szCs w:val="4"/>
              </w:rPr>
            </w:pPr>
            <w:r>
              <w:rPr>
                <w:sz w:val="4"/>
                <w:szCs w:val="4"/>
              </w:rPr>
            </w:r>
          </w:p>
        </w:tc>
      </w:tr>
      <w:tr>
        <w:trPr/>
        <w:tc>
          <w:tcPr>
            <w:tcW w:w="628" w:type="dxa"/>
            <w:tcBorders/>
            <w:vAlign w:val="center"/>
          </w:tcPr>
          <w:p>
            <w:pPr>
              <w:pStyle w:val="TableContents"/>
              <w:bidi w:val="0"/>
              <w:spacing w:before="0" w:after="283"/>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66" w:right="66" w:firstLine="66"/>
              <w:jc w:val="both"/>
              <w:rPr>
                <w:rFonts w:ascii="Times New Roman" w:hAnsi="Times New Roman"/>
                <w:color w:val="000000"/>
                <w:sz w:val="20"/>
              </w:rPr>
            </w:pPr>
            <w:r>
              <w:rPr>
                <w:rFonts w:ascii="Times New Roman" w:hAnsi="Times New Roman"/>
                <w:color w:val="000000"/>
                <w:sz w:val="20"/>
              </w:rPr>
              <w:t>Form 8-K, filed on August 25, 2022). (included in Exhibit 10-17). **</w:t>
            </w:r>
          </w:p>
        </w:tc>
        <w:tc>
          <w:tcPr>
            <w:tcW w:w="3579"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jc w:val="left"/>
              <w:rPr/>
            </w:pPr>
            <w:r>
              <w:rPr/>
              <w:t> </w:t>
            </w:r>
          </w:p>
        </w:tc>
      </w:tr>
      <w:tr>
        <w:trPr/>
        <w:tc>
          <w:tcPr>
            <w:tcW w:w="628"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10.12</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The GEO Group, Inc. Amended and Restated 2018 Stock Incentive Plan (incorporated by reference to Exhibit 10.1 to the Company’s Current Report on Form 8-K, filed on May 4, 2021)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0">
              <w:r>
                <w:rPr>
                  <w:rStyle w:val="InternetLink"/>
                  <w:rFonts w:ascii="Times New Roman" w:hAnsi="Times New Roman"/>
                  <w:color w:val="000000"/>
                  <w:sz w:val="20"/>
                </w:rPr>
                <w:t>https://www.sec.gov/Archives/edgar/data/0000923796/000119312521150222/d178751dex101.htm</w:t>
              </w:r>
            </w:hyperlink>
          </w:p>
        </w:tc>
      </w:tr>
      <w:tr>
        <w:trPr/>
        <w:tc>
          <w:tcPr>
            <w:tcW w:w="628" w:type="dxa"/>
            <w:tcBorders/>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10.13</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The GEO Group, Inc. Amended and Restated Employee Stock Purchase Plan (incorporated by reference to Exhibit 10.2 to the Company's Current Report on Form 8-K, filed on May 4, 2021).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1">
              <w:r>
                <w:rPr>
                  <w:rStyle w:val="InternetLink"/>
                  <w:rFonts w:ascii="Times New Roman" w:hAnsi="Times New Roman"/>
                  <w:color w:val="000000"/>
                  <w:sz w:val="20"/>
                </w:rPr>
                <w:t>https://www.sec.gov/Archives/edgar/data/0000923796/000119312521150222/d178751dex102.htm</w:t>
              </w:r>
            </w:hyperlink>
          </w:p>
        </w:tc>
      </w:tr>
      <w:tr>
        <w:trPr/>
        <w:tc>
          <w:tcPr>
            <w:tcW w:w="628" w:type="dxa"/>
            <w:tcBorders/>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10.14</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Separation and General Release Agreement, dated as of May 27, 2021, by and between The GEO Group, Inc. and George C. Zoley (incorporated by reference to Exhibit 10.1 to the Company's Current Report on Form 8-K, filed on June 1, 2021).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2">
              <w:r>
                <w:rPr>
                  <w:rStyle w:val="InternetLink"/>
                  <w:rFonts w:ascii="Times New Roman" w:hAnsi="Times New Roman"/>
                  <w:color w:val="000000"/>
                  <w:sz w:val="20"/>
                </w:rPr>
                <w:t>https://www.sec.gov/Archives/edgar/data/0000923796/000119312521177770/d318382dex101.htm</w:t>
              </w:r>
            </w:hyperlink>
          </w:p>
        </w:tc>
      </w:tr>
      <w:tr>
        <w:trPr/>
        <w:tc>
          <w:tcPr>
            <w:tcW w:w="628" w:type="dxa"/>
            <w:tcBorders/>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10.15</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Executive Chairman Employment Agreement, dated as of May 27, 2021, by and between The GEO Group, Inc. and George C. Zoley (incorporated by reference to Exhibit 10.2 to the Company's Current Report on Form 8-K, filed on June 1, 2021).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3">
              <w:r>
                <w:rPr>
                  <w:rStyle w:val="InternetLink"/>
                  <w:rFonts w:ascii="Times New Roman" w:hAnsi="Times New Roman"/>
                  <w:color w:val="000000"/>
                  <w:sz w:val="20"/>
                </w:rPr>
                <w:t>https://www.sec.gov/Archives/edgar/data/0000923796/000119312521177770/d318382dex102.htm</w:t>
              </w:r>
            </w:hyperlink>
          </w:p>
        </w:tc>
      </w:tr>
      <w:tr>
        <w:trPr/>
        <w:tc>
          <w:tcPr>
            <w:tcW w:w="628" w:type="dxa"/>
            <w:tcBorders/>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10.16</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Amended and Restated Executive Retirement Agreement, dated as of May 27, 2021, by and between The GEO Group, Inc. and George C. Zoley (incorporated by reference to Exhibit 10.3 to the Company's Current Report on Form 8-K, filed on June 1, 2021).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4">
              <w:r>
                <w:rPr>
                  <w:rStyle w:val="InternetLink"/>
                  <w:rFonts w:ascii="Times New Roman" w:hAnsi="Times New Roman"/>
                  <w:color w:val="000000"/>
                  <w:sz w:val="20"/>
                </w:rPr>
                <w:t>https://www.sec.gov/Archives/edgar/data/0000923796/000119312521177770/d318382dex103.htm</w:t>
              </w:r>
            </w:hyperlink>
          </w:p>
        </w:tc>
      </w:tr>
      <w:tr>
        <w:trPr/>
        <w:tc>
          <w:tcPr>
            <w:tcW w:w="628" w:type="dxa"/>
            <w:tcBorders/>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10.17</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Executive Employment Agreement, dated as of May 27, 2021, by and between The GEO Group, Inc. and Jose Gordo (incorporated by reference to Exhibit 10.4 to the Company's Current Report on Form 8-K, filed on June 1, 2021).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5">
              <w:r>
                <w:rPr>
                  <w:rStyle w:val="InternetLink"/>
                  <w:rFonts w:ascii="Times New Roman" w:hAnsi="Times New Roman"/>
                  <w:color w:val="000000"/>
                  <w:sz w:val="20"/>
                </w:rPr>
                <w:t>https://www.sec.gov/Archives/edgar/data/0000923796/000119312521177770/d318382dex104.htm</w:t>
              </w:r>
            </w:hyperlink>
          </w:p>
        </w:tc>
      </w:tr>
      <w:tr>
        <w:trPr/>
        <w:tc>
          <w:tcPr>
            <w:tcW w:w="628" w:type="dxa"/>
            <w:tcBorders/>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10.18</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42" w:right="0" w:firstLine="42"/>
              <w:jc w:val="left"/>
              <w:rPr/>
            </w:pPr>
            <w:r>
              <w:rPr/>
              <w:t> </w:t>
            </w:r>
          </w:p>
        </w:tc>
        <w:tc>
          <w:tcPr>
            <w:tcW w:w="5786"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Transaction Support Agreement, dated as of July 18, 2022, among </w:t>
            </w:r>
          </w:p>
        </w:tc>
        <w:tc>
          <w:tcPr>
            <w:tcW w:w="357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6">
              <w:r>
                <w:rPr>
                  <w:rStyle w:val="InternetLink"/>
                  <w:rFonts w:ascii="Times New Roman" w:hAnsi="Times New Roman"/>
                  <w:color w:val="000000"/>
                  <w:sz w:val="20"/>
                  <w:u w:val="single"/>
                </w:rPr>
                <w:t>https://www.sec.gov/Archives/edgar/data/923796/000119312522196691/d346175dex101.htm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8"/>
        <w:gridCol w:w="212"/>
        <w:gridCol w:w="6583"/>
        <w:gridCol w:w="2782"/>
      </w:tblGrid>
      <w:tr>
        <w:trPr/>
        <w:tc>
          <w:tcPr>
            <w:tcW w:w="6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83"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r>
      <w:tr>
        <w:trPr/>
        <w:tc>
          <w:tcPr>
            <w:tcW w:w="628" w:type="dxa"/>
            <w:tcBorders/>
            <w:vAlign w:val="center"/>
          </w:tcPr>
          <w:p>
            <w:pPr>
              <w:pStyle w:val="TableContents"/>
              <w:bidi w:val="0"/>
              <w:spacing w:before="0" w:after="283"/>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jc w:val="left"/>
              <w:rPr/>
            </w:pPr>
            <w:r>
              <w:rPr/>
              <w:t> </w:t>
            </w:r>
          </w:p>
        </w:tc>
        <w:tc>
          <w:tcPr>
            <w:tcW w:w="6583"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Company, the Agent and the Consenting Creditors (incorporated by reference to Exhibit 10.1 to the Company's Current Report on Form 8-K filed on July 19, 2022). </w:t>
            </w:r>
          </w:p>
        </w:tc>
        <w:tc>
          <w:tcPr>
            <w:tcW w:w="2782"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jc w:val="left"/>
              <w:rPr/>
            </w:pPr>
            <w:r>
              <w:rPr/>
              <w:t> </w:t>
            </w:r>
          </w:p>
        </w:tc>
      </w:tr>
      <w:tr>
        <w:trPr/>
        <w:tc>
          <w:tcPr>
            <w:tcW w:w="628" w:type="dxa"/>
            <w:tcBorders/>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583"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2782"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10.19</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42" w:right="0" w:firstLine="42"/>
              <w:jc w:val="left"/>
              <w:rPr/>
            </w:pPr>
            <w:r>
              <w:rPr/>
              <w:t> </w:t>
            </w:r>
          </w:p>
        </w:tc>
        <w:tc>
          <w:tcPr>
            <w:tcW w:w="6583"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Credit Agreement, dated as of August 19, 2022 among The GEO Group, Inc. and GEO Corrections Holdings, Inc., as borrowers, the lenders referred to therein and Alter Domus Products Corp., as administrative agent (incorporated by reference to Exhibit 10.3 to the Company's Current Report on Form 8-K filed on August 25, 2022). </w:t>
            </w:r>
          </w:p>
        </w:tc>
        <w:tc>
          <w:tcPr>
            <w:tcW w:w="2782"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7">
              <w:r>
                <w:rPr>
                  <w:rStyle w:val="InternetLink"/>
                  <w:rFonts w:ascii="Times New Roman" w:hAnsi="Times New Roman"/>
                  <w:color w:val="000000"/>
                  <w:sz w:val="20"/>
                  <w:u w:val="single"/>
                </w:rPr>
                <w:t>https://www.sec.gov/Archives/edgar/data/923796/000119312522230195/d392591dex103.htm</w:t>
              </w:r>
            </w:hyperlink>
          </w:p>
        </w:tc>
      </w:tr>
      <w:tr>
        <w:trPr/>
        <w:tc>
          <w:tcPr>
            <w:tcW w:w="628" w:type="dxa"/>
            <w:tcBorders/>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583"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2782"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10.20</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42" w:right="0" w:firstLine="42"/>
              <w:jc w:val="left"/>
              <w:rPr/>
            </w:pPr>
            <w:r>
              <w:rPr/>
              <w:t> </w:t>
            </w:r>
          </w:p>
        </w:tc>
        <w:tc>
          <w:tcPr>
            <w:tcW w:w="6583"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First Lien Pari Passu Intercreditor Agreement, dated as of August 19, 2022 among Alter Domus Products Corp., as exchange credit facility agent for the exchange credit facility secured parties, Alter Domus Products Corp., as existing credit facility agent for the existing credit facility secured parties and each additional senior representative from time to time party thereto, and acknowledged by The GEO Group, Inc. and GEO Corrections Holdings, Inc. as borrowers and the other grantors (incorporated by reference to Exhibit 10.4 to the Company's Current Report on Form 8-K filed on August 25, 2022). </w:t>
            </w:r>
          </w:p>
        </w:tc>
        <w:tc>
          <w:tcPr>
            <w:tcW w:w="2782"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8">
              <w:r>
                <w:rPr>
                  <w:rStyle w:val="InternetLink"/>
                  <w:rFonts w:ascii="Times New Roman" w:hAnsi="Times New Roman"/>
                  <w:color w:val="000000"/>
                  <w:sz w:val="20"/>
                  <w:u w:val="single"/>
                </w:rPr>
                <w:t>https://www.sec.gov/Archives/edgar/data/923796/000119312522230195/d392591dex104.htm</w:t>
              </w:r>
            </w:hyperlink>
          </w:p>
        </w:tc>
      </w:tr>
      <w:tr>
        <w:trPr/>
        <w:tc>
          <w:tcPr>
            <w:tcW w:w="628" w:type="dxa"/>
            <w:tcBorders/>
            <w:vAlign w:val="center"/>
          </w:tcPr>
          <w:p>
            <w:pPr>
              <w:pStyle w:val="TableContents"/>
              <w:bidi w:val="0"/>
              <w:spacing w:before="0" w:after="283"/>
              <w:ind w:left="0" w:right="0" w:firstLine="42"/>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583"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2782"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42"/>
              <w:jc w:val="left"/>
              <w:rPr>
                <w:rFonts w:ascii="Times New Roman" w:hAnsi="Times New Roman"/>
                <w:color w:val="000000"/>
                <w:sz w:val="20"/>
              </w:rPr>
            </w:pPr>
            <w:r>
              <w:rPr>
                <w:rFonts w:ascii="Times New Roman" w:hAnsi="Times New Roman"/>
                <w:color w:val="000000"/>
                <w:sz w:val="20"/>
              </w:rPr>
              <w:t>10.21</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42" w:right="0" w:firstLine="42"/>
              <w:jc w:val="left"/>
              <w:rPr/>
            </w:pPr>
            <w:r>
              <w:rPr/>
              <w:t> </w:t>
            </w:r>
          </w:p>
        </w:tc>
        <w:tc>
          <w:tcPr>
            <w:tcW w:w="6583"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Senior Officer Employment Agreement, by and between The GEO Group, Inc. and Wayne Calabrese, dated February 9, 2023 (incorporated by reference to Exhibit 10.1 to the Company's Current Report on Form 8-K filed on February 15, 2023). </w:t>
            </w:r>
          </w:p>
        </w:tc>
        <w:tc>
          <w:tcPr>
            <w:tcW w:w="2782"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40" w:right="0" w:firstLine="40"/>
              <w:jc w:val="both"/>
              <w:rPr/>
            </w:pPr>
            <w:hyperlink r:id="rId49">
              <w:r>
                <w:rPr>
                  <w:rStyle w:val="InternetLink"/>
                  <w:rFonts w:ascii="Times New Roman" w:hAnsi="Times New Roman"/>
                  <w:color w:val="000000"/>
                  <w:sz w:val="20"/>
                  <w:u w:val="single"/>
                </w:rPr>
                <w:t>https://www.sec.gov/Archives/edgar/data/923796/000119312523040224/d419976dex101.htm</w:t>
              </w:r>
            </w:hyperlink>
          </w:p>
        </w:tc>
      </w:tr>
      <w:tr>
        <w:trPr/>
        <w:tc>
          <w:tcPr>
            <w:tcW w:w="628"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658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278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10.22</w:t>
            </w:r>
          </w:p>
        </w:tc>
        <w:tc>
          <w:tcPr>
            <w:tcW w:w="212" w:type="dxa"/>
            <w:tcBorders>
              <w:right w:val="single" w:sz="4"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58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Separation and General Release Agreement, entered into on November 29, 2023, between The GEO Group, Inc. and Jose Gordo (incorporated by reference to Exhibit 10.1 to the Company's Current Report on Form 8-K filed on December 5, 2023).</w:t>
            </w:r>
          </w:p>
        </w:tc>
        <w:tc>
          <w:tcPr>
            <w:tcW w:w="27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40" w:right="0" w:firstLine="40"/>
              <w:jc w:val="both"/>
              <w:rPr/>
            </w:pPr>
            <w:hyperlink r:id="rId50">
              <w:r>
                <w:rPr>
                  <w:rStyle w:val="InternetLink"/>
                  <w:rFonts w:ascii="Times New Roman" w:hAnsi="Times New Roman"/>
                  <w:color w:val="000000"/>
                  <w:sz w:val="20"/>
                  <w:u w:val="single"/>
                </w:rPr>
                <w:t>https://www.sec.gov/Archives/edgar/data/923796/000119312523289201/d628144dex101.htm</w:t>
              </w:r>
            </w:hyperlink>
          </w:p>
        </w:tc>
      </w:tr>
      <w:tr>
        <w:trPr/>
        <w:tc>
          <w:tcPr>
            <w:tcW w:w="628"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658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278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8" w:type="dxa"/>
            <w:tcBorders/>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10.23</w:t>
            </w:r>
          </w:p>
        </w:tc>
        <w:tc>
          <w:tcPr>
            <w:tcW w:w="212" w:type="dxa"/>
            <w:tcBorders>
              <w:right w:val="single" w:sz="4"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58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 xml:space="preserve">Advisory Services Agreement, effective as of January 1, 2024, </w:t>
            </w:r>
          </w:p>
        </w:tc>
        <w:tc>
          <w:tcPr>
            <w:tcW w:w="27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40" w:right="0" w:firstLine="40"/>
              <w:jc w:val="both"/>
              <w:rPr/>
            </w:pPr>
            <w:hyperlink r:id="rId51">
              <w:r>
                <w:rPr>
                  <w:rStyle w:val="InternetLink"/>
                  <w:rFonts w:ascii="Times New Roman" w:hAnsi="Times New Roman"/>
                  <w:color w:val="000000"/>
                  <w:sz w:val="20"/>
                  <w:u w:val="single"/>
                </w:rPr>
                <w:t>https://www.sec.gov/Archives/edgar/data/923796/000119312523289201/d628144dex102.htm</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9"/>
        <w:gridCol w:w="212"/>
        <w:gridCol w:w="6322"/>
        <w:gridCol w:w="3042"/>
      </w:tblGrid>
      <w:tr>
        <w:trPr/>
        <w:tc>
          <w:tcPr>
            <w:tcW w:w="6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22"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r>
      <w:tr>
        <w:trPr/>
        <w:tc>
          <w:tcPr>
            <w:tcW w:w="629" w:type="dxa"/>
            <w:tcBorders/>
            <w:vAlign w:val="center"/>
          </w:tcPr>
          <w:p>
            <w:pPr>
              <w:pStyle w:val="TableContents"/>
              <w:bidi w:val="0"/>
              <w:spacing w:before="0" w:after="283"/>
              <w:jc w:val="left"/>
              <w:rPr/>
            </w:pPr>
            <w:r>
              <w:rPr/>
              <w:t> </w:t>
            </w:r>
          </w:p>
        </w:tc>
        <w:tc>
          <w:tcPr>
            <w:tcW w:w="212" w:type="dxa"/>
            <w:tcBorders>
              <w:right w:val="single" w:sz="4"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32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66" w:right="66" w:firstLine="66"/>
              <w:jc w:val="left"/>
              <w:rPr>
                <w:rFonts w:ascii="Times New Roman" w:hAnsi="Times New Roman"/>
                <w:color w:val="000000"/>
                <w:sz w:val="20"/>
              </w:rPr>
            </w:pPr>
            <w:r>
              <w:rPr>
                <w:rFonts w:ascii="Times New Roman" w:hAnsi="Times New Roman"/>
                <w:color w:val="000000"/>
                <w:sz w:val="20"/>
              </w:rPr>
              <w:t>between The GEO Group, Inc. and Jose Gordo (incorporated by reference t Exhibit 10.2 to the Company's Current Report on Form 8-K filed on December 5, 2023). </w:t>
            </w:r>
          </w:p>
        </w:tc>
        <w:tc>
          <w:tcPr>
            <w:tcW w:w="304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32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04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10.24</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3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Executive Employment Agreement, effective as of January 1, 2024, between The GEO Group, Inc. and Brian Evans (incorporated by reference to Exhibit 10.3 to the Company's Current Report on Form 8-K filed on December 5, 2023). </w:t>
            </w:r>
          </w:p>
        </w:tc>
        <w:tc>
          <w:tcPr>
            <w:tcW w:w="304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40" w:right="0" w:firstLine="40"/>
              <w:jc w:val="both"/>
              <w:rPr/>
            </w:pPr>
            <w:hyperlink r:id="rId52">
              <w:r>
                <w:rPr>
                  <w:rStyle w:val="InternetLink"/>
                  <w:rFonts w:ascii="Times New Roman" w:hAnsi="Times New Roman"/>
                  <w:color w:val="000000"/>
                  <w:sz w:val="20"/>
                  <w:u w:val="single"/>
                </w:rPr>
                <w:t>https://www.sec.gov/Archives/edgar/data/923796/000119312523289201/d628144dex103.htm</w:t>
              </w:r>
            </w:hyperlink>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32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04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10.25</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3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Executive Employment Agreement, dated as of June 22, 2021, between The GEO Group, Inc. and Shayn March (incorporated by reference to Exhibit 10.4 to the Company's Current Report on Form 8-K filed on December 5, 2023). </w:t>
            </w:r>
          </w:p>
        </w:tc>
        <w:tc>
          <w:tcPr>
            <w:tcW w:w="304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40" w:right="0" w:firstLine="40"/>
              <w:jc w:val="both"/>
              <w:rPr/>
            </w:pPr>
            <w:hyperlink r:id="rId53">
              <w:r>
                <w:rPr>
                  <w:rStyle w:val="InternetLink"/>
                  <w:rFonts w:ascii="Times New Roman" w:hAnsi="Times New Roman"/>
                  <w:color w:val="000000"/>
                  <w:sz w:val="20"/>
                  <w:u w:val="single"/>
                </w:rPr>
                <w:t>https://www.sec.gov/Archives/edgar/data/923796/000119312523289201/d628144dex104.htm</w:t>
              </w:r>
            </w:hyperlink>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32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04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10.26</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32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Executive Employment Agreement, effective as of January 1, 2024, between The GEO Group, Inc. and Wayne Calabrese (incorporated by reference to Exhibit 10.4 to the Company's Current Report on Form 8-K filed on December 5, 2023). </w:t>
            </w:r>
          </w:p>
        </w:tc>
        <w:tc>
          <w:tcPr>
            <w:tcW w:w="304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both"/>
              <w:rPr/>
            </w:pPr>
            <w:hyperlink r:id="rId54">
              <w:r>
                <w:rPr>
                  <w:rStyle w:val="InternetLink"/>
                  <w:rFonts w:ascii="Times New Roman" w:hAnsi="Times New Roman"/>
                  <w:color w:val="000000"/>
                  <w:sz w:val="20"/>
                  <w:u w:val="single"/>
                </w:rPr>
                <w:t>https://www.sec.gov/Archives/edgar/data/923796/000119312523289201/d628144dex105.htm</w:t>
              </w:r>
            </w:hyperlink>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32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04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rFonts w:ascii="Times New Roman" w:hAnsi="Times New Roman"/>
                <w:color w:val="000000"/>
                <w:sz w:val="20"/>
              </w:rPr>
            </w:pPr>
            <w:r>
              <w:rPr>
                <w:rFonts w:ascii="Times New Roman" w:hAnsi="Times New Roman"/>
                <w:color w:val="000000"/>
                <w:sz w:val="20"/>
              </w:rPr>
              <w:t>10.27</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28" w:right="0" w:firstLine="28"/>
              <w:jc w:val="left"/>
              <w:rPr/>
            </w:pPr>
            <w:r>
              <w:rPr/>
              <w:t> </w:t>
            </w:r>
          </w:p>
        </w:tc>
        <w:tc>
          <w:tcPr>
            <w:tcW w:w="632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rFonts w:ascii="Times New Roman" w:hAnsi="Times New Roman"/>
                <w:color w:val="000000"/>
                <w:sz w:val="20"/>
              </w:rPr>
            </w:pPr>
            <w:r>
              <w:rPr>
                <w:rFonts w:ascii="Times New Roman" w:hAnsi="Times New Roman"/>
                <w:color w:val="000000"/>
                <w:sz w:val="20"/>
              </w:rPr>
              <w:t>Refinancing Revolving Credit Commitments Amendment, dated as of December 14, 2023, among The GEO Group, Inc. and GEO Corrections Holdings, Inc., as borrowers, the other loan parties thereto, the lender parties thereto and Alter Domus Products Corp., as administrative agent (incorporated by reference to Exhibit 10.1 to the Company's Current Report on Form 8-K filed on December 5, 2023).</w:t>
            </w:r>
          </w:p>
        </w:tc>
        <w:tc>
          <w:tcPr>
            <w:tcW w:w="304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both"/>
              <w:rPr/>
            </w:pPr>
            <w:hyperlink r:id="rId55">
              <w:r>
                <w:rPr>
                  <w:rStyle w:val="InternetLink"/>
                  <w:rFonts w:ascii="Times New Roman" w:hAnsi="Times New Roman"/>
                  <w:color w:val="000000"/>
                  <w:sz w:val="20"/>
                  <w:u w:val="single"/>
                </w:rPr>
                <w:t>https://www.sec.gov/Archives/edgar/data/923796/000119312523299987/d552008dex101.htm</w:t>
              </w:r>
            </w:hyperlink>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32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40"/>
              <w:jc w:val="left"/>
              <w:rPr/>
            </w:pPr>
            <w:r>
              <w:rPr/>
              <w:t> </w:t>
            </w:r>
          </w:p>
        </w:tc>
        <w:tc>
          <w:tcPr>
            <w:tcW w:w="3042"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21.1</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sz w:val="4"/>
                <w:szCs w:val="4"/>
              </w:rPr>
            </w:pPr>
            <w:r>
              <w:rPr>
                <w:sz w:val="4"/>
                <w:szCs w:val="4"/>
              </w:rPr>
            </w:r>
          </w:p>
        </w:tc>
        <w:tc>
          <w:tcPr>
            <w:tcW w:w="632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0"/>
              <w:jc w:val="both"/>
              <w:rPr/>
            </w:pPr>
            <w:hyperlink w:anchor="geo-ex21_1.htm">
              <w:r>
                <w:rPr>
                  <w:rStyle w:val="InternetLink"/>
                  <w:rFonts w:ascii="Times New Roman" w:hAnsi="Times New Roman"/>
                  <w:color w:val="0000FF"/>
                  <w:sz w:val="20"/>
                  <w:u w:val="single"/>
                </w:rPr>
                <w:t>Subsidiaries of the Company*</w:t>
              </w:r>
            </w:hyperlink>
          </w:p>
        </w:tc>
        <w:tc>
          <w:tcPr>
            <w:tcW w:w="3042" w:type="dxa"/>
            <w:tcBorders>
              <w:bottom w:val="single" w:sz="6" w:space="0" w:color="000000"/>
            </w:tcBorders>
            <w:tcMar>
              <w:top w:w="0" w:type="dxa"/>
              <w:left w:w="0" w:type="dxa"/>
              <w:right w:w="0" w:type="dxa"/>
            </w:tcMar>
            <w:vAlign w:val="center"/>
          </w:tcPr>
          <w:p>
            <w:pPr>
              <w:pStyle w:val="TableContents"/>
              <w:bidi w:val="0"/>
              <w:spacing w:before="0" w:after="283"/>
              <w:ind w:left="0" w:right="0" w:firstLine="40"/>
              <w:jc w:val="left"/>
              <w:rPr>
                <w:sz w:val="4"/>
                <w:szCs w:val="4"/>
              </w:rPr>
            </w:pPr>
            <w:r>
              <w:rPr>
                <w:sz w:val="4"/>
                <w:szCs w:val="4"/>
              </w:rPr>
            </w:r>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6322" w:type="dxa"/>
            <w:tcBorders>
              <w:bottom w:val="single" w:sz="6"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3042" w:type="dxa"/>
            <w:tcBorders>
              <w:bottom w:val="single" w:sz="6"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22.1</w:t>
            </w:r>
          </w:p>
        </w:tc>
        <w:tc>
          <w:tcPr>
            <w:tcW w:w="212" w:type="dxa"/>
            <w:tcBorders>
              <w:right w:val="single" w:sz="6"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632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0"/>
              <w:jc w:val="both"/>
              <w:rPr/>
            </w:pPr>
            <w:hyperlink w:anchor="geo-ex22_1.htm">
              <w:r>
                <w:rPr>
                  <w:rStyle w:val="InternetLink"/>
                  <w:rFonts w:ascii="Times New Roman" w:hAnsi="Times New Roman"/>
                  <w:color w:val="0000FF"/>
                  <w:sz w:val="20"/>
                  <w:u w:val="single"/>
                </w:rPr>
                <w:t>List of Guarantor Subsidiaries *</w:t>
              </w:r>
            </w:hyperlink>
          </w:p>
        </w:tc>
        <w:tc>
          <w:tcPr>
            <w:tcW w:w="3042" w:type="dxa"/>
            <w:tcBorders>
              <w:bottom w:val="single" w:sz="6"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6322" w:type="dxa"/>
            <w:tcBorders/>
            <w:vAlign w:val="center"/>
          </w:tcPr>
          <w:p>
            <w:pPr>
              <w:pStyle w:val="TableContents"/>
              <w:bidi w:val="0"/>
              <w:spacing w:before="0" w:after="283"/>
              <w:ind w:left="0" w:right="0" w:firstLine="40"/>
              <w:jc w:val="left"/>
              <w:rPr/>
            </w:pPr>
            <w:r>
              <w:rPr/>
              <w:t> </w:t>
            </w:r>
          </w:p>
        </w:tc>
        <w:tc>
          <w:tcPr>
            <w:tcW w:w="3042" w:type="dxa"/>
            <w:tcBorders/>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23.1</w:t>
            </w:r>
          </w:p>
        </w:tc>
        <w:tc>
          <w:tcPr>
            <w:tcW w:w="212" w:type="dxa"/>
            <w:tcBorders/>
            <w:vAlign w:val="center"/>
          </w:tcPr>
          <w:p>
            <w:pPr>
              <w:pStyle w:val="TableContents"/>
              <w:bidi w:val="0"/>
              <w:spacing w:before="0" w:after="283"/>
              <w:ind w:left="0" w:right="0" w:firstLine="66"/>
              <w:jc w:val="left"/>
              <w:rPr>
                <w:sz w:val="4"/>
                <w:szCs w:val="4"/>
              </w:rPr>
            </w:pPr>
            <w:r>
              <w:rPr>
                <w:sz w:val="4"/>
                <w:szCs w:val="4"/>
              </w:rPr>
            </w:r>
          </w:p>
        </w:tc>
        <w:tc>
          <w:tcPr>
            <w:tcW w:w="6322"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66" w:right="66" w:firstLine="66"/>
              <w:jc w:val="both"/>
              <w:rPr/>
            </w:pPr>
            <w:hyperlink w:anchor="geo-ex23_1.htm">
              <w:r>
                <w:rPr>
                  <w:rStyle w:val="InternetLink"/>
                  <w:rFonts w:ascii="Times New Roman" w:hAnsi="Times New Roman"/>
                  <w:color w:val="0000FF"/>
                  <w:sz w:val="20"/>
                  <w:u w:val="single"/>
                </w:rPr>
                <w:t>Consent of Grant Thornton LLP, Independent Registered Public Accounting Firm*</w:t>
              </w:r>
            </w:hyperlink>
          </w:p>
        </w:tc>
        <w:tc>
          <w:tcPr>
            <w:tcW w:w="3042" w:type="dxa"/>
            <w:tcBorders>
              <w:top w:val="single" w:sz="5" w:space="0" w:color="000000"/>
            </w:tcBorders>
            <w:tcMar>
              <w:left w:w="0" w:type="dxa"/>
              <w:bottom w:w="0" w:type="dxa"/>
              <w:right w:w="0" w:type="dxa"/>
            </w:tcMar>
            <w:vAlign w:val="center"/>
          </w:tcPr>
          <w:p>
            <w:pPr>
              <w:pStyle w:val="TableContents"/>
              <w:bidi w:val="0"/>
              <w:spacing w:before="0" w:after="283"/>
              <w:ind w:left="40" w:right="0" w:hanging="0"/>
              <w:jc w:val="left"/>
              <w:rPr>
                <w:sz w:val="4"/>
                <w:szCs w:val="4"/>
              </w:rPr>
            </w:pPr>
            <w:r>
              <w:rPr>
                <w:sz w:val="4"/>
                <w:szCs w:val="4"/>
              </w:rPr>
            </w:r>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6322" w:type="dxa"/>
            <w:tcBorders/>
            <w:vAlign w:val="center"/>
          </w:tcPr>
          <w:p>
            <w:pPr>
              <w:pStyle w:val="TableContents"/>
              <w:bidi w:val="0"/>
              <w:spacing w:before="0" w:after="283"/>
              <w:ind w:left="0" w:right="0" w:firstLine="40"/>
              <w:jc w:val="left"/>
              <w:rPr/>
            </w:pPr>
            <w:r>
              <w:rPr/>
              <w:t> </w:t>
            </w:r>
          </w:p>
        </w:tc>
        <w:tc>
          <w:tcPr>
            <w:tcW w:w="3042" w:type="dxa"/>
            <w:tcBorders/>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31.1</w:t>
            </w:r>
          </w:p>
        </w:tc>
        <w:tc>
          <w:tcPr>
            <w:tcW w:w="212" w:type="dxa"/>
            <w:tcBorders/>
            <w:vAlign w:val="center"/>
          </w:tcPr>
          <w:p>
            <w:pPr>
              <w:pStyle w:val="TableContents"/>
              <w:bidi w:val="0"/>
              <w:spacing w:before="0" w:after="283"/>
              <w:ind w:left="0" w:right="0" w:firstLine="66"/>
              <w:jc w:val="left"/>
              <w:rPr>
                <w:sz w:val="4"/>
                <w:szCs w:val="4"/>
              </w:rPr>
            </w:pPr>
            <w:r>
              <w:rPr>
                <w:sz w:val="4"/>
                <w:szCs w:val="4"/>
              </w:rPr>
            </w:r>
          </w:p>
        </w:tc>
        <w:tc>
          <w:tcPr>
            <w:tcW w:w="6322"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66" w:right="66" w:firstLine="66"/>
              <w:jc w:val="both"/>
              <w:rPr/>
            </w:pPr>
            <w:hyperlink w:anchor="geo-ex31_1.htm">
              <w:r>
                <w:rPr>
                  <w:rStyle w:val="InternetLink"/>
                  <w:rFonts w:ascii="Times New Roman" w:hAnsi="Times New Roman"/>
                  <w:color w:val="0000FF"/>
                  <w:sz w:val="20"/>
                  <w:u w:val="single"/>
                </w:rPr>
                <w:t>Rule 13a-14(a) Certification in accordance with Section 302 of the Sarbanes-Oxley Act of 2002*</w:t>
              </w:r>
            </w:hyperlink>
          </w:p>
        </w:tc>
        <w:tc>
          <w:tcPr>
            <w:tcW w:w="3042" w:type="dxa"/>
            <w:tcBorders>
              <w:top w:val="single" w:sz="5" w:space="0" w:color="000000"/>
            </w:tcBorders>
            <w:tcMar>
              <w:left w:w="0" w:type="dxa"/>
              <w:bottom w:w="0" w:type="dxa"/>
              <w:right w:w="0" w:type="dxa"/>
            </w:tcMar>
            <w:vAlign w:val="center"/>
          </w:tcPr>
          <w:p>
            <w:pPr>
              <w:pStyle w:val="TableContents"/>
              <w:bidi w:val="0"/>
              <w:spacing w:before="0" w:after="283"/>
              <w:ind w:left="40" w:right="0" w:hanging="0"/>
              <w:jc w:val="left"/>
              <w:rPr>
                <w:sz w:val="4"/>
                <w:szCs w:val="4"/>
              </w:rPr>
            </w:pPr>
            <w:r>
              <w:rPr>
                <w:sz w:val="4"/>
                <w:szCs w:val="4"/>
              </w:rPr>
            </w:r>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6322" w:type="dxa"/>
            <w:tcBorders/>
            <w:vAlign w:val="center"/>
          </w:tcPr>
          <w:p>
            <w:pPr>
              <w:pStyle w:val="TableContents"/>
              <w:bidi w:val="0"/>
              <w:spacing w:before="0" w:after="283"/>
              <w:ind w:left="0" w:right="0" w:firstLine="40"/>
              <w:jc w:val="left"/>
              <w:rPr/>
            </w:pPr>
            <w:r>
              <w:rPr/>
              <w:t> </w:t>
            </w:r>
          </w:p>
        </w:tc>
        <w:tc>
          <w:tcPr>
            <w:tcW w:w="3042" w:type="dxa"/>
            <w:tcBorders/>
            <w:vAlign w:val="center"/>
          </w:tcPr>
          <w:p>
            <w:pPr>
              <w:pStyle w:val="TableContents"/>
              <w:bidi w:val="0"/>
              <w:spacing w:before="0" w:after="283"/>
              <w:ind w:left="40" w:right="0" w:firstLine="40"/>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9"/>
        <w:gridCol w:w="212"/>
        <w:gridCol w:w="9133"/>
        <w:gridCol w:w="231"/>
      </w:tblGrid>
      <w:tr>
        <w:trPr/>
        <w:tc>
          <w:tcPr>
            <w:tcW w:w="6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31.2</w:t>
            </w:r>
          </w:p>
        </w:tc>
        <w:tc>
          <w:tcPr>
            <w:tcW w:w="212" w:type="dxa"/>
            <w:tcBorders/>
            <w:vAlign w:val="center"/>
          </w:tcPr>
          <w:p>
            <w:pPr>
              <w:pStyle w:val="TableContents"/>
              <w:bidi w:val="0"/>
              <w:spacing w:before="0" w:after="283"/>
              <w:ind w:left="0" w:right="0" w:firstLine="66"/>
              <w:jc w:val="left"/>
              <w:rPr>
                <w:sz w:val="4"/>
                <w:szCs w:val="4"/>
              </w:rPr>
            </w:pPr>
            <w:r>
              <w:rPr>
                <w:sz w:val="4"/>
                <w:szCs w:val="4"/>
              </w:rPr>
            </w:r>
          </w:p>
        </w:tc>
        <w:tc>
          <w:tcPr>
            <w:tcW w:w="9133"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66" w:right="66" w:firstLine="66"/>
              <w:jc w:val="both"/>
              <w:rPr/>
            </w:pPr>
            <w:hyperlink w:anchor="geo-ex31_2.htm">
              <w:r>
                <w:rPr>
                  <w:rStyle w:val="InternetLink"/>
                  <w:rFonts w:ascii="Times New Roman" w:hAnsi="Times New Roman"/>
                  <w:color w:val="0000FF"/>
                  <w:sz w:val="20"/>
                  <w:u w:val="single"/>
                </w:rPr>
                <w:t>Rule 13a-14(a) Certification in accordance with Section 302 of the Sarbanes-Oxley Act of 2002*</w:t>
              </w:r>
            </w:hyperlink>
          </w:p>
        </w:tc>
        <w:tc>
          <w:tcPr>
            <w:tcW w:w="231" w:type="dxa"/>
            <w:tcBorders>
              <w:top w:val="single" w:sz="5" w:space="0" w:color="000000"/>
            </w:tcBorders>
            <w:tcMar>
              <w:left w:w="0" w:type="dxa"/>
              <w:bottom w:w="0" w:type="dxa"/>
              <w:right w:w="0" w:type="dxa"/>
            </w:tcMar>
            <w:vAlign w:val="center"/>
          </w:tcPr>
          <w:p>
            <w:pPr>
              <w:pStyle w:val="TableContents"/>
              <w:bidi w:val="0"/>
              <w:spacing w:before="0" w:after="283"/>
              <w:ind w:left="40" w:right="0" w:hanging="0"/>
              <w:jc w:val="left"/>
              <w:rPr>
                <w:sz w:val="4"/>
                <w:szCs w:val="4"/>
              </w:rPr>
            </w:pPr>
            <w:r>
              <w:rPr>
                <w:sz w:val="4"/>
                <w:szCs w:val="4"/>
              </w:rPr>
            </w:r>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9133" w:type="dxa"/>
            <w:tcBorders/>
            <w:vAlign w:val="center"/>
          </w:tcPr>
          <w:p>
            <w:pPr>
              <w:pStyle w:val="TableContents"/>
              <w:bidi w:val="0"/>
              <w:spacing w:before="0" w:after="283"/>
              <w:ind w:left="0" w:right="0" w:firstLine="40"/>
              <w:jc w:val="both"/>
              <w:rPr/>
            </w:pPr>
            <w:r>
              <w:rPr/>
              <w:t> </w:t>
            </w:r>
          </w:p>
        </w:tc>
        <w:tc>
          <w:tcPr>
            <w:tcW w:w="231" w:type="dxa"/>
            <w:tcBorders/>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32.1</w:t>
            </w:r>
          </w:p>
        </w:tc>
        <w:tc>
          <w:tcPr>
            <w:tcW w:w="212" w:type="dxa"/>
            <w:tcBorders/>
            <w:vAlign w:val="center"/>
          </w:tcPr>
          <w:p>
            <w:pPr>
              <w:pStyle w:val="TableContents"/>
              <w:bidi w:val="0"/>
              <w:spacing w:before="0" w:after="283"/>
              <w:ind w:left="0" w:right="0" w:firstLine="66"/>
              <w:jc w:val="left"/>
              <w:rPr/>
            </w:pPr>
            <w:r>
              <w:rPr/>
              <w:t> </w:t>
            </w:r>
          </w:p>
        </w:tc>
        <w:tc>
          <w:tcPr>
            <w:tcW w:w="9133"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66" w:right="66" w:firstLine="66"/>
              <w:jc w:val="both"/>
              <w:rPr/>
            </w:pPr>
            <w:hyperlink w:anchor="geo-ex32_1.htm">
              <w:r>
                <w:rPr>
                  <w:rStyle w:val="InternetLink"/>
                  <w:rFonts w:ascii="Times New Roman" w:hAnsi="Times New Roman"/>
                  <w:color w:val="0000FF"/>
                  <w:sz w:val="20"/>
                  <w:u w:val="single"/>
                </w:rPr>
                <w:t>Certification pursuant to 18 U.S.C. Section 1350, as adopted pursuant to Section 906 of the Sarbanes-Oxley Act of 2002*</w:t>
              </w:r>
            </w:hyperlink>
          </w:p>
        </w:tc>
        <w:tc>
          <w:tcPr>
            <w:tcW w:w="231" w:type="dxa"/>
            <w:tcBorders>
              <w:top w:val="single" w:sz="5" w:space="0" w:color="000000"/>
            </w:tcBorders>
            <w:tcMar>
              <w:left w:w="0" w:type="dxa"/>
              <w:bottom w:w="0" w:type="dxa"/>
              <w:right w:w="0" w:type="dxa"/>
            </w:tcMar>
            <w:vAlign w:val="center"/>
          </w:tcPr>
          <w:p>
            <w:pPr>
              <w:pStyle w:val="TableContents"/>
              <w:bidi w:val="0"/>
              <w:spacing w:before="0" w:after="283"/>
              <w:ind w:left="40" w:right="0" w:hanging="0"/>
              <w:jc w:val="left"/>
              <w:rPr/>
            </w:pPr>
            <w:r>
              <w:rPr/>
              <w:t> </w:t>
            </w:r>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9133" w:type="dxa"/>
            <w:tcBorders/>
            <w:vAlign w:val="center"/>
          </w:tcPr>
          <w:p>
            <w:pPr>
              <w:pStyle w:val="TableContents"/>
              <w:bidi w:val="0"/>
              <w:spacing w:before="0" w:after="283"/>
              <w:ind w:left="0" w:right="0" w:firstLine="40"/>
              <w:jc w:val="both"/>
              <w:rPr/>
            </w:pPr>
            <w:r>
              <w:rPr/>
              <w:t> </w:t>
            </w:r>
          </w:p>
        </w:tc>
        <w:tc>
          <w:tcPr>
            <w:tcW w:w="231" w:type="dxa"/>
            <w:tcBorders/>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32.2</w:t>
            </w:r>
          </w:p>
        </w:tc>
        <w:tc>
          <w:tcPr>
            <w:tcW w:w="212" w:type="dxa"/>
            <w:tcBorders/>
            <w:vAlign w:val="center"/>
          </w:tcPr>
          <w:p>
            <w:pPr>
              <w:pStyle w:val="TableContents"/>
              <w:bidi w:val="0"/>
              <w:spacing w:before="0" w:after="283"/>
              <w:ind w:left="0" w:right="0" w:firstLine="66"/>
              <w:jc w:val="left"/>
              <w:rPr/>
            </w:pPr>
            <w:r>
              <w:rPr/>
              <w:t> </w:t>
            </w:r>
          </w:p>
        </w:tc>
        <w:tc>
          <w:tcPr>
            <w:tcW w:w="9133"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66" w:right="66" w:firstLine="66"/>
              <w:jc w:val="both"/>
              <w:rPr/>
            </w:pPr>
            <w:hyperlink w:anchor="geo-ex32_2.htm">
              <w:r>
                <w:rPr>
                  <w:rStyle w:val="InternetLink"/>
                  <w:rFonts w:ascii="Times New Roman" w:hAnsi="Times New Roman"/>
                  <w:color w:val="0000FF"/>
                  <w:sz w:val="20"/>
                  <w:u w:val="single"/>
                </w:rPr>
                <w:t>Certification pursuant to 18 U.S.C. Section 1350, as adopted pursuant to Section 906 of the Sarbanes-Oxley Act of 2002*</w:t>
              </w:r>
            </w:hyperlink>
          </w:p>
        </w:tc>
        <w:tc>
          <w:tcPr>
            <w:tcW w:w="231" w:type="dxa"/>
            <w:tcBorders>
              <w:top w:val="single" w:sz="5" w:space="0" w:color="000000"/>
            </w:tcBorders>
            <w:tcMar>
              <w:left w:w="0" w:type="dxa"/>
              <w:bottom w:w="0" w:type="dxa"/>
              <w:right w:w="0" w:type="dxa"/>
            </w:tcMar>
            <w:vAlign w:val="center"/>
          </w:tcPr>
          <w:p>
            <w:pPr>
              <w:pStyle w:val="TableContents"/>
              <w:bidi w:val="0"/>
              <w:spacing w:before="0" w:after="283"/>
              <w:ind w:left="40" w:right="0" w:hanging="0"/>
              <w:jc w:val="left"/>
              <w:rPr/>
            </w:pPr>
            <w:r>
              <w:rPr/>
              <w:t> </w:t>
            </w:r>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913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97.1</w:t>
            </w:r>
          </w:p>
        </w:tc>
        <w:tc>
          <w:tcPr>
            <w:tcW w:w="212" w:type="dxa"/>
            <w:tcBorders>
              <w:right w:val="single" w:sz="4"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91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both"/>
              <w:rPr/>
            </w:pPr>
            <w:hyperlink w:anchor="geo-ex97_1.htm">
              <w:r>
                <w:rPr>
                  <w:rStyle w:val="InternetLink"/>
                  <w:rFonts w:ascii="Times New Roman" w:hAnsi="Times New Roman"/>
                  <w:color w:val="0000FF"/>
                  <w:sz w:val="20"/>
                  <w:u w:val="single"/>
                </w:rPr>
                <w:t>The GEO Group, Inc. Clawback Policy</w:t>
              </w:r>
            </w:hyperlink>
            <w:r>
              <w:rPr>
                <w:rFonts w:ascii="Times New Roman" w:hAnsi="Times New Roman"/>
                <w:color w:val="000000"/>
                <w:sz w:val="20"/>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913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
              <w:jc w:val="both"/>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101</w:t>
            </w:r>
          </w:p>
        </w:tc>
        <w:tc>
          <w:tcPr>
            <w:tcW w:w="212" w:type="dxa"/>
            <w:tcBorders>
              <w:right w:val="single" w:sz="4" w:space="0" w:color="000000"/>
            </w:tcBorders>
            <w:tcMar>
              <w:top w:w="0" w:type="dxa"/>
              <w:left w:w="0" w:type="dxa"/>
              <w:bottom w:w="0" w:type="dxa"/>
            </w:tcMar>
            <w:vAlign w:val="center"/>
          </w:tcPr>
          <w:p>
            <w:pPr>
              <w:pStyle w:val="TableContents"/>
              <w:bidi w:val="0"/>
              <w:spacing w:before="0" w:after="283"/>
              <w:ind w:left="0" w:right="0" w:firstLine="66"/>
              <w:jc w:val="left"/>
              <w:rPr/>
            </w:pPr>
            <w:r>
              <w:rPr/>
              <w:t> </w:t>
            </w:r>
          </w:p>
        </w:tc>
        <w:tc>
          <w:tcPr>
            <w:tcW w:w="91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0"/>
              <w:jc w:val="both"/>
              <w:rPr>
                <w:rFonts w:ascii="Times New Roman" w:hAnsi="Times New Roman"/>
                <w:color w:val="000000"/>
                <w:sz w:val="20"/>
              </w:rPr>
            </w:pPr>
            <w:r>
              <w:rPr>
                <w:rFonts w:ascii="Times New Roman" w:hAnsi="Times New Roman"/>
                <w:color w:val="000000"/>
                <w:sz w:val="20"/>
              </w:rPr>
              <w:t>The following financial information from the Company's Annual Report on Form 10-K for the year ended December 31, 2022, formatted in Inline XBRL (Extensible Business Reporting Language) includes: (i) the Consolidated Statements of Operations, (ii) the Consolidated Statements of Comprehensive Income (Loss), (iii) the Consolidated Balance Sheets, (iv) the Consolidated Statements of Cash Flows, (v) the Consolidated Statements of Stockholders' Equity, and (vi) the Notes to the Consolidated Financial Statements. The instance document does not appear in the interactive data file because its XBRL tags are embedded within the Inline XBRL document. *</w:t>
            </w:r>
          </w:p>
        </w:tc>
        <w:tc>
          <w:tcPr>
            <w:tcW w:w="231" w:type="dxa"/>
            <w:tcBorders>
              <w:bottom w:val="single" w:sz="4" w:space="0" w:color="000000"/>
            </w:tcBorders>
            <w:tcMar>
              <w:top w:w="0" w:type="dxa"/>
              <w:left w:w="0" w:type="dxa"/>
              <w:right w:w="0" w:type="dxa"/>
            </w:tcMar>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pPr>
            <w:r>
              <w:rPr/>
              <w:t> </w:t>
            </w:r>
          </w:p>
        </w:tc>
        <w:tc>
          <w:tcPr>
            <w:tcW w:w="212" w:type="dxa"/>
            <w:tcBorders/>
            <w:vAlign w:val="center"/>
          </w:tcPr>
          <w:p>
            <w:pPr>
              <w:pStyle w:val="TableContents"/>
              <w:bidi w:val="0"/>
              <w:spacing w:before="0" w:after="283"/>
              <w:ind w:left="0" w:right="0" w:firstLine="66"/>
              <w:jc w:val="left"/>
              <w:rPr/>
            </w:pPr>
            <w:r>
              <w:rPr/>
              <w:t> </w:t>
            </w:r>
          </w:p>
        </w:tc>
        <w:tc>
          <w:tcPr>
            <w:tcW w:w="9133" w:type="dxa"/>
            <w:tcBorders/>
            <w:vAlign w:val="center"/>
          </w:tcPr>
          <w:p>
            <w:pPr>
              <w:pStyle w:val="TableContents"/>
              <w:bidi w:val="0"/>
              <w:spacing w:before="0" w:after="283"/>
              <w:ind w:left="0" w:right="0" w:firstLine="40"/>
              <w:jc w:val="both"/>
              <w:rPr/>
            </w:pPr>
            <w:r>
              <w:rPr/>
              <w:t> </w:t>
            </w:r>
          </w:p>
        </w:tc>
        <w:tc>
          <w:tcPr>
            <w:tcW w:w="231" w:type="dxa"/>
            <w:tcBorders/>
            <w:vAlign w:val="center"/>
          </w:tcPr>
          <w:p>
            <w:pPr>
              <w:pStyle w:val="TableContents"/>
              <w:bidi w:val="0"/>
              <w:spacing w:before="0" w:after="283"/>
              <w:ind w:left="40" w:right="0" w:firstLine="40"/>
              <w:jc w:val="left"/>
              <w:rPr/>
            </w:pPr>
            <w:r>
              <w:rPr/>
              <w:t> </w:t>
            </w:r>
          </w:p>
        </w:tc>
      </w:tr>
      <w:tr>
        <w:trPr/>
        <w:tc>
          <w:tcPr>
            <w:tcW w:w="629" w:type="dxa"/>
            <w:tcBorders/>
            <w:vAlign w:val="center"/>
          </w:tcPr>
          <w:p>
            <w:pPr>
              <w:pStyle w:val="TableContents"/>
              <w:bidi w:val="0"/>
              <w:spacing w:before="0" w:after="283"/>
              <w:ind w:left="0" w:right="0" w:firstLine="28"/>
              <w:jc w:val="left"/>
              <w:rPr>
                <w:color w:val="000000"/>
              </w:rPr>
            </w:pPr>
            <w:r>
              <w:rPr>
                <w:color w:val="000000"/>
              </w:rPr>
              <w:t>  </w:t>
            </w:r>
            <w:r>
              <w:rPr>
                <w:rFonts w:ascii="Times New Roman" w:hAnsi="Times New Roman"/>
                <w:color w:val="000000"/>
                <w:sz w:val="20"/>
              </w:rPr>
              <w:t>104</w:t>
            </w:r>
          </w:p>
        </w:tc>
        <w:tc>
          <w:tcPr>
            <w:tcW w:w="212" w:type="dxa"/>
            <w:tcBorders/>
            <w:vAlign w:val="center"/>
          </w:tcPr>
          <w:p>
            <w:pPr>
              <w:pStyle w:val="TableContents"/>
              <w:bidi w:val="0"/>
              <w:spacing w:before="0" w:after="283"/>
              <w:ind w:left="0" w:right="0" w:firstLine="66"/>
              <w:jc w:val="left"/>
              <w:rPr/>
            </w:pPr>
            <w:r>
              <w:rPr/>
              <w:t> </w:t>
            </w:r>
          </w:p>
        </w:tc>
        <w:tc>
          <w:tcPr>
            <w:tcW w:w="9133"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66" w:right="66" w:firstLine="66"/>
              <w:jc w:val="both"/>
              <w:rPr>
                <w:rFonts w:ascii="Times New Roman" w:hAnsi="Times New Roman"/>
                <w:color w:val="000000"/>
                <w:sz w:val="20"/>
              </w:rPr>
            </w:pPr>
            <w:r>
              <w:rPr>
                <w:rFonts w:ascii="Times New Roman" w:hAnsi="Times New Roman"/>
                <w:color w:val="000000"/>
                <w:sz w:val="20"/>
              </w:rPr>
              <w:t>Cover Page Interactive Data Title - the cover page XBRL tags are embedded within the Inline XBRL document. *</w:t>
            </w:r>
          </w:p>
        </w:tc>
        <w:tc>
          <w:tcPr>
            <w:tcW w:w="231" w:type="dxa"/>
            <w:tcBorders>
              <w:top w:val="single" w:sz="5" w:space="0" w:color="000000"/>
            </w:tcBorders>
            <w:tcMar>
              <w:left w:w="0" w:type="dxa"/>
              <w:bottom w:w="0" w:type="dxa"/>
              <w:right w:w="0" w:type="dxa"/>
            </w:tcMar>
            <w:vAlign w:val="center"/>
          </w:tcPr>
          <w:p>
            <w:pPr>
              <w:pStyle w:val="TableContents"/>
              <w:bidi w:val="0"/>
              <w:spacing w:before="0" w:after="283"/>
              <w:ind w:left="40" w:right="0" w:hanging="0"/>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Certain portions of these Exhibits have been omitted in accordance with Regulation S-K Item 601 because they are both (i) not material to investors and (ii) the type of information that the Registrant customarily and actually treats as private or confidential and have been marked with ‘‘[***]’’ to indicate where omissions have been made. The Registrant agrees to furnish supplementally an unredacted copy of the Exhibit to the SEC upon its request.</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contract or agreement as defined in Item 402 (a)(3) of Regulation S-K.</w:t>
      </w:r>
    </w:p>
    <w:p>
      <w:pPr>
        <w:pStyle w:val="TextBody"/>
        <w:bidi w:val="0"/>
        <w:jc w:val="left"/>
        <w:rPr>
          <w:rFonts w:ascii="Times New Roman" w:hAnsi="Times New Roman"/>
          <w:color w:val="000000"/>
          <w:sz w:val="20"/>
        </w:rPr>
      </w:pPr>
      <w:r>
        <w:rPr>
          <w:rFonts w:ascii="Times New Roman" w:hAnsi="Times New Roman"/>
          <w:color w:val="000000"/>
          <w:sz w:val="20"/>
        </w:rPr>
        <w:t>(P) Paper filing</w:t>
      </w:r>
    </w:p>
    <w:p>
      <w:pPr>
        <w:pStyle w:val="TextBody"/>
        <w:bidi w:val="0"/>
        <w:spacing w:before="200" w:after="283"/>
        <w:jc w:val="left"/>
        <w:rPr>
          <w:rFonts w:ascii="Times New Roman" w:hAnsi="Times New Roman"/>
          <w:sz w:val="20"/>
        </w:rPr>
      </w:pPr>
      <w:bookmarkStart w:id="29" w:name="item_16_form_10k_summary"/>
      <w:bookmarkEnd w:id="29"/>
      <w:r>
        <w:rPr>
          <w:rFonts w:ascii="Times New Roman" w:hAnsi="Times New Roman"/>
          <w:b/>
          <w:color w:val="000000"/>
          <w:sz w:val="20"/>
        </w:rPr>
        <w:t xml:space="preserve">Item 16. </w:t>
      </w:r>
      <w:r>
        <w:rPr>
          <w:rFonts w:ascii="Times New Roman" w:hAnsi="Times New Roman"/>
          <w:b/>
          <w:i/>
          <w:color w:val="000000"/>
          <w:sz w:val="20"/>
        </w:rPr>
        <w:t>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2337" w:type="dxa"/>
        <w:jc w:val="left"/>
        <w:tblInd w:w="0" w:type="dxa"/>
        <w:tblLayout w:type="fixed"/>
        <w:tblCellMar>
          <w:top w:w="28" w:type="dxa"/>
          <w:left w:w="28" w:type="dxa"/>
          <w:bottom w:w="28" w:type="dxa"/>
          <w:right w:w="28" w:type="dxa"/>
        </w:tblCellMar>
      </w:tblPr>
      <w:tblGrid>
        <w:gridCol w:w="191"/>
        <w:gridCol w:w="2146"/>
      </w:tblGrid>
      <w:tr>
        <w:trPr/>
        <w:tc>
          <w:tcPr>
            <w:tcW w:w="19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191" w:type="dxa"/>
            <w:tcBorders/>
            <w:vAlign w:val="center"/>
          </w:tcPr>
          <w:p>
            <w:pPr>
              <w:pStyle w:val="TableContents"/>
              <w:bidi w:val="0"/>
              <w:spacing w:before="0" w:after="283"/>
              <w:ind w:left="0" w:right="0" w:firstLine="30"/>
              <w:jc w:val="left"/>
              <w:rPr/>
            </w:pPr>
            <w:r>
              <w:rPr/>
              <w:t> </w:t>
            </w:r>
          </w:p>
        </w:tc>
        <w:tc>
          <w:tcPr>
            <w:tcW w:w="21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THE GEO GROUP, INC.</w:t>
            </w:r>
          </w:p>
        </w:tc>
      </w:tr>
      <w:tr>
        <w:trPr/>
        <w:tc>
          <w:tcPr>
            <w:tcW w:w="191" w:type="dxa"/>
            <w:tcBorders/>
            <w:vAlign w:val="center"/>
          </w:tcPr>
          <w:p>
            <w:pPr>
              <w:pStyle w:val="TableContents"/>
              <w:bidi w:val="0"/>
              <w:spacing w:before="0" w:after="283"/>
              <w:ind w:left="0" w:right="0" w:firstLine="30"/>
              <w:jc w:val="left"/>
              <w:rPr/>
            </w:pPr>
            <w:r>
              <w:rPr/>
              <w:t> </w:t>
            </w:r>
          </w:p>
        </w:tc>
        <w:tc>
          <w:tcPr>
            <w:tcW w:w="214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191" w:type="dxa"/>
            <w:tcBorders/>
            <w:vAlign w:val="center"/>
          </w:tcPr>
          <w:p>
            <w:pPr>
              <w:pStyle w:val="TableContents"/>
              <w:bidi w:val="0"/>
              <w:spacing w:before="0" w:after="283"/>
              <w:ind w:left="0" w:right="0" w:firstLine="30"/>
              <w:jc w:val="left"/>
              <w:rPr/>
            </w:pPr>
            <w:r>
              <w:rPr/>
              <w:t> </w:t>
            </w:r>
          </w:p>
        </w:tc>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BRIAN R. EVANS</w:t>
            </w:r>
          </w:p>
        </w:tc>
      </w:tr>
      <w:tr>
        <w:trPr/>
        <w:tc>
          <w:tcPr>
            <w:tcW w:w="191" w:type="dxa"/>
            <w:tcBorders/>
            <w:vAlign w:val="center"/>
          </w:tcPr>
          <w:p>
            <w:pPr>
              <w:pStyle w:val="TableContents"/>
              <w:bidi w:val="0"/>
              <w:spacing w:before="0" w:after="283"/>
              <w:ind w:left="0" w:right="0" w:firstLine="30"/>
              <w:jc w:val="left"/>
              <w:rPr/>
            </w:pPr>
            <w:r>
              <w:rPr/>
              <w:t> </w:t>
            </w:r>
          </w:p>
        </w:tc>
        <w:tc>
          <w:tcPr>
            <w:tcW w:w="214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Brian R. Evans</w:t>
            </w:r>
          </w:p>
        </w:tc>
      </w:tr>
      <w:tr>
        <w:trPr/>
        <w:tc>
          <w:tcPr>
            <w:tcW w:w="191" w:type="dxa"/>
            <w:tcBorders/>
            <w:vAlign w:val="center"/>
          </w:tcPr>
          <w:p>
            <w:pPr>
              <w:pStyle w:val="TableContents"/>
              <w:bidi w:val="0"/>
              <w:spacing w:before="0" w:after="283"/>
              <w:ind w:left="0" w:right="0" w:firstLine="30"/>
              <w:jc w:val="left"/>
              <w:rPr/>
            </w:pPr>
            <w:r>
              <w:rPr/>
              <w:t> </w:t>
            </w:r>
          </w:p>
        </w:tc>
        <w:tc>
          <w:tcPr>
            <w:tcW w:w="2146" w:type="dxa"/>
            <w:tcBorders/>
            <w:vAlign w:val="center"/>
          </w:tcPr>
          <w:p>
            <w:pPr>
              <w:pStyle w:val="TableContents"/>
              <w:bidi w:val="0"/>
              <w:spacing w:before="0" w:after="283"/>
              <w:ind w:left="30" w:right="0" w:firstLine="30"/>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29,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8485" w:type="dxa"/>
        <w:jc w:val="left"/>
        <w:tblInd w:w="0" w:type="dxa"/>
        <w:tblLayout w:type="fixed"/>
        <w:tblCellMar>
          <w:top w:w="28" w:type="dxa"/>
          <w:left w:w="28" w:type="dxa"/>
          <w:bottom w:w="28" w:type="dxa"/>
          <w:right w:w="28" w:type="dxa"/>
        </w:tblCellMar>
      </w:tblPr>
      <w:tblGrid>
        <w:gridCol w:w="2146"/>
        <w:gridCol w:w="176"/>
        <w:gridCol w:w="4321"/>
        <w:gridCol w:w="176"/>
        <w:gridCol w:w="1666"/>
      </w:tblGrid>
      <w:tr>
        <w:trPr/>
        <w:tc>
          <w:tcPr>
            <w:tcW w:w="2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Signature</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Title</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Date</w:t>
            </w:r>
          </w:p>
        </w:tc>
      </w:tr>
      <w:tr>
        <w:trPr/>
        <w:tc>
          <w:tcPr>
            <w:tcW w:w="2146" w:type="dxa"/>
            <w:tcBorders/>
            <w:vAlign w:val="center"/>
          </w:tcPr>
          <w:p>
            <w:pPr>
              <w:pStyle w:val="TableContents"/>
              <w:bidi w:val="0"/>
              <w:spacing w:before="0" w:after="283"/>
              <w:ind w:left="0" w:right="0" w:firstLine="30"/>
              <w:jc w:val="left"/>
              <w:rPr>
                <w:sz w:val="4"/>
                <w:szCs w:val="4"/>
              </w:rPr>
            </w:pPr>
            <w:r>
              <w:rPr>
                <w:sz w:val="4"/>
                <w:szCs w:val="4"/>
              </w:rPr>
            </w:r>
          </w:p>
        </w:tc>
        <w:tc>
          <w:tcPr>
            <w:tcW w:w="4497" w:type="dxa"/>
            <w:gridSpan w:val="2"/>
            <w:tcBorders/>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George C. Zoley</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 xml:space="preserve">Executive Chairman </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George C. Zoley</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pPr>
            <w:r>
              <w:rPr/>
              <w:t> </w:t>
            </w:r>
          </w:p>
        </w:tc>
        <w:tc>
          <w:tcPr>
            <w:tcW w:w="176" w:type="dxa"/>
            <w:tcBorders/>
            <w:vAlign w:val="center"/>
          </w:tcPr>
          <w:p>
            <w:pPr>
              <w:pStyle w:val="TableContents"/>
              <w:bidi w:val="0"/>
              <w:spacing w:before="0" w:after="283"/>
              <w:ind w:left="0" w:right="0" w:firstLine="30"/>
              <w:jc w:val="left"/>
              <w:rPr/>
            </w:pPr>
            <w:r>
              <w:rPr/>
              <w:t> </w:t>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Brian R. Evans</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ind w:left="30" w:right="0" w:firstLine="3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(principal executive officer)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Brian R. Evans</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pPr>
            <w:r>
              <w:rPr/>
              <w:t> </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vAlign w:val="center"/>
          </w:tcPr>
          <w:p>
            <w:pPr>
              <w:pStyle w:val="TableContents"/>
              <w:bidi w:val="0"/>
              <w:spacing w:before="0" w:after="283"/>
              <w:ind w:left="0" w:right="0" w:firstLine="30"/>
              <w:jc w:val="left"/>
              <w:rPr/>
            </w:pPr>
            <w:r>
              <w:rPr/>
              <w:t> </w:t>
            </w:r>
          </w:p>
        </w:tc>
        <w:tc>
          <w:tcPr>
            <w:tcW w:w="4497" w:type="dxa"/>
            <w:gridSpan w:val="2"/>
            <w:tcBorders/>
            <w:vAlign w:val="center"/>
          </w:tcPr>
          <w:p>
            <w:pPr>
              <w:pStyle w:val="TableContents"/>
              <w:bidi w:val="0"/>
              <w:ind w:left="30" w:right="0" w:firstLine="30"/>
              <w:jc w:val="left"/>
              <w:rPr/>
            </w:pPr>
            <w:r>
              <w:rPr/>
              <w:t> </w:t>
            </w:r>
          </w:p>
          <w:p>
            <w:pPr>
              <w:pStyle w:val="TableContents"/>
              <w:bidi w:val="0"/>
              <w:spacing w:before="0" w:after="283"/>
              <w:ind w:left="0" w:right="0" w:firstLine="30"/>
              <w:jc w:val="left"/>
              <w:rPr/>
            </w:pPr>
            <w:r>
              <w:rPr/>
              <w:t> </w:t>
            </w:r>
          </w:p>
        </w:tc>
        <w:tc>
          <w:tcPr>
            <w:tcW w:w="1842" w:type="dxa"/>
            <w:gridSpan w:val="2"/>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Shayn P. March</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Acting Chief Financial Officer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Shayn P. March</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ind w:left="30" w:right="0" w:firstLine="30"/>
              <w:jc w:val="center"/>
              <w:rPr>
                <w:rFonts w:ascii="Times New Roman" w:hAnsi="Times New Roman"/>
                <w:color w:val="000000"/>
                <w:sz w:val="20"/>
              </w:rPr>
            </w:pPr>
            <w:r>
              <w:rPr>
                <w:rFonts w:ascii="Times New Roman" w:hAnsi="Times New Roman"/>
                <w:color w:val="000000"/>
                <w:sz w:val="20"/>
              </w:rPr>
              <w:t>(principal financial officer)</w:t>
            </w:r>
          </w:p>
          <w:p>
            <w:pPr>
              <w:pStyle w:val="TableContents"/>
              <w:bidi w:val="0"/>
              <w:spacing w:before="0" w:after="283"/>
              <w:ind w:left="0" w:right="0" w:firstLine="30"/>
              <w:jc w:val="center"/>
              <w:rPr/>
            </w:pPr>
            <w:r>
              <w:rPr/>
              <w:t> </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vAlign w:val="center"/>
          </w:tcPr>
          <w:p>
            <w:pPr>
              <w:pStyle w:val="TableContents"/>
              <w:bidi w:val="0"/>
              <w:spacing w:before="0" w:after="283"/>
              <w:ind w:left="0" w:right="0" w:firstLine="30"/>
              <w:jc w:val="left"/>
              <w:rPr>
                <w:sz w:val="4"/>
                <w:szCs w:val="4"/>
              </w:rPr>
            </w:pPr>
            <w:r>
              <w:rPr>
                <w:sz w:val="4"/>
                <w:szCs w:val="4"/>
              </w:rPr>
            </w:r>
          </w:p>
        </w:tc>
        <w:tc>
          <w:tcPr>
            <w:tcW w:w="4497" w:type="dxa"/>
            <w:gridSpan w:val="2"/>
            <w:tcBorders/>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Ronald A. Brack</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Executive Vice President, Chief Accounting Officer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Ronald A. Brack</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ind w:left="30" w:right="0" w:firstLine="30"/>
              <w:jc w:val="center"/>
              <w:rPr>
                <w:rFonts w:ascii="Times New Roman" w:hAnsi="Times New Roman"/>
                <w:color w:val="000000"/>
                <w:sz w:val="20"/>
              </w:rPr>
            </w:pPr>
            <w:r>
              <w:rPr>
                <w:rFonts w:ascii="Times New Roman" w:hAnsi="Times New Roman"/>
                <w:color w:val="000000"/>
                <w:sz w:val="20"/>
              </w:rPr>
              <w:t>and Controller</w:t>
            </w:r>
          </w:p>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(principal accounting officer)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vAlign w:val="center"/>
          </w:tcPr>
          <w:p>
            <w:pPr>
              <w:pStyle w:val="TableContents"/>
              <w:bidi w:val="0"/>
              <w:spacing w:before="0" w:after="283"/>
              <w:ind w:left="0" w:right="0" w:firstLine="30"/>
              <w:jc w:val="left"/>
              <w:rPr>
                <w:sz w:val="4"/>
                <w:szCs w:val="4"/>
              </w:rPr>
            </w:pPr>
            <w:r>
              <w:rPr>
                <w:sz w:val="4"/>
                <w:szCs w:val="4"/>
              </w:rPr>
            </w:r>
          </w:p>
        </w:tc>
        <w:tc>
          <w:tcPr>
            <w:tcW w:w="4497" w:type="dxa"/>
            <w:gridSpan w:val="2"/>
            <w:tcBorders/>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Terry Mayotte</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Lead Independent Director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Terry Mayotte</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vAlign w:val="center"/>
          </w:tcPr>
          <w:p>
            <w:pPr>
              <w:pStyle w:val="TableContents"/>
              <w:bidi w:val="0"/>
              <w:spacing w:before="0" w:after="283"/>
              <w:ind w:left="0" w:right="0" w:firstLine="30"/>
              <w:jc w:val="left"/>
              <w:rPr>
                <w:sz w:val="4"/>
                <w:szCs w:val="4"/>
              </w:rPr>
            </w:pPr>
            <w:r>
              <w:rPr>
                <w:sz w:val="4"/>
                <w:szCs w:val="4"/>
              </w:rPr>
            </w:r>
          </w:p>
        </w:tc>
        <w:tc>
          <w:tcPr>
            <w:tcW w:w="4497" w:type="dxa"/>
            <w:gridSpan w:val="2"/>
            <w:tcBorders/>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Julie M. Wood</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Julie M. Wood</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vAlign w:val="center"/>
          </w:tcPr>
          <w:p>
            <w:pPr>
              <w:pStyle w:val="TableContents"/>
              <w:bidi w:val="0"/>
              <w:spacing w:before="0" w:after="283"/>
              <w:ind w:left="0" w:right="0" w:firstLine="30"/>
              <w:jc w:val="left"/>
              <w:rPr>
                <w:sz w:val="4"/>
                <w:szCs w:val="4"/>
              </w:rPr>
            </w:pPr>
            <w:r>
              <w:rPr>
                <w:sz w:val="4"/>
                <w:szCs w:val="4"/>
              </w:rPr>
            </w:r>
          </w:p>
        </w:tc>
        <w:tc>
          <w:tcPr>
            <w:tcW w:w="4497" w:type="dxa"/>
            <w:gridSpan w:val="2"/>
            <w:tcBorders/>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vAlign w:val="center"/>
          </w:tcPr>
          <w:p>
            <w:pPr>
              <w:pStyle w:val="TableContents"/>
              <w:bidi w:val="0"/>
              <w:spacing w:before="0" w:after="283"/>
              <w:ind w:left="0" w:right="0" w:firstLine="30"/>
              <w:jc w:val="left"/>
              <w:rPr>
                <w:sz w:val="4"/>
                <w:szCs w:val="4"/>
              </w:rPr>
            </w:pPr>
            <w:r>
              <w:rPr>
                <w:sz w:val="4"/>
                <w:szCs w:val="4"/>
              </w:rPr>
            </w:r>
          </w:p>
        </w:tc>
        <w:tc>
          <w:tcPr>
            <w:tcW w:w="4497" w:type="dxa"/>
            <w:gridSpan w:val="2"/>
            <w:tcBorders/>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Lindsay L. Koren</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Lindsay L. Koren</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vAlign w:val="center"/>
          </w:tcPr>
          <w:p>
            <w:pPr>
              <w:pStyle w:val="TableContents"/>
              <w:bidi w:val="0"/>
              <w:spacing w:before="0" w:after="283"/>
              <w:ind w:left="0" w:right="0" w:firstLine="30"/>
              <w:jc w:val="left"/>
              <w:rPr>
                <w:sz w:val="4"/>
                <w:szCs w:val="4"/>
              </w:rPr>
            </w:pPr>
            <w:r>
              <w:rPr>
                <w:sz w:val="4"/>
                <w:szCs w:val="4"/>
              </w:rPr>
            </w:r>
          </w:p>
        </w:tc>
        <w:tc>
          <w:tcPr>
            <w:tcW w:w="4497" w:type="dxa"/>
            <w:gridSpan w:val="2"/>
            <w:tcBorders/>
            <w:vAlign w:val="center"/>
          </w:tcPr>
          <w:p>
            <w:pPr>
              <w:pStyle w:val="TableContents"/>
              <w:bidi w:val="0"/>
              <w:spacing w:before="0" w:after="283"/>
              <w:ind w:left="0" w:right="0" w:firstLine="30"/>
              <w:jc w:val="left"/>
              <w:rPr>
                <w:sz w:val="4"/>
                <w:szCs w:val="4"/>
              </w:rPr>
            </w:pPr>
            <w:r>
              <w:rPr>
                <w:sz w:val="4"/>
                <w:szCs w:val="4"/>
              </w:rPr>
            </w:r>
          </w:p>
        </w:tc>
        <w:tc>
          <w:tcPr>
            <w:tcW w:w="1842" w:type="dxa"/>
            <w:gridSpan w:val="2"/>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Jack Brewer</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Jack Brewer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Dr. Thomas Bartzokis</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Dr. Thomas Bartzokis</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Andrew Shapiro</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Andrew Shapiro</w:t>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4321"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sz w:val="4"/>
                <w:szCs w:val="4"/>
              </w:rPr>
            </w:pPr>
            <w:r>
              <w:rPr>
                <w:sz w:val="4"/>
                <w:szCs w:val="4"/>
              </w:rPr>
            </w:r>
          </w:p>
        </w:tc>
        <w:tc>
          <w:tcPr>
            <w:tcW w:w="166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46" w:type="dxa"/>
            <w:tcBorders/>
            <w:vAlign w:val="center"/>
          </w:tcPr>
          <w:p>
            <w:pPr>
              <w:pStyle w:val="TableContents"/>
              <w:bidi w:val="0"/>
              <w:spacing w:before="0" w:after="283"/>
              <w:ind w:left="0" w:right="0" w:firstLine="30"/>
              <w:jc w:val="center"/>
              <w:rPr/>
            </w:pPr>
            <w:r>
              <w:rPr/>
              <w:t> </w:t>
            </w:r>
          </w:p>
        </w:tc>
        <w:tc>
          <w:tcPr>
            <w:tcW w:w="176" w:type="dxa"/>
            <w:tcBorders/>
            <w:vAlign w:val="center"/>
          </w:tcPr>
          <w:p>
            <w:pPr>
              <w:pStyle w:val="TableContents"/>
              <w:bidi w:val="0"/>
              <w:spacing w:before="0" w:after="283"/>
              <w:ind w:left="0" w:right="0" w:firstLine="30"/>
              <w:jc w:val="left"/>
              <w:rPr/>
            </w:pPr>
            <w:r>
              <w:rPr/>
              <w:t> </w:t>
            </w:r>
          </w:p>
        </w:tc>
        <w:tc>
          <w:tcPr>
            <w:tcW w:w="4321"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1666" w:type="dxa"/>
            <w:tcBorders/>
            <w:vAlign w:val="center"/>
          </w:tcPr>
          <w:p>
            <w:pPr>
              <w:pStyle w:val="TableContents"/>
              <w:bidi w:val="0"/>
              <w:spacing w:before="0" w:after="283"/>
              <w:ind w:left="0" w:right="0" w:firstLine="30"/>
              <w:jc w:val="left"/>
              <w:rPr/>
            </w:pPr>
            <w:r>
              <w:rPr/>
              <w:t> </w:t>
            </w:r>
          </w:p>
        </w:tc>
      </w:tr>
      <w:tr>
        <w:trPr/>
        <w:tc>
          <w:tcPr>
            <w:tcW w:w="214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 Scott M. Kernan</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4321"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Director</w:t>
            </w:r>
          </w:p>
        </w:tc>
        <w:tc>
          <w:tcPr>
            <w:tcW w:w="176" w:type="dxa"/>
            <w:tcBorders/>
            <w:vAlign w:val="center"/>
          </w:tcPr>
          <w:p>
            <w:pPr>
              <w:pStyle w:val="TableContents"/>
              <w:bidi w:val="0"/>
              <w:spacing w:before="0" w:after="283"/>
              <w:ind w:left="0" w:right="0" w:firstLine="30"/>
              <w:jc w:val="left"/>
              <w:rPr/>
            </w:pPr>
            <w:r>
              <w:rPr/>
              <w:t> </w:t>
            </w:r>
          </w:p>
        </w:tc>
        <w:tc>
          <w:tcPr>
            <w:tcW w:w="1666"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February 29, 2024</w:t>
            </w:r>
          </w:p>
        </w:tc>
      </w:tr>
      <w:tr>
        <w:trPr/>
        <w:tc>
          <w:tcPr>
            <w:tcW w:w="2146" w:type="dxa"/>
            <w:tcBorders/>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Scott M. Kernan</w:t>
            </w:r>
          </w:p>
        </w:tc>
        <w:tc>
          <w:tcPr>
            <w:tcW w:w="176" w:type="dxa"/>
            <w:tcBorders/>
            <w:vAlign w:val="center"/>
          </w:tcPr>
          <w:p>
            <w:pPr>
              <w:pStyle w:val="TableContents"/>
              <w:bidi w:val="0"/>
              <w:spacing w:before="0" w:after="283"/>
              <w:ind w:left="0" w:right="0" w:firstLine="30"/>
              <w:jc w:val="left"/>
              <w:rPr/>
            </w:pPr>
            <w:r>
              <w:rPr/>
              <w:t> </w:t>
            </w:r>
          </w:p>
        </w:tc>
        <w:tc>
          <w:tcPr>
            <w:tcW w:w="4321"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1666" w:type="dxa"/>
            <w:tcBorders/>
            <w:vAlign w:val="center"/>
          </w:tcPr>
          <w:p>
            <w:pPr>
              <w:pStyle w:val="TableContents"/>
              <w:bidi w:val="0"/>
              <w:spacing w:before="0" w:after="283"/>
              <w:ind w:left="30" w:right="0" w:firstLine="30"/>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SCHEDULE II</w:t>
      </w:r>
    </w:p>
    <w:p>
      <w:pPr>
        <w:pStyle w:val="TextBody"/>
        <w:bidi w:val="0"/>
        <w:jc w:val="center"/>
        <w:rPr>
          <w:rFonts w:ascii="Times New Roman" w:hAnsi="Times New Roman"/>
          <w:b/>
          <w:color w:val="000000"/>
          <w:sz w:val="20"/>
        </w:rPr>
      </w:pPr>
      <w:r>
        <w:rPr>
          <w:rFonts w:ascii="Times New Roman" w:hAnsi="Times New Roman"/>
          <w:b/>
          <w:color w:val="000000"/>
          <w:sz w:val="20"/>
        </w:rPr>
        <w:t>VALUATION AND QUALIFYING ACCOUNTS</w:t>
      </w:r>
    </w:p>
    <w:p>
      <w:pPr>
        <w:pStyle w:val="TextBody"/>
        <w:bidi w:val="0"/>
        <w:jc w:val="center"/>
        <w:rPr>
          <w:rFonts w:ascii="Times New Roman" w:hAnsi="Times New Roman"/>
          <w:sz w:val="20"/>
        </w:rPr>
      </w:pPr>
      <w:r>
        <w:rPr>
          <w:rFonts w:ascii="Times New Roman" w:hAnsi="Times New Roman"/>
          <w:b/>
          <w:color w:val="000000"/>
          <w:sz w:val="20"/>
        </w:rPr>
        <w:t>For the Years Ended</w:t>
      </w:r>
      <w:r>
        <w:rPr>
          <w:rFonts w:ascii="Times New Roman" w:hAnsi="Times New Roman"/>
          <w:color w:val="000000"/>
          <w:sz w:val="20"/>
        </w:rPr>
        <w:t xml:space="preserve"> </w:t>
      </w:r>
      <w:r>
        <w:rPr>
          <w:rFonts w:ascii="Times New Roman" w:hAnsi="Times New Roman"/>
          <w:b/>
          <w:color w:val="000000"/>
          <w:sz w:val="20"/>
        </w:rPr>
        <w:t>December 31, 2023, 2022 and 2021</w:t>
      </w:r>
    </w:p>
    <w:p>
      <w:pPr>
        <w:pStyle w:val="TextBody"/>
        <w:bidi w:val="0"/>
        <w:jc w:val="center"/>
        <w:rPr/>
      </w:pPr>
      <w:r>
        <w:rPr/>
        <w:t> </w:t>
      </w:r>
    </w:p>
    <w:p>
      <w:pPr>
        <w:pStyle w:val="TextBody"/>
        <w:bidi w:val="0"/>
        <w:jc w:val="center"/>
        <w:rPr/>
      </w:pPr>
      <w:r>
        <w:rPr/>
        <w:t> </w:t>
      </w:r>
    </w:p>
    <w:tbl>
      <w:tblPr>
        <w:tblW w:w="9564" w:type="dxa"/>
        <w:jc w:val="left"/>
        <w:tblInd w:w="0" w:type="dxa"/>
        <w:tblLayout w:type="fixed"/>
        <w:tblCellMar>
          <w:top w:w="28" w:type="dxa"/>
          <w:left w:w="28" w:type="dxa"/>
          <w:bottom w:w="28" w:type="dxa"/>
          <w:right w:w="28" w:type="dxa"/>
        </w:tblCellMar>
      </w:tblPr>
      <w:tblGrid>
        <w:gridCol w:w="3286"/>
        <w:gridCol w:w="146"/>
        <w:gridCol w:w="234"/>
        <w:gridCol w:w="636"/>
        <w:gridCol w:w="146"/>
        <w:gridCol w:w="146"/>
        <w:gridCol w:w="309"/>
        <w:gridCol w:w="621"/>
        <w:gridCol w:w="146"/>
        <w:gridCol w:w="146"/>
        <w:gridCol w:w="211"/>
        <w:gridCol w:w="631"/>
        <w:gridCol w:w="166"/>
        <w:gridCol w:w="146"/>
        <w:gridCol w:w="311"/>
        <w:gridCol w:w="710"/>
        <w:gridCol w:w="166"/>
        <w:gridCol w:w="146"/>
        <w:gridCol w:w="235"/>
        <w:gridCol w:w="635"/>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 to</w:t>
              <w:br/>
              <w:t>Cost and</w:t>
              <w:br/>
              <w:t>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w:t>
              <w:br/>
              <w:t>to Other</w:t>
              <w:br/>
              <w:t>Accounts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br/>
              <w:t>Actual</w:t>
              <w:br/>
              <w:t>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1"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2022:</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3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2021:</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bookmarkStart w:id="31" w:name="geo-ex21_1.htm"/>
      <w:bookmarkStart w:id="32" w:name="ksgeoex21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The GEO Group, Inc.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list of the Company’s subsidiaries as of December 31, 2023 (except for certain subsidiaries that, in the aggregate, would not be a “significant subsidiary” as defined in Rule 1-02 (w) of Regulation S-X). Unless otherwise stated, the Company holds directly or indirectly 100% of the subsidiaries listed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 Incorporated (CO)</w:t>
      </w:r>
    </w:p>
    <w:p>
      <w:pPr>
        <w:pStyle w:val="TextBody"/>
        <w:bidi w:val="0"/>
        <w:jc w:val="left"/>
        <w:rPr>
          <w:rFonts w:ascii="Times New Roman" w:hAnsi="Times New Roman"/>
          <w:color w:val="000000"/>
          <w:sz w:val="20"/>
        </w:rPr>
      </w:pPr>
      <w:r>
        <w:rPr>
          <w:rFonts w:ascii="Times New Roman" w:hAnsi="Times New Roman"/>
          <w:color w:val="000000"/>
          <w:sz w:val="20"/>
        </w:rPr>
        <w:t xml:space="preserve">CPT Operating Partnership L.P. (DE) </w:t>
      </w:r>
    </w:p>
    <w:p>
      <w:pPr>
        <w:pStyle w:val="TextBody"/>
        <w:bidi w:val="0"/>
        <w:jc w:val="left"/>
        <w:rPr>
          <w:rFonts w:ascii="Times New Roman" w:hAnsi="Times New Roman"/>
          <w:color w:val="000000"/>
          <w:sz w:val="20"/>
        </w:rPr>
      </w:pPr>
      <w:r>
        <w:rPr>
          <w:rFonts w:ascii="Times New Roman" w:hAnsi="Times New Roman"/>
          <w:color w:val="000000"/>
          <w:sz w:val="20"/>
        </w:rPr>
        <w:t xml:space="preserve">GEO Corrections Holdings, Inc. (FL) </w:t>
      </w:r>
    </w:p>
    <w:p>
      <w:pPr>
        <w:pStyle w:val="TextBody"/>
        <w:bidi w:val="0"/>
        <w:jc w:val="left"/>
        <w:rPr>
          <w:rFonts w:ascii="Times New Roman" w:hAnsi="Times New Roman"/>
          <w:color w:val="000000"/>
          <w:sz w:val="20"/>
        </w:rPr>
      </w:pPr>
      <w:r>
        <w:rPr>
          <w:rFonts w:ascii="Times New Roman" w:hAnsi="Times New Roman"/>
          <w:color w:val="000000"/>
          <w:sz w:val="20"/>
        </w:rPr>
        <w:t>GEO Reentry Services, LLC (FL)</w:t>
      </w:r>
    </w:p>
    <w:p>
      <w:pPr>
        <w:pStyle w:val="TextBody"/>
        <w:bidi w:val="0"/>
        <w:jc w:val="left"/>
        <w:rPr>
          <w:rFonts w:ascii="Times New Roman" w:hAnsi="Times New Roman"/>
          <w:color w:val="000000"/>
          <w:sz w:val="20"/>
        </w:rPr>
      </w:pPr>
      <w:r>
        <w:rPr>
          <w:rFonts w:ascii="Times New Roman" w:hAnsi="Times New Roman"/>
          <w:color w:val="000000"/>
          <w:sz w:val="20"/>
        </w:rPr>
        <w:t>GEO Secure Services, LLC (FL)</w:t>
      </w:r>
    </w:p>
    <w:p>
      <w:pPr>
        <w:pStyle w:val="TextBody"/>
        <w:bidi w:val="0"/>
        <w:jc w:val="left"/>
        <w:rPr>
          <w:rFonts w:ascii="Times New Roman" w:hAnsi="Times New Roman"/>
          <w:color w:val="000000"/>
          <w:sz w:val="20"/>
        </w:rPr>
      </w:pPr>
      <w:r>
        <w:rPr>
          <w:rFonts w:ascii="Times New Roman" w:hAnsi="Times New Roman"/>
          <w:color w:val="000000"/>
          <w:sz w:val="20"/>
        </w:rPr>
        <w:t>MCF GP, LLC (DE)</w:t>
      </w:r>
    </w:p>
    <w:p>
      <w:pPr>
        <w:pStyle w:val="TextBody"/>
        <w:bidi w:val="0"/>
        <w:jc w:val="left"/>
        <w:rPr>
          <w:rFonts w:ascii="Times New Roman" w:hAnsi="Times New Roman"/>
          <w:color w:val="000000"/>
          <w:sz w:val="20"/>
        </w:rPr>
      </w:pPr>
      <w:r>
        <w:rPr>
          <w:rFonts w:ascii="Times New Roman" w:hAnsi="Times New Roman"/>
          <w:color w:val="000000"/>
          <w:sz w:val="20"/>
        </w:rPr>
        <w:t>The GEO Group Australia Pty. Ltd. (AUS)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Subsidiaries Omitted (76 of which are domestic subsidiaries and 19 of which are foreign subsidiaries)</w:t>
      </w:r>
    </w:p>
    <w:p>
      <w:pPr>
        <w:pStyle w:val="TextBody"/>
        <w:bidi w:val="0"/>
        <w:jc w:val="left"/>
        <w:rPr>
          <w:rFonts w:ascii="Times New Roman" w:hAnsi="Times New Roman"/>
          <w:color w:val="000000"/>
          <w:sz w:val="20"/>
        </w:rPr>
      </w:pPr>
      <w:r>
        <w:rPr>
          <w:rFonts w:ascii="Times New Roman" w:hAnsi="Times New Roman"/>
          <w:color w:val="000000"/>
          <w:sz w:val="20"/>
        </w:rPr>
        <w:t>The omitted subsidiaries considered in the aggregate do not constitute significant subsidiaries individually or in the aggregate.</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geo-ex22_1.htm"/>
      <w:bookmarkStart w:id="34" w:name="ksgeoex22_1"/>
      <w:bookmarkEnd w:id="33"/>
      <w:bookmarkEnd w:id="34"/>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22.1</w:t>
      </w:r>
    </w:p>
    <w:p>
      <w:pPr>
        <w:pStyle w:val="TextBody"/>
        <w:bidi w:val="0"/>
        <w:jc w:val="center"/>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Guarantor Subsidiaries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list of the subsidiary guarantors to the outstanding senior notes issued by The GEO Group, Inc., specifically the 10.500% Public Second Lien Notes, 9.500% Private Second Lien Notes, 6.00% senior notes, and the 5.875% senior notes. Additionally, the following is a list of the subsidiary guarantors to the outstanding 6.50% exchangeable senior notes issued by GEO Corrections Holdings, Inc. The 6.50% exchangeable senior notes are also guaranteed by The GEO Group, Inc.</w:t>
      </w:r>
    </w:p>
    <w:p>
      <w:pPr>
        <w:pStyle w:val="TextBody"/>
        <w:bidi w:val="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ADAPPT,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Arapahoe County Residential Center,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 Incorporated</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Behavioral Acquisition Corp.</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Behavioral Holding Corp.</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 Mobile Breath,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BII Holding Corporation</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BII Holding I Corporation</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 Real Estate Holdings,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CCC Wyoming Properties,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CCMAS,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 Intermediate Holdings,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 Parent Holdings,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 Staffing Solutions,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CiviGenics,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CiviGenics Management Services,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CiviGenics-Texas,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Clearstream Development,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Community Alternatives</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Community Corrections,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Community Education Centers,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Cornell Companies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Cornell Corrections Management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Cornell Corrections of Rhode Island,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Cornell Corrections of Texas,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Correctional Properties Prison Finance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Correctional Properties,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Correctional Services Corporation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Correctional Systems, LLC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CPT Limited Partner,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CPT Operating Partnership L.P.</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Fenton Security,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Acquisition II,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Care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CC3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Secure Services, LLC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Corrections Holdings,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CPM,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Management Services, Inc.</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Holdings I,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283"/>
              <w:jc w:val="left"/>
              <w:rPr>
                <w:sz w:val="4"/>
                <w:szCs w:val="4"/>
              </w:rPr>
            </w:pPr>
            <w:r>
              <w:rPr>
                <w:sz w:val="4"/>
                <w:szCs w:val="4"/>
              </w:rPr>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International Services,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MCF LP,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Leasing,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Operations,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RE Holdings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Reentry of Alaska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Reentry Services,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Reentry,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Transport,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GEO/DEL/R/02,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GEO/DEL/T/02,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Highpoint Investments,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MCF GP,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Minsec Companies,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Minsec Treatment,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Municipal Corrections Finance, L.P.</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Protocol Criminal Justice,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Properties Development and Leasing LLC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 Inc.</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WBP Leasing, LLC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fis_experts_consent"/>
      <w:bookmarkStart w:id="36" w:name="geo-ex23_1.htm"/>
      <w:bookmarkStart w:id="37" w:name="ksgeoex23_1"/>
      <w:bookmarkEnd w:id="35"/>
      <w:bookmarkEnd w:id="36"/>
      <w:bookmarkEnd w:id="37"/>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We have issued our reports dated February 29, 2024, with respect to the consolidated financial statements and internal control over financial reporting included in the Annual Report of The GEO Group, Inc. on Form 10-K for the year ended December 31, 2023. We consent to the incorporation by reference of said reports in the Registration Statements of The GEO Group, Inc. on Form S-3 (File No. 333-275219) and on Forms S-8 (File No. 333-257116, File No. 333-224871, File No. 333-196504, File No. 333-181175, File No. 333-169198, File No.333-09981, and File No. 333-142589).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GRANT THORNTON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Miami, Florida</w:t>
      </w:r>
    </w:p>
    <w:p>
      <w:pPr>
        <w:pStyle w:val="TextBody"/>
        <w:bidi w:val="0"/>
        <w:jc w:val="left"/>
        <w:rPr>
          <w:rFonts w:ascii="Times New Roman" w:hAnsi="Times New Roman"/>
          <w:color w:val="000000"/>
          <w:sz w:val="20"/>
        </w:rPr>
      </w:pPr>
      <w:r>
        <w:rPr>
          <w:rFonts w:ascii="Times New Roman" w:hAnsi="Times New Roman"/>
          <w:color w:val="000000"/>
          <w:sz w:val="20"/>
        </w:rPr>
        <w:t>February 29, 2024</w:t>
      </w:r>
    </w:p>
    <w:p>
      <w:pPr>
        <w:pStyle w:val="HorizontalLine"/>
        <w:pBdr>
          <w:bottom w:val="double" w:sz="2" w:space="0" w:color="808080"/>
        </w:pBdr>
        <w:bidi w:val="0"/>
        <w:spacing w:before="0" w:after="283"/>
        <w:jc w:val="left"/>
        <w:rPr/>
      </w:pPr>
      <w:r>
        <w:rPr/>
      </w:r>
    </w:p>
    <w:p>
      <w:pPr>
        <w:pStyle w:val="TextBody"/>
        <w:bidi w:val="0"/>
        <w:jc w:val="left"/>
        <w:rPr/>
      </w:pPr>
      <w:bookmarkStart w:id="38" w:name="geo-ex31_1.htm"/>
      <w:bookmarkStart w:id="39" w:name="ksgeoex31_1"/>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R. Evans,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The GEO 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98" w:type="dxa"/>
        <w:jc w:val="left"/>
        <w:tblInd w:w="0" w:type="dxa"/>
        <w:tblLayout w:type="fixed"/>
        <w:tblCellMar>
          <w:top w:w="28" w:type="dxa"/>
          <w:left w:w="28" w:type="dxa"/>
          <w:bottom w:w="28" w:type="dxa"/>
          <w:right w:w="28" w:type="dxa"/>
        </w:tblCellMar>
      </w:tblPr>
      <w:tblGrid>
        <w:gridCol w:w="2102"/>
        <w:gridCol w:w="109"/>
        <w:gridCol w:w="2087"/>
      </w:tblGrid>
      <w:tr>
        <w:trPr/>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r>
      <w:tr>
        <w:trPr/>
        <w:tc>
          <w:tcPr>
            <w:tcW w:w="210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Date: February 29, 2024</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087" w:type="dxa"/>
            <w:tcBorders>
              <w:bottom w:val="single" w:sz="5" w:space="0" w:color="000000"/>
            </w:tcBorders>
            <w:tcMar>
              <w:top w:w="0" w:type="dxa"/>
              <w:left w:w="0" w:type="dxa"/>
              <w:right w:w="0" w:type="dxa"/>
            </w:tcMar>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/s/ Brian R. Evans</w:t>
            </w:r>
          </w:p>
        </w:tc>
      </w:tr>
      <w:tr>
        <w:trPr/>
        <w:tc>
          <w:tcPr>
            <w:tcW w:w="210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087"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Brian R. Evans</w:t>
            </w:r>
          </w:p>
        </w:tc>
      </w:tr>
      <w:tr>
        <w:trPr/>
        <w:tc>
          <w:tcPr>
            <w:tcW w:w="210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087"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geo-ex31_2.htm"/>
      <w:bookmarkStart w:id="41" w:name="ksgeoex31_2"/>
      <w:bookmarkEnd w:id="40"/>
      <w:bookmarkEnd w:id="4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GEO GROUP,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Shayn P. March,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The GEO 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38" w:type="dxa"/>
        <w:jc w:val="left"/>
        <w:tblInd w:w="0" w:type="dxa"/>
        <w:tblLayout w:type="fixed"/>
        <w:tblCellMar>
          <w:top w:w="28" w:type="dxa"/>
          <w:left w:w="28" w:type="dxa"/>
          <w:bottom w:w="28" w:type="dxa"/>
          <w:right w:w="28" w:type="dxa"/>
        </w:tblCellMar>
      </w:tblPr>
      <w:tblGrid>
        <w:gridCol w:w="2102"/>
        <w:gridCol w:w="109"/>
        <w:gridCol w:w="2627"/>
      </w:tblGrid>
      <w:tr>
        <w:trPr/>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r>
      <w:tr>
        <w:trPr/>
        <w:tc>
          <w:tcPr>
            <w:tcW w:w="210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Date: February 29, 2024</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627" w:type="dxa"/>
            <w:tcBorders>
              <w:bottom w:val="single" w:sz="5" w:space="0" w:color="000000"/>
            </w:tcBorders>
            <w:tcMar>
              <w:top w:w="0" w:type="dxa"/>
              <w:left w:w="0" w:type="dxa"/>
              <w:right w:w="0" w:type="dxa"/>
            </w:tcMar>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/s/ Shayn P. March</w:t>
            </w:r>
          </w:p>
        </w:tc>
      </w:tr>
      <w:tr>
        <w:trPr/>
        <w:tc>
          <w:tcPr>
            <w:tcW w:w="210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627"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Shayn P. March</w:t>
            </w:r>
          </w:p>
        </w:tc>
      </w:tr>
      <w:tr>
        <w:trPr/>
        <w:tc>
          <w:tcPr>
            <w:tcW w:w="210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627"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Acting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geo-ex32_1.htm"/>
      <w:bookmarkStart w:id="43" w:name="ksgeoex32_1"/>
      <w:bookmarkEnd w:id="42"/>
      <w:bookmarkEnd w:id="4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The GEO Group, Inc. (the “Company”) for the period ended December 31, 2023 as filed with the Securities and Exchange Commission on the date hereof (the “Report”), I, Brian R. Evans, Chief Executive Officer of the Company,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102" w:type="dxa"/>
        <w:jc w:val="left"/>
        <w:tblInd w:w="0" w:type="dxa"/>
        <w:tblLayout w:type="fixed"/>
        <w:tblCellMar>
          <w:top w:w="28" w:type="dxa"/>
          <w:left w:w="28" w:type="dxa"/>
          <w:bottom w:w="28" w:type="dxa"/>
          <w:right w:w="28" w:type="dxa"/>
        </w:tblCellMar>
      </w:tblPr>
      <w:tblGrid>
        <w:gridCol w:w="2102"/>
      </w:tblGrid>
      <w:tr>
        <w:trPr/>
        <w:tc>
          <w:tcPr>
            <w:tcW w:w="2102" w:type="dxa"/>
            <w:tcBorders/>
            <w:vAlign w:val="center"/>
          </w:tcPr>
          <w:p>
            <w:pPr>
              <w:pStyle w:val="TableContents"/>
              <w:bidi w:val="0"/>
              <w:spacing w:before="0" w:after="283"/>
              <w:jc w:val="left"/>
              <w:rPr>
                <w:sz w:val="4"/>
                <w:szCs w:val="4"/>
              </w:rPr>
            </w:pPr>
            <w:r>
              <w:rPr>
                <w:sz w:val="4"/>
                <w:szCs w:val="4"/>
              </w:rPr>
            </w:r>
          </w:p>
        </w:tc>
      </w:tr>
      <w:tr>
        <w:trPr/>
        <w:tc>
          <w:tcPr>
            <w:tcW w:w="2102" w:type="dxa"/>
            <w:tcBorders>
              <w:bottom w:val="single" w:sz="6" w:space="0" w:color="000000"/>
            </w:tcBorders>
            <w:tcMar>
              <w:top w:w="0" w:type="dxa"/>
              <w:left w:w="0" w:type="dxa"/>
              <w:right w:w="0" w:type="dxa"/>
            </w:tcMar>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/s/ Brian R. Evans</w:t>
            </w:r>
          </w:p>
        </w:tc>
      </w:tr>
      <w:tr>
        <w:trPr/>
        <w:tc>
          <w:tcPr>
            <w:tcW w:w="210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Brian R. Evans</w:t>
            </w:r>
          </w:p>
        </w:tc>
      </w:tr>
      <w:tr>
        <w:trPr/>
        <w:tc>
          <w:tcPr>
            <w:tcW w:w="210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29,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geo-ex32_2.htm"/>
      <w:bookmarkStart w:id="45" w:name="ksgeoex32_2"/>
      <w:bookmarkEnd w:id="44"/>
      <w:bookmarkEnd w:id="45"/>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The GEO Group, Inc. (the “Company”) for the period ended December 31, 2023 as filed with the Securities and Exchange Commission on the date hereof (the “Report”), I, Shayn P. March, Acting Chief Financial Officer of the Company,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642" w:type="dxa"/>
        <w:jc w:val="left"/>
        <w:tblInd w:w="0" w:type="dxa"/>
        <w:tblLayout w:type="fixed"/>
        <w:tblCellMar>
          <w:top w:w="28" w:type="dxa"/>
          <w:left w:w="28" w:type="dxa"/>
          <w:bottom w:w="28" w:type="dxa"/>
          <w:right w:w="28" w:type="dxa"/>
        </w:tblCellMar>
      </w:tblPr>
      <w:tblGrid>
        <w:gridCol w:w="2642"/>
      </w:tblGrid>
      <w:tr>
        <w:trPr/>
        <w:tc>
          <w:tcPr>
            <w:tcW w:w="2642" w:type="dxa"/>
            <w:tcBorders/>
            <w:vAlign w:val="center"/>
          </w:tcPr>
          <w:p>
            <w:pPr>
              <w:pStyle w:val="TableContents"/>
              <w:bidi w:val="0"/>
              <w:spacing w:before="0" w:after="283"/>
              <w:jc w:val="left"/>
              <w:rPr>
                <w:sz w:val="4"/>
                <w:szCs w:val="4"/>
              </w:rPr>
            </w:pPr>
            <w:r>
              <w:rPr>
                <w:sz w:val="4"/>
                <w:szCs w:val="4"/>
              </w:rPr>
            </w:r>
          </w:p>
        </w:tc>
      </w:tr>
      <w:tr>
        <w:trPr/>
        <w:tc>
          <w:tcPr>
            <w:tcW w:w="2642" w:type="dxa"/>
            <w:tcBorders>
              <w:bottom w:val="single" w:sz="6" w:space="0" w:color="000000"/>
            </w:tcBorders>
            <w:tcMar>
              <w:top w:w="0" w:type="dxa"/>
              <w:left w:w="0" w:type="dxa"/>
              <w:right w:w="0" w:type="dxa"/>
            </w:tcMar>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/s/ Shayn P. March</w:t>
            </w:r>
          </w:p>
        </w:tc>
      </w:tr>
      <w:tr>
        <w:trPr/>
        <w:tc>
          <w:tcPr>
            <w:tcW w:w="264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Shayn P. March</w:t>
            </w:r>
          </w:p>
        </w:tc>
      </w:tr>
      <w:tr>
        <w:trPr/>
        <w:tc>
          <w:tcPr>
            <w:tcW w:w="264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Acting 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29, 2024</w:t>
      </w:r>
    </w:p>
    <w:p>
      <w:pPr>
        <w:pStyle w:val="HorizontalLine"/>
        <w:pBdr>
          <w:bottom w:val="double" w:sz="2" w:space="0" w:color="808080"/>
        </w:pBdr>
        <w:bidi w:val="0"/>
        <w:spacing w:before="0" w:after="283"/>
        <w:jc w:val="left"/>
        <w:rPr/>
      </w:pPr>
      <w:r>
        <w:rPr/>
      </w:r>
    </w:p>
    <w:p>
      <w:pPr>
        <w:pStyle w:val="TextBody"/>
        <w:bidi w:val="0"/>
        <w:jc w:val="left"/>
        <w:rPr/>
      </w:pPr>
      <w:bookmarkStart w:id="46" w:name="geo-ex97_1.htm"/>
      <w:bookmarkStart w:id="47" w:name="ksgeoex97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jc w:val="center"/>
        <w:rPr>
          <w:rFonts w:ascii="Times New Roman" w:hAnsi="Times New Roman"/>
          <w:b/>
          <w:color w:val="000000"/>
          <w:sz w:val="22"/>
        </w:rPr>
      </w:pPr>
      <w:r>
        <w:rPr>
          <w:rFonts w:ascii="Times New Roman" w:hAnsi="Times New Roman"/>
          <w:b/>
          <w:color w:val="000000"/>
          <w:sz w:val="22"/>
        </w:rPr>
        <w:t>THE GEO GROUP, INC.</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CLAWBACK POLICY</w:t>
      </w:r>
    </w:p>
    <w:p>
      <w:pPr>
        <w:pStyle w:val="TextBody"/>
        <w:bidi w:val="0"/>
        <w:jc w:val="center"/>
        <w:rPr>
          <w:rFonts w:ascii="Times New Roman" w:hAnsi="Times New Roman"/>
          <w:color w:val="000000"/>
          <w:sz w:val="22"/>
        </w:rPr>
      </w:pPr>
      <w:r>
        <w:rPr>
          <w:rFonts w:ascii="Times New Roman" w:hAnsi="Times New Roman"/>
          <w:color w:val="000000"/>
          <w:sz w:val="22"/>
        </w:rPr>
        <w:t>(Effective October 2, 2023)</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 xml:space="preserve">1. </w:t>
      </w:r>
      <w:r>
        <w:rPr>
          <w:rFonts w:ascii="Times New Roman" w:hAnsi="Times New Roman"/>
          <w:b/>
          <w:color w:val="000000"/>
          <w:sz w:val="22"/>
          <w:u w:val="single"/>
        </w:rPr>
        <w:t>Introduction</w:t>
        <w:br/>
      </w:r>
      <w:r>
        <w:rPr>
          <w:rFonts w:ascii="Times New Roman" w:hAnsi="Times New Roman"/>
          <w:color w:val="000000"/>
          <w:sz w:val="20"/>
          <w:u w:val="single"/>
        </w:rPr>
        <w:t> </w:t>
      </w:r>
    </w:p>
    <w:p>
      <w:pPr>
        <w:pStyle w:val="TextBody"/>
        <w:bidi w:val="0"/>
        <w:jc w:val="both"/>
        <w:rPr>
          <w:rFonts w:ascii="Times New Roman" w:hAnsi="Times New Roman"/>
          <w:sz w:val="20"/>
        </w:rPr>
      </w:pPr>
      <w:r>
        <w:rPr>
          <w:rFonts w:ascii="Times New Roman" w:hAnsi="Times New Roman"/>
          <w:b/>
          <w:color w:val="000000"/>
          <w:sz w:val="22"/>
        </w:rPr>
        <w:t>1.1 Introduction</w:t>
      </w:r>
      <w:r>
        <w:rPr>
          <w:rFonts w:ascii="Times New Roman" w:hAnsi="Times New Roman"/>
          <w:color w:val="000000"/>
          <w:sz w:val="22"/>
        </w:rPr>
        <w:t>. This document sets forth The GEO Group, Inc. Clawback Policy (the “</w:t>
      </w:r>
      <w:r>
        <w:rPr>
          <w:rFonts w:ascii="Times New Roman" w:hAnsi="Times New Roman"/>
          <w:color w:val="000000"/>
          <w:sz w:val="22"/>
          <w:u w:val="single"/>
        </w:rPr>
        <w:t>Policy</w:t>
      </w:r>
      <w:r>
        <w:rPr>
          <w:rFonts w:ascii="Times New Roman" w:hAnsi="Times New Roman"/>
          <w:color w:val="000000"/>
          <w:sz w:val="20"/>
        </w:rPr>
        <w:t>”</w:t>
      </w:r>
      <w:r>
        <w:rPr>
          <w:rFonts w:ascii="Times New Roman" w:hAnsi="Times New Roman"/>
          <w:color w:val="000000"/>
          <w:sz w:val="22"/>
        </w:rPr>
        <w:t>), effective October 2, 2023. The Board of Directors (the “</w:t>
      </w:r>
      <w:r>
        <w:rPr>
          <w:rFonts w:ascii="Times New Roman" w:hAnsi="Times New Roman"/>
          <w:color w:val="000000"/>
          <w:sz w:val="22"/>
          <w:u w:val="single"/>
        </w:rPr>
        <w:t>Board</w:t>
      </w:r>
      <w:r>
        <w:rPr>
          <w:rFonts w:ascii="Times New Roman" w:hAnsi="Times New Roman"/>
          <w:color w:val="000000"/>
          <w:sz w:val="20"/>
        </w:rPr>
        <w:t>”</w:t>
      </w:r>
      <w:r>
        <w:rPr>
          <w:rFonts w:ascii="Times New Roman" w:hAnsi="Times New Roman"/>
          <w:color w:val="000000"/>
          <w:sz w:val="22"/>
        </w:rPr>
        <w:t>) of The GEO Group,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has determined that it is in the best interests of the Company and its shareholders to adopt the Policy to provide for the Company's recoupment of Erroneously Awarded Compensation for Covered Executives. This Policy is designed to comply with the applicable rules of The New York Stock Exchange Listed Company Manual (the “</w:t>
      </w:r>
      <w:r>
        <w:rPr>
          <w:rFonts w:ascii="Times New Roman" w:hAnsi="Times New Roman"/>
          <w:color w:val="000000"/>
          <w:sz w:val="22"/>
          <w:u w:val="single"/>
        </w:rPr>
        <w:t>NYSE Rules</w:t>
      </w:r>
      <w:r>
        <w:rPr>
          <w:rFonts w:ascii="Times New Roman" w:hAnsi="Times New Roman"/>
          <w:color w:val="000000"/>
          <w:sz w:val="20"/>
        </w:rPr>
        <w:t>”</w:t>
      </w:r>
      <w:r>
        <w:rPr>
          <w:rFonts w:ascii="Times New Roman" w:hAnsi="Times New Roman"/>
          <w:color w:val="000000"/>
          <w:sz w:val="22"/>
        </w:rPr>
        <w:t>) and with Section 10D and Rule 10D-1 of the Exchange Act (“</w:t>
      </w:r>
      <w:r>
        <w:rPr>
          <w:rFonts w:ascii="Times New Roman" w:hAnsi="Times New Roman"/>
          <w:color w:val="000000"/>
          <w:sz w:val="22"/>
          <w:u w:val="single"/>
        </w:rPr>
        <w:t>Rule 10D-1</w:t>
      </w:r>
      <w:r>
        <w:rPr>
          <w:rFonts w:ascii="Times New Roman" w:hAnsi="Times New Roman"/>
          <w:color w:val="000000"/>
          <w:sz w:val="20"/>
        </w:rPr>
        <w:t>”</w:t>
      </w:r>
      <w:r>
        <w:rPr>
          <w:rFonts w:ascii="Times New Roman" w:hAnsi="Times New Roman"/>
          <w:color w:val="000000"/>
          <w:sz w:val="22"/>
        </w:rPr>
        <w:t xml:space="preserve">). All capitalized terms not defined herein shall have the meanings set forth in </w:t>
      </w:r>
      <w:r>
        <w:rPr>
          <w:rFonts w:ascii="Times New Roman" w:hAnsi="Times New Roman"/>
          <w:color w:val="000000"/>
          <w:sz w:val="22"/>
          <w:u w:val="single"/>
        </w:rPr>
        <w:t>Section 3.4</w:t>
      </w:r>
      <w:r>
        <w:rPr>
          <w:rFonts w:ascii="Times New Roman" w:hAnsi="Times New Roman"/>
          <w:color w:val="000000"/>
          <w:sz w:val="20"/>
        </w:rPr>
        <w:t xml:space="preserve"> </w:t>
      </w:r>
      <w:r>
        <w:rPr>
          <w:rFonts w:ascii="Times New Roman" w:hAnsi="Times New Roman"/>
          <w:color w:val="000000"/>
          <w:sz w:val="22"/>
        </w:rPr>
        <w:t>of this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2. </w:t>
      </w:r>
      <w:r>
        <w:rPr>
          <w:rFonts w:ascii="Times New Roman" w:hAnsi="Times New Roman"/>
          <w:b/>
          <w:color w:val="000000"/>
          <w:sz w:val="22"/>
          <w:u w:val="single"/>
        </w:rPr>
        <w:t>Mandatory Recovery as Required by the SEC and the NYSE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2.1 Recovery of Erroneously Awarded Compensation due to an Accounting Restatement</w:t>
      </w:r>
      <w:r>
        <w:rPr>
          <w:rFonts w:ascii="Times New Roman" w:hAnsi="Times New Roman"/>
          <w:color w:val="000000"/>
          <w:sz w:val="22"/>
        </w:rPr>
        <w:t>.</w:t>
        <w:br/>
      </w:r>
      <w:r>
        <w:rPr>
          <w:rFonts w:ascii="Times New Roman" w:hAnsi="Times New Roman"/>
          <w:color w:val="000000"/>
          <w:sz w:val="20"/>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In the event of an Accounting Restatement, the Board will reasonably promptly recover the Erroneously Awarded Compensation in accordance with the NYSE Rules and Rule 10D-1 as follows: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2"/>
        </w:rPr>
      </w:pPr>
      <w:r>
        <w:rPr>
          <w:rFonts w:ascii="Times New Roman" w:hAnsi="Times New Roman"/>
          <w:color w:val="000000"/>
          <w:sz w:val="22"/>
        </w:rPr>
        <w:t>Upon the occurrence of an Accounting Restatement, the Committee shall determine the amount of any Erroneously Awarded Compensation and shall promptly deliver a written notice to each Covered Executive containing the amount of any Erroneously Awarded Compensation and a demand for repayment or return of such compensation, as applicable. For the avoidance of doubt, recovery of Erroneously Awarded Compensation is on a “no fault” basis, meaning that it will occur regardless of whether the Covered Executive engaged in misconduct or was otherwise directly or indirectly responsible, in whole or in part, for the Accounting Restatement.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To determine the amount of any Erroneously Awarded Compensation for Incentive-based Compensation that is based on a Financial Reporting Measure other than stock price or TSR, after an Accounting Restatement: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The Company shall recalculate the applicable Financial Reporting Measure and the amount of Incentive-based Compensation that would have been Received based on such Financial Reporting Measure;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The Company shall determine whether the Covered Executives Received a greater amount of Incentive-based Compensation than would have been Received applying the recalculated Financial Reporting Measure, based on: (i) the originally calculated Financial Reporting Measure, and (ii) taking into consideration any discretion that the Committee applied to reduce the amount originally received.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To determine the amount of any Erroneously Awarded Compensation for Incentive-based Compensation that is based on stock price or TSR, where the amount of Erroneously Awarded Compensation is not subject to mathematical recalculation directly from the information in the applicable Accounting Restatement: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The amount to be repaid or returned shall be determined by the Committee based on a reasonable estimate of the effect of the Accounting Restatement on the Company’s stock price or TSR upon which the Incentive-based Compensation was Received; and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72714663;4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The Company shall maintain documentation of the determination of such reasonable estimate and provide the relevant documentation as required to the NYSE.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2"/>
        </w:rPr>
      </w:pPr>
      <w:r>
        <w:rPr>
          <w:rFonts w:ascii="Times New Roman" w:hAnsi="Times New Roman"/>
          <w:color w:val="000000"/>
          <w:sz w:val="22"/>
        </w:rPr>
        <w:t>The Committee shall have discretion to determine the appropriate means of recouping Erroneously Awarded Compensation hereunder based on the particular facts and circumstances which may include, without limitation: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requiring reimbursement of cash Incentive-based Compensation previously paid;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seeking recovery of any gain realized on the vesting, exercise, settlement, sale, transfer, or other disposition of any equity-based awards;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offsetting the recouped amount from any compensation otherwise owed by the Company to the Covered Executive;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canceling outstanding vested or unvested equity awards; and/or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rFonts w:ascii="Times New Roman" w:hAnsi="Times New Roman"/>
          <w:color w:val="000000"/>
          <w:sz w:val="22"/>
        </w:rPr>
      </w:pPr>
      <w:r>
        <w:rPr>
          <w:rFonts w:ascii="Times New Roman" w:hAnsi="Times New Roman"/>
          <w:color w:val="000000"/>
          <w:sz w:val="22"/>
        </w:rPr>
        <w:t>taking any other remedial and recovery action permitted by law, as determined by the Committee, in its sole discretion.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(iii)</w:t>
      </w:r>
    </w:p>
    <w:p>
      <w:pPr>
        <w:pStyle w:val="TextBody"/>
        <w:bidi w:val="0"/>
        <w:jc w:val="both"/>
        <w:rPr>
          <w:rFonts w:ascii="Times New Roman" w:hAnsi="Times New Roman"/>
          <w:color w:val="000000"/>
          <w:sz w:val="22"/>
        </w:rPr>
      </w:pPr>
      <w:r>
        <w:rPr>
          <w:rFonts w:ascii="Times New Roman" w:hAnsi="Times New Roman"/>
          <w:color w:val="000000"/>
          <w:sz w:val="22"/>
        </w:rPr>
        <w:t>Notwithstanding the foregoing in Section 2.1(a)(ii), except as set forth in Section 2.1(b) below, in no event may the Company accept an amount that is less than the amount of Erroneously Awarded Compensation in satisfaction of a Covered Executive’s obligations hereunder.</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(iv)</w:t>
      </w:r>
    </w:p>
    <w:p>
      <w:pPr>
        <w:pStyle w:val="TextBody"/>
        <w:bidi w:val="0"/>
        <w:jc w:val="both"/>
        <w:rPr>
          <w:rFonts w:ascii="Times New Roman" w:hAnsi="Times New Roman"/>
          <w:color w:val="000000"/>
          <w:sz w:val="22"/>
        </w:rPr>
      </w:pPr>
      <w:r>
        <w:rPr>
          <w:rFonts w:ascii="Times New Roman" w:hAnsi="Times New Roman"/>
          <w:color w:val="000000"/>
          <w:sz w:val="22"/>
        </w:rPr>
        <w:t>To the extent that a Covered Executive fails to repay all Erroneously Awarded Compensation to the Company when due, the Company shall take all actions reasonable and appropriate to recover such Erroneously Awarded Compensation from the applicable Covered Executive. The applicable Covered Executive shall be required to reimburse the Company for any and all expenses reasonably incurred (including legal fees) by the Company in recovering such Erroneously Awarded Compensation in accordance with the immediately preceding sentence.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Notwithstanding anything herein to the contrary, the Company shall not be required to take the actions contemplated by Section 2.1(a) above if the Committee determines that recovery would be impracticable and any of the following three conditions are met.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2"/>
        </w:rPr>
      </w:pPr>
      <w:r>
        <w:rPr>
          <w:rFonts w:ascii="Times New Roman" w:hAnsi="Times New Roman"/>
          <w:color w:val="000000"/>
          <w:sz w:val="22"/>
        </w:rPr>
        <w:t xml:space="preserve">The Committee has determined that the direct expenses, such as reasonable legal expenses and consulting fees, paid to a third party to assist in enforcing the Policy would exceed the amount to be recovered. In order for the Committee to make this determination, the Company must make a reasonable attempt to recover the Erroneously Awarded Compensation, document such reasonable attempt(s) to recover, and provide such documentation to the NYSE;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2"/>
        </w:rPr>
      </w:pPr>
      <w:r>
        <w:rPr>
          <w:rFonts w:ascii="Times New Roman" w:hAnsi="Times New Roman"/>
          <w:color w:val="000000"/>
          <w:sz w:val="22"/>
        </w:rPr>
        <w:t xml:space="preserve">Recoupment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the NYSE, that recovery would result in such a violation, and must provide such opinion to the NYSE; or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(iii)</w:t>
      </w:r>
    </w:p>
    <w:p>
      <w:pPr>
        <w:pStyle w:val="TextBody"/>
        <w:bidi w:val="0"/>
        <w:jc w:val="both"/>
        <w:rPr>
          <w:rFonts w:ascii="Times New Roman" w:hAnsi="Times New Roman"/>
          <w:color w:val="000000"/>
          <w:sz w:val="22"/>
        </w:rPr>
      </w:pPr>
      <w:r>
        <w:rPr>
          <w:rFonts w:ascii="Times New Roman" w:hAnsi="Times New Roman"/>
          <w:color w:val="000000"/>
          <w:sz w:val="22"/>
        </w:rPr>
        <w:t>Recovery would likely cause an otherwise tax-qualified retirement plan, under which benefits are broadly available to employees of the Company, to fail to meet the requirements of Section 401(a)(13) or Section 411(a) of the Code.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2.2 Mandatory Disclosure</w:t>
      </w:r>
      <w:r>
        <w:rPr>
          <w:rFonts w:ascii="Times New Roman" w:hAnsi="Times New Roman"/>
          <w:color w:val="000000"/>
          <w:sz w:val="22"/>
        </w:rPr>
        <w:t>. The Company shall file this Policy with the SEC and, in the event of an Accounting Restatement, will disclose information related to such Accounting Restatement in accordance with applicable law, including, for the avoidance of doubt, Rule 10D-1 and the NYSE Rules.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72714663;4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2.3 Prohibition of Indemnification</w:t>
      </w:r>
      <w:r>
        <w:rPr>
          <w:rFonts w:ascii="Times New Roman" w:hAnsi="Times New Roman"/>
          <w:color w:val="000000"/>
          <w:sz w:val="22"/>
        </w:rPr>
        <w:t>. The Company shall not be permitted to insure or indemnify any Covered Executive against the loss of any Erroneously Awarded Compensation that is repaid, returned, or recovered pursuant to the terms of this Policy. While Covered Executives subject to this Policy may purchase insurance to cover their potential recovery obligations, the Company shall not be permitted to pay or reimburse the Covered Executive for premiums for such an insurance policy. Further, the Company shall not enter into any agreement that exempts any Incentive-based Compensation that is granted, paid, or awarded to a Covered Executive from the application of this Policy or that waives the Company’s right to recovery of any Erroneously Awarded Compensation, and this Policy shall supersede any such agreement (whether entered into before, on, or after the Effective Date of this Policy), including, for the avoidance of doubt, any indemnification agreement entered into between the Company and any Covered Executive.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2.4 Other Recoupment Rights</w:t>
      </w:r>
      <w:r>
        <w:rPr>
          <w:rFonts w:ascii="Times New Roman" w:hAnsi="Times New Roman"/>
          <w:color w:val="000000"/>
          <w:sz w:val="22"/>
        </w:rPr>
        <w:t>. This Policy shall be binding and enforceable against all Covered Executives and, to the extent required by applicable law or guidance from the SEC or NYSE, their beneficiaries, heirs, executors, administrators, or other legal representatives. The Administrator intends that this Policy will be applied to the fullest extent required by applicable law. Any employment agreement, equity award agreement, compensatory plan, or any other agreement or arrangement with a Covered Executive shall be deemed to include, as a condition to the grant of any benefit thereunder, an agreement by the Covered Executive to abide by the terms of this Policy. Any right of recovery under this Policy is in addition to, and not in lieu of, any other remedies or rights of recovery that may be available to the Company under applicable law, regulation, or rule pursuant to the terms of any policy of the Company or any provision in any employment agreement, equity award agreement, compensatory plan, agreement, or other arrangement.</w:t>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2"/>
        </w:rPr>
        <w:t xml:space="preserve">3. </w:t>
      </w:r>
      <w:r>
        <w:rPr>
          <w:rFonts w:ascii="Times New Roman" w:hAnsi="Times New Roman"/>
          <w:b/>
          <w:color w:val="000000"/>
          <w:sz w:val="22"/>
          <w:u w:val="single"/>
        </w:rPr>
        <w:t>Miscellaneous and Definitions</w:t>
      </w:r>
    </w:p>
    <w:p>
      <w:pPr>
        <w:pStyle w:val="TextBody"/>
        <w:bidi w:val="0"/>
        <w:jc w:val="both"/>
        <w:rPr>
          <w:rFonts w:ascii="Times New Roman" w:hAnsi="Times New Roman"/>
          <w:sz w:val="20"/>
        </w:rPr>
      </w:pPr>
      <w:r>
        <w:rPr>
          <w:rFonts w:ascii="Times New Roman" w:hAnsi="Times New Roman"/>
          <w:b/>
          <w:color w:val="000000"/>
          <w:sz w:val="22"/>
        </w:rPr>
        <w:t>3.1 Administration and Interpretation</w:t>
      </w:r>
      <w:r>
        <w:rPr>
          <w:rFonts w:ascii="Times New Roman" w:hAnsi="Times New Roman"/>
          <w:color w:val="000000"/>
          <w:sz w:val="22"/>
        </w:rPr>
        <w:t>. This Policy shall be administered by the Committee or by the Board acting as the Committee (either of these, as applicable, the “</w:t>
      </w:r>
      <w:r>
        <w:rPr>
          <w:rFonts w:ascii="Times New Roman" w:hAnsi="Times New Roman"/>
          <w:color w:val="000000"/>
          <w:sz w:val="22"/>
          <w:u w:val="single"/>
        </w:rPr>
        <w:t>Administrator</w:t>
      </w:r>
      <w:r>
        <w:rPr>
          <w:rFonts w:ascii="Times New Roman" w:hAnsi="Times New Roman"/>
          <w:color w:val="000000"/>
          <w:sz w:val="20"/>
        </w:rPr>
        <w:t>”</w:t>
      </w:r>
      <w:r>
        <w:rPr>
          <w:rFonts w:ascii="Times New Roman" w:hAnsi="Times New Roman"/>
          <w:color w:val="000000"/>
          <w:sz w:val="22"/>
        </w:rPr>
        <w:t>), which shall have authority to (i) exercise all of the powers granted to it under the Policy, (ii) construe, interpret, and implement this Policy, (iii) make all determinations necessary or advisable in administering this Policy and for the Company’s compliance with NYSE Rules, Section 10D and Rule 10D-1, and any other applicable law, regulation, rule, or interpretation of the SEC or NYSE Rules promulgated or issued in connection therewith, and (iv) amend this Policy, including to reflect changes in applicable law or stock exchange regulation. Any determinations made by the Administrator shall be final and binding on all affected individuals.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3.2 Amendment; Termination</w:t>
      </w:r>
      <w:r>
        <w:rPr>
          <w:rFonts w:ascii="Times New Roman" w:hAnsi="Times New Roman"/>
          <w:color w:val="000000"/>
          <w:sz w:val="22"/>
        </w:rPr>
        <w:t xml:space="preserve">. The Administrator may amend this Policy from time to time in its discretion and shall amend this Policy as it deems necessary. Notwithstanding anything in this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 10D-1, or any NYSE Rules.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3.3 No Impairment of Other Remedies. </w:t>
      </w:r>
      <w:r>
        <w:rPr>
          <w:rFonts w:ascii="Times New Roman" w:hAnsi="Times New Roman"/>
          <w:color w:val="000000"/>
          <w:sz w:val="22"/>
        </w:rPr>
        <w:t>This Policy does not preclude the Company from taking any other action to enforce a Covered Executive’s obligations to the Company or limit any other remedies that the Company may have available to it and any other actions that the Company may take, including termination of employment, institution of civil proceedings, or reporting of any misconduct to appropriate government authorities.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3.4 Definitions</w:t>
      </w:r>
      <w:r>
        <w:rPr>
          <w:rFonts w:ascii="Times New Roman" w:hAnsi="Times New Roman"/>
          <w:color w:val="000000"/>
          <w:sz w:val="22"/>
        </w:rPr>
        <w:t>. For purposes of this Policy, the following terms shall have the following meanings: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color w:val="000000"/>
        </w:rPr>
      </w:pPr>
      <w:r>
        <w:rPr>
          <w:color w:val="000000"/>
        </w:rPr>
        <w:t>“</w:t>
      </w:r>
      <w:r>
        <w:rPr>
          <w:rFonts w:ascii="Times New Roman" w:hAnsi="Times New Roman"/>
          <w:color w:val="000000"/>
          <w:sz w:val="22"/>
        </w:rPr>
        <w:t xml:space="preserve">Accounting Restatement” means an accounting restatement of any of the Company's financial statements filed with the SEC under the Exchange Act or the Securities Act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corrects an error that is not material to previously issued financial statements but would result in a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72714663;4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material misstatement if the error were corrected in the current period or left uncorrected in the current period (a “little R” restatement).</w:t>
      </w:r>
      <w:r>
        <w:rPr>
          <w:color w:val="00000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color w:val="000000"/>
        </w:rPr>
      </w:pPr>
      <w:r>
        <w:rPr>
          <w:color w:val="000000"/>
        </w:rPr>
        <w:t>“</w:t>
      </w:r>
      <w:r>
        <w:rPr>
          <w:rFonts w:ascii="Times New Roman" w:hAnsi="Times New Roman"/>
          <w:color w:val="000000"/>
          <w:sz w:val="22"/>
        </w:rPr>
        <w:t>Adoption Date” means October 26, 2023.</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color w:val="000000"/>
        </w:rPr>
      </w:pPr>
      <w:r>
        <w:rPr>
          <w:color w:val="000000"/>
        </w:rPr>
        <w:t>“</w:t>
      </w:r>
      <w:r>
        <w:rPr>
          <w:rFonts w:ascii="Times New Roman" w:hAnsi="Times New Roman"/>
          <w:color w:val="000000"/>
          <w:sz w:val="22"/>
        </w:rPr>
        <w:t xml:space="preserve">Board” means the Board of Directors of the Company.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color w:val="000000"/>
        </w:rPr>
      </w:pPr>
      <w:r>
        <w:rPr>
          <w:color w:val="000000"/>
        </w:rPr>
        <w:t>“</w:t>
      </w:r>
      <w:r>
        <w:rPr>
          <w:rFonts w:ascii="Times New Roman" w:hAnsi="Times New Roman"/>
          <w:color w:val="000000"/>
          <w:sz w:val="22"/>
        </w:rPr>
        <w:t>Clawback Eligible Incentive Compensation” means all Incentive-based Compensation Received by a Covered Executive (i) on or after the Effective Date, (ii) after beginning service as a Covered Executive, (iii) who served as a Covered Executive at any time during the applicable performance period relating to any Incentive-based Compensation (whether or not such Covered Executive is serving at the time any Erroneously Awarded Compensation is required to be repaid to the Company), (iv) while the Company has a class of securities listed on a national securities exchange or a national securities association, and (v) during the applicable Clawback Period.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color w:val="000000"/>
        </w:rPr>
      </w:pPr>
      <w:r>
        <w:rPr>
          <w:color w:val="000000"/>
        </w:rPr>
        <w:t>“</w:t>
      </w:r>
      <w:r>
        <w:rPr>
          <w:rFonts w:ascii="Times New Roman" w:hAnsi="Times New Roman"/>
          <w:color w:val="000000"/>
          <w:sz w:val="22"/>
        </w:rPr>
        <w:t>Clawback Period” means, with respect to any Accounting Restatement, the three completed fiscal years of the Company immediately preceding the Restatement Date and if the Company changes its fiscal year, any transition period of less than nine months within or immediately following those three completed fiscal years.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color w:val="000000"/>
        </w:rPr>
      </w:pPr>
      <w:r>
        <w:rPr>
          <w:color w:val="000000"/>
        </w:rPr>
        <w:t>“</w:t>
      </w:r>
      <w:r>
        <w:rPr>
          <w:rFonts w:ascii="Times New Roman" w:hAnsi="Times New Roman"/>
          <w:color w:val="000000"/>
          <w:sz w:val="22"/>
        </w:rPr>
        <w:t>Code” means the Internal Revenue Code of 1986, as amended, and regulations thereunder.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jc w:val="both"/>
        <w:rPr>
          <w:color w:val="000000"/>
        </w:rPr>
      </w:pPr>
      <w:r>
        <w:rPr>
          <w:color w:val="000000"/>
        </w:rPr>
        <w:t>“</w:t>
      </w:r>
      <w:r>
        <w:rPr>
          <w:rFonts w:ascii="Times New Roman" w:hAnsi="Times New Roman"/>
          <w:color w:val="000000"/>
          <w:sz w:val="22"/>
        </w:rPr>
        <w:t>Committee” means the Compensation Committee of the Board of Directors of the Company, which is required to be composed entirely of independent directors.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jc w:val="both"/>
        <w:rPr>
          <w:color w:val="000000"/>
        </w:rPr>
      </w:pPr>
      <w:r>
        <w:rPr>
          <w:color w:val="000000"/>
        </w:rPr>
        <w:t>“</w:t>
      </w:r>
      <w:r>
        <w:rPr>
          <w:rFonts w:ascii="Times New Roman" w:hAnsi="Times New Roman"/>
          <w:color w:val="000000"/>
          <w:sz w:val="22"/>
        </w:rPr>
        <w:t>Covered Executive” means any current or former executive officer of the Company as determined by the Board in accordance with the definition of "executive officer" set forth in Rule 10D-1.</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color w:val="000000"/>
        </w:rPr>
      </w:pPr>
      <w:r>
        <w:rPr>
          <w:color w:val="000000"/>
        </w:rPr>
        <w:t>“</w:t>
      </w:r>
      <w:r>
        <w:rPr>
          <w:rFonts w:ascii="Times New Roman" w:hAnsi="Times New Roman"/>
          <w:color w:val="000000"/>
          <w:sz w:val="22"/>
        </w:rPr>
        <w:t>Effective Date” means October 2, 2023.</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(j)</w:t>
      </w:r>
    </w:p>
    <w:p>
      <w:pPr>
        <w:pStyle w:val="TextBody"/>
        <w:bidi w:val="0"/>
        <w:jc w:val="both"/>
        <w:rPr>
          <w:color w:val="000000"/>
        </w:rPr>
      </w:pPr>
      <w:r>
        <w:rPr>
          <w:color w:val="000000"/>
        </w:rPr>
        <w:t>“</w:t>
      </w:r>
      <w:r>
        <w:rPr>
          <w:rFonts w:ascii="Times New Roman" w:hAnsi="Times New Roman"/>
          <w:color w:val="000000"/>
          <w:sz w:val="22"/>
        </w:rPr>
        <w:t xml:space="preserve">Erroneously Awarded Compensation” means, with respect to each Covered Executive in connection with an Accounting Restatement, the amount of Clawback Eligible Incentive Compensation that exceeds the amount of Incentive-based Compensation that would have been Received had it been determined based on the restated amounts in the Accounting Restatement, computed without regard to any taxes paid.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(k)</w:t>
      </w:r>
    </w:p>
    <w:p>
      <w:pPr>
        <w:pStyle w:val="TextBody"/>
        <w:bidi w:val="0"/>
        <w:jc w:val="both"/>
        <w:rPr>
          <w:color w:val="000000"/>
        </w:rPr>
      </w:pPr>
      <w:r>
        <w:rPr>
          <w:color w:val="000000"/>
        </w:rPr>
        <w:t>“</w:t>
      </w:r>
      <w:r>
        <w:rPr>
          <w:rFonts w:ascii="Times New Roman" w:hAnsi="Times New Roman"/>
          <w:color w:val="000000"/>
          <w:sz w:val="22"/>
        </w:rPr>
        <w:t>Exchange Act” means the Securities Exchange Act of 1934, as amended.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(l)</w:t>
      </w:r>
    </w:p>
    <w:p>
      <w:pPr>
        <w:pStyle w:val="TextBody"/>
        <w:bidi w:val="0"/>
        <w:jc w:val="both"/>
        <w:rPr>
          <w:color w:val="000000"/>
        </w:rPr>
      </w:pPr>
      <w:r>
        <w:rPr>
          <w:color w:val="000000"/>
        </w:rPr>
        <w:t>“</w:t>
      </w:r>
      <w:r>
        <w:rPr>
          <w:rFonts w:ascii="Times New Roman" w:hAnsi="Times New Roman"/>
          <w:color w:val="000000"/>
          <w:sz w:val="22"/>
        </w:rPr>
        <w:t>Financial Reporting Measures” means measures that are determined and presented in accordance with the accounting principles used in preparing the Company’s financial statements, and all other measures that are derived wholly or in part from such measures. Stock price and TSR (and any measures that are derived wholly or in part from stock price or TSR)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w:t>
      </w:r>
    </w:p>
    <w:p>
      <w:pPr>
        <w:pStyle w:val="TextBody"/>
        <w:bidi w:val="0"/>
        <w:jc w:val="both"/>
        <w:rPr>
          <w:color w:val="000000"/>
        </w:rPr>
      </w:pPr>
      <w:r>
        <w:rPr>
          <w:color w:val="000000"/>
        </w:rPr>
        <w:t>“</w:t>
      </w:r>
      <w:r>
        <w:rPr>
          <w:rFonts w:ascii="Times New Roman" w:hAnsi="Times New Roman"/>
          <w:color w:val="000000"/>
          <w:sz w:val="22"/>
        </w:rPr>
        <w:t xml:space="preserve">Incentive-based Compensation” means any compensation that is granted, earned, or vested based wholly or in part upon the attainment of a Financial Reporting Measure.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w:t>
      </w:r>
    </w:p>
    <w:p>
      <w:pPr>
        <w:pStyle w:val="TextBody"/>
        <w:bidi w:val="0"/>
        <w:jc w:val="both"/>
        <w:rPr>
          <w:color w:val="000000"/>
        </w:rPr>
      </w:pPr>
      <w:r>
        <w:rPr>
          <w:color w:val="000000"/>
        </w:rPr>
        <w:t>“</w:t>
      </w:r>
      <w:r>
        <w:rPr>
          <w:rFonts w:ascii="Times New Roman" w:hAnsi="Times New Roman"/>
          <w:color w:val="000000"/>
          <w:sz w:val="22"/>
        </w:rPr>
        <w:t>NYSE” means the New York Stock Exchange.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color w:val="000000"/>
        </w:rPr>
      </w:pPr>
      <w:r>
        <w:rPr>
          <w:color w:val="000000"/>
        </w:rPr>
        <w:t>“</w:t>
      </w:r>
      <w:r>
        <w:rPr>
          <w:rFonts w:ascii="Times New Roman" w:hAnsi="Times New Roman"/>
          <w:color w:val="000000"/>
          <w:sz w:val="22"/>
        </w:rPr>
        <w:t xml:space="preserve">Received”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Covered Executive occurs after the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72714663;4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end of that period. For the avoidance of doubt, Incentive-based Compensation shall only be treated as Received during one (and only one) fiscal year, even if such Incentive-based Compensation is deemed received in one fiscal year and actually received in a later fiscal year. For example, if an amount is deemed received in 2024, but actually received in 2025, such amount shall be treated as Received under this definition only in 2024.</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w:t>
      </w:r>
    </w:p>
    <w:p>
      <w:pPr>
        <w:pStyle w:val="TextBody"/>
        <w:bidi w:val="0"/>
        <w:jc w:val="both"/>
        <w:rPr>
          <w:color w:val="000000"/>
        </w:rPr>
      </w:pPr>
      <w:r>
        <w:rPr>
          <w:color w:val="000000"/>
        </w:rPr>
        <w:t>“</w:t>
      </w:r>
      <w:r>
        <w:rPr>
          <w:rFonts w:ascii="Times New Roman" w:hAnsi="Times New Roman"/>
          <w:color w:val="000000"/>
          <w:sz w:val="22"/>
        </w:rPr>
        <w:t>Restatement Date” means the earlier to occur of (i) the date the Board, a committee of the Board, or officers of the Company authorized to take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(q)</w:t>
      </w:r>
    </w:p>
    <w:p>
      <w:pPr>
        <w:pStyle w:val="TextBody"/>
        <w:bidi w:val="0"/>
        <w:jc w:val="both"/>
        <w:rPr>
          <w:color w:val="000000"/>
        </w:rPr>
      </w:pPr>
      <w:r>
        <w:rPr>
          <w:color w:val="000000"/>
        </w:rPr>
        <w:t>“</w:t>
      </w:r>
      <w:r>
        <w:rPr>
          <w:rFonts w:ascii="Times New Roman" w:hAnsi="Times New Roman"/>
          <w:color w:val="000000"/>
          <w:sz w:val="22"/>
        </w:rPr>
        <w:t xml:space="preserve">SEC” means the U.S. Securities and Exchange Commission.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w:t>
      </w:r>
    </w:p>
    <w:p>
      <w:pPr>
        <w:pStyle w:val="TextBody"/>
        <w:bidi w:val="0"/>
        <w:jc w:val="both"/>
        <w:rPr>
          <w:color w:val="000000"/>
        </w:rPr>
      </w:pPr>
      <w:r>
        <w:rPr>
          <w:color w:val="000000"/>
        </w:rPr>
        <w:t>“</w:t>
      </w:r>
      <w:r>
        <w:rPr>
          <w:rFonts w:ascii="Times New Roman" w:hAnsi="Times New Roman"/>
          <w:color w:val="000000"/>
          <w:sz w:val="22"/>
        </w:rPr>
        <w:t xml:space="preserve">Securities Act” means the U.S. Securities Act of 1933, as amended.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w:t>
      </w:r>
    </w:p>
    <w:p>
      <w:pPr>
        <w:pStyle w:val="TextBody"/>
        <w:bidi w:val="0"/>
        <w:jc w:val="both"/>
        <w:rPr>
          <w:color w:val="000000"/>
        </w:rPr>
      </w:pPr>
      <w:r>
        <w:rPr>
          <w:color w:val="000000"/>
        </w:rPr>
        <w:t>“</w:t>
      </w:r>
      <w:r>
        <w:rPr>
          <w:rFonts w:ascii="Times New Roman" w:hAnsi="Times New Roman"/>
          <w:color w:val="000000"/>
          <w:sz w:val="22"/>
        </w:rPr>
        <w:t>TSR” means total shareholder return.</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72714663;4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ATTESTATION AND ACKNOWLEDGEMENT OF CLAWBACK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my signature below, I acknowledge and agree that:</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I have received and read the attached Clawback Policy (this “Policy”).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I am a Covered Executive, subject to the terms of the Policy.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I hereby agree to abide by all of the terms of this Policy both during and after my employment with The GEO Group, Inc. (the “Company”), including, without limitation, by promptly repaying or returning any Erroneously Awarded Compensation to the Company as determined in accordance with this Policy.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_______________________</w:t>
      </w:r>
    </w:p>
    <w:p>
      <w:pPr>
        <w:pStyle w:val="TextBody"/>
        <w:bidi w:val="0"/>
        <w:jc w:val="left"/>
        <w:rPr>
          <w:rFonts w:ascii="Times New Roman" w:hAnsi="Times New Roman"/>
          <w:color w:val="000000"/>
          <w:sz w:val="22"/>
        </w:rPr>
      </w:pPr>
      <w:r>
        <w:rPr>
          <w:rFonts w:ascii="Times New Roman" w:hAnsi="Times New Roman"/>
          <w:color w:val="000000"/>
          <w:sz w:val="22"/>
        </w:rPr>
        <w:t>Date: ________________________</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72714663;4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23796/000119312523305223/d669399dex11.htm" TargetMode="External"/><Relationship Id="rId4" Type="http://schemas.openxmlformats.org/officeDocument/2006/relationships/hyperlink" Target="https://www.sec.gov/Archives/edgar/data/923796/000119312514254491/d750635dex31.htm" TargetMode="External"/><Relationship Id="rId5" Type="http://schemas.openxmlformats.org/officeDocument/2006/relationships/hyperlink" Target="https://www.sec.gov/Archives/edgar/data/923796/000119312514254491/d750635dex32.htm" TargetMode="External"/><Relationship Id="rId6" Type="http://schemas.openxmlformats.org/officeDocument/2006/relationships/hyperlink" Target="https://www.sec.gov/Archives/edgar/data/923796/000119312517137344/d384798dex31.htm" TargetMode="External"/><Relationship Id="rId7" Type="http://schemas.openxmlformats.org/officeDocument/2006/relationships/hyperlink" Target="https://www.sec.gov/Archives/edgar/data/0000923796/000119312521195250/d192125dex31.htm" TargetMode="External"/><Relationship Id="rId8" Type="http://schemas.openxmlformats.org/officeDocument/2006/relationships/hyperlink" Target="https://www.sec.gov/Archives/edgar/data/0000923796/000119312522019826/d305099dex31.htm" TargetMode="External"/><Relationship Id="rId9" Type="http://schemas.openxmlformats.org/officeDocument/2006/relationships/hyperlink" Target="https://www.sec.gov/Archives/edgar/data/0000923796/000119312522045923/d106900dex31.htm" TargetMode="External"/><Relationship Id="rId10" Type="http://schemas.openxmlformats.org/officeDocument/2006/relationships/hyperlink" Target="https://www.sec.gov/Archives/edgar/data/923796/000119312522313783/d398856dex31.htm" TargetMode="External"/><Relationship Id="rId11" Type="http://schemas.openxmlformats.org/officeDocument/2006/relationships/hyperlink" Target="https://www.sec.gov/Archives/edgar/data/923796/000119312524037639/d763000dex31.htm" TargetMode="External"/><Relationship Id="rId12" Type="http://schemas.openxmlformats.org/officeDocument/2006/relationships/hyperlink" Target="https://www.sec.gov/Archives/edgar/data/923796/000119312514360857/d795633dex41.htm" TargetMode="External"/><Relationship Id="rId13" Type="http://schemas.openxmlformats.org/officeDocument/2006/relationships/hyperlink" Target="https://www.sec.gov/Archives/edgar/data/923796/000119312514360857/d795633dex42.htm" TargetMode="External"/><Relationship Id="rId14" Type="http://schemas.openxmlformats.org/officeDocument/2006/relationships/hyperlink" Target="https://www.sec.gov/Archives/edgar/data/923796/000119312514360857/d795633dex42.htm" TargetMode="External"/><Relationship Id="rId15" Type="http://schemas.openxmlformats.org/officeDocument/2006/relationships/hyperlink" Target="https://www.sec.gov/Archives/edgar/data/923796/000119312516545008/d172173dex41.htm" TargetMode="External"/><Relationship Id="rId16" Type="http://schemas.openxmlformats.org/officeDocument/2006/relationships/hyperlink" Target="https://www.sec.gov/Archives/edgar/data/923796/000119312516545008/d172173dex41.htm" TargetMode="External"/><Relationship Id="rId17" Type="http://schemas.openxmlformats.org/officeDocument/2006/relationships/hyperlink" Target="https://www.sec.gov/Archives/edgar/data/0000923796/000119312521065641/d85561dex41.htm" TargetMode="External"/><Relationship Id="rId18" Type="http://schemas.openxmlformats.org/officeDocument/2006/relationships/hyperlink" Target="https://www.sec.gov/Archives/edgar/data/0000923796/000119312521065641/d85561dex41.htm" TargetMode="External"/><Relationship Id="rId19" Type="http://schemas.openxmlformats.org/officeDocument/2006/relationships/hyperlink" Target="https://www.sec.gov/Archives/edgar/data/923796/000119312522230195/d392591dex41.htm" TargetMode="External"/><Relationship Id="rId20" Type="http://schemas.openxmlformats.org/officeDocument/2006/relationships/hyperlink" Target="https://www.sec.gov/Archives/edgar/data/923796/000119312522230195/d392591dex41.htm" TargetMode="External"/><Relationship Id="rId21" Type="http://schemas.openxmlformats.org/officeDocument/2006/relationships/hyperlink" Target="https://www.sec.gov/Archives/edgar/data/923796/000119312522230195/d392591dex43.htm" TargetMode="External"/><Relationship Id="rId22" Type="http://schemas.openxmlformats.org/officeDocument/2006/relationships/hyperlink" Target="https://www.sec.gov/Archives/edgar/data/923796/000119312522230195/d392591dex43.htm" TargetMode="External"/><Relationship Id="rId23" Type="http://schemas.openxmlformats.org/officeDocument/2006/relationships/hyperlink" Target="https://www.sec.gov/Archives/edgar/data/923796/000119312522230195/d392591dex46.htm" TargetMode="External"/><Relationship Id="rId24" Type="http://schemas.openxmlformats.org/officeDocument/2006/relationships/hyperlink" Target="https://www.sec.gov/Archives/edgar/data/923796/000119312522230195/d392591dex47.htm" TargetMode="External"/><Relationship Id="rId25" Type="http://schemas.openxmlformats.org/officeDocument/2006/relationships/hyperlink" Target="https://www.sec.gov/Archives/edgar/data/923796/000095017023004713/geo-ex4_14.htm" TargetMode="External"/><Relationship Id="rId26" Type="http://schemas.openxmlformats.org/officeDocument/2006/relationships/hyperlink" Target="https://www.sec.gov/Archives/edgar/data/923796/000095017023004713/geo-ex4_14.htm" TargetMode="External"/><Relationship Id="rId27" Type="http://schemas.openxmlformats.org/officeDocument/2006/relationships/hyperlink" Target="https://www.sec.gov/Archives/edgar/data/923796/000119312523266272/d531971dex41.htm" TargetMode="External"/><Relationship Id="rId28" Type="http://schemas.openxmlformats.org/officeDocument/2006/relationships/hyperlink" Target="https://www.sec.gov/Archives/edgar/data/923796/000119312523266272/d531971dex42.htm" TargetMode="External"/><Relationship Id="rId29" Type="http://schemas.openxmlformats.org/officeDocument/2006/relationships/hyperlink" Target="https://www.sec.gov/Archives/edgar/data/923796/000119312519050054/d663410dex103.htm" TargetMode="External"/><Relationship Id="rId30" Type="http://schemas.openxmlformats.org/officeDocument/2006/relationships/hyperlink" Target="https://www.sec.gov/Archives/edgar/data/923796/000095017023004713/geo-ex10_3.htm" TargetMode="External"/><Relationship Id="rId31" Type="http://schemas.openxmlformats.org/officeDocument/2006/relationships/hyperlink" Target="https://www.sec.gov/Archives/edgar/data/923796/000095017023004713/geo-ex10_3.htm" TargetMode="External"/><Relationship Id="rId32" Type="http://schemas.openxmlformats.org/officeDocument/2006/relationships/hyperlink" Target="https://www.sec.gov/Archives/edgar/data/923796/000095014409000110/g17230exv10w8.htm" TargetMode="External"/><Relationship Id="rId33" Type="http://schemas.openxmlformats.org/officeDocument/2006/relationships/hyperlink" Target="https://www.sec.gov/Archives/edgar/data/923796/000119312512090269/d259590dex1036.htm" TargetMode="External"/><Relationship Id="rId34" Type="http://schemas.openxmlformats.org/officeDocument/2006/relationships/hyperlink" Target="https://www.sec.gov/Archives/edgar/data/923796/000119312512090269/d259590dex1037.htm" TargetMode="External"/><Relationship Id="rId35" Type="http://schemas.openxmlformats.org/officeDocument/2006/relationships/hyperlink" Target="https://www.sec.gov/Archives/edgar/data/923796/000119312512090269/d259590dex1038.htm" TargetMode="External"/><Relationship Id="rId36" Type="http://schemas.openxmlformats.org/officeDocument/2006/relationships/hyperlink" Target="https://www.sec.gov/Archives/edgar/data/0000923796/000119312512090269/d259590dex1039.htm" TargetMode="External"/><Relationship Id="rId37" Type="http://schemas.openxmlformats.org/officeDocument/2006/relationships/hyperlink" Target="https://www.sec.gov/Archives/edgar/data/923796/000119312512090269/d259590dex1040.htm" TargetMode="External"/><Relationship Id="rId38" Type="http://schemas.openxmlformats.org/officeDocument/2006/relationships/hyperlink" Target="https://www.sec.gov/Archives/edgar/data/923796/000119312522230195/d392591dex102.htm" TargetMode="External"/><Relationship Id="rId39" Type="http://schemas.openxmlformats.org/officeDocument/2006/relationships/hyperlink" Target="https://www.sec.gov/Archives/edgar/data/923796/000119312522230195/d392591dex102.htm" TargetMode="External"/><Relationship Id="rId40" Type="http://schemas.openxmlformats.org/officeDocument/2006/relationships/hyperlink" Target="https://www.sec.gov/Archives/edgar/data/0000923796/000119312521150222/d178751dex101.htm" TargetMode="External"/><Relationship Id="rId41" Type="http://schemas.openxmlformats.org/officeDocument/2006/relationships/hyperlink" Target="https://www.sec.gov/Archives/edgar/data/0000923796/000119312521150222/d178751dex102.htm" TargetMode="External"/><Relationship Id="rId42" Type="http://schemas.openxmlformats.org/officeDocument/2006/relationships/hyperlink" Target="https://www.sec.gov/Archives/edgar/data/0000923796/000119312521177770/d318382dex101.htm" TargetMode="External"/><Relationship Id="rId43" Type="http://schemas.openxmlformats.org/officeDocument/2006/relationships/hyperlink" Target="https://www.sec.gov/Archives/edgar/data/0000923796/000119312521177770/d318382dex102.htm" TargetMode="External"/><Relationship Id="rId44" Type="http://schemas.openxmlformats.org/officeDocument/2006/relationships/hyperlink" Target="https://www.sec.gov/Archives/edgar/data/0000923796/000119312521177770/d318382dex103.htm" TargetMode="External"/><Relationship Id="rId45" Type="http://schemas.openxmlformats.org/officeDocument/2006/relationships/hyperlink" Target="https://www.sec.gov/Archives/edgar/data/0000923796/000119312521177770/d318382dex104.htm" TargetMode="External"/><Relationship Id="rId46" Type="http://schemas.openxmlformats.org/officeDocument/2006/relationships/hyperlink" Target="https://www.sec.gov/Archives/edgar/data/923796/000119312522196691/d346175dex101.htm" TargetMode="External"/><Relationship Id="rId47" Type="http://schemas.openxmlformats.org/officeDocument/2006/relationships/hyperlink" Target="https://www.sec.gov/Archives/edgar/data/923796/000119312522230195/d392591dex103.htm" TargetMode="External"/><Relationship Id="rId48" Type="http://schemas.openxmlformats.org/officeDocument/2006/relationships/hyperlink" Target="https://www.sec.gov/Archives/edgar/data/923796/000119312522230195/d392591dex104.htm" TargetMode="External"/><Relationship Id="rId49" Type="http://schemas.openxmlformats.org/officeDocument/2006/relationships/hyperlink" Target="https://www.sec.gov/Archives/edgar/data/923796/000119312523040224/d419976dex101.htm" TargetMode="External"/><Relationship Id="rId50" Type="http://schemas.openxmlformats.org/officeDocument/2006/relationships/hyperlink" Target="https://www.sec.gov/Archives/edgar/data/923796/000119312523289201/d628144dex101.htm" TargetMode="External"/><Relationship Id="rId51" Type="http://schemas.openxmlformats.org/officeDocument/2006/relationships/hyperlink" Target="https://www.sec.gov/Archives/edgar/data/923796/000119312523289201/d628144dex102.htm" TargetMode="External"/><Relationship Id="rId52" Type="http://schemas.openxmlformats.org/officeDocument/2006/relationships/hyperlink" Target="https://www.sec.gov/Archives/edgar/data/923796/000119312523289201/d628144dex103.htm" TargetMode="External"/><Relationship Id="rId53" Type="http://schemas.openxmlformats.org/officeDocument/2006/relationships/hyperlink" Target="https://www.sec.gov/Archives/edgar/data/923796/000119312523289201/d628144dex104.htm" TargetMode="External"/><Relationship Id="rId54" Type="http://schemas.openxmlformats.org/officeDocument/2006/relationships/hyperlink" Target="https://www.sec.gov/Archives/edgar/data/923796/000119312523289201/d628144dex105.htm" TargetMode="External"/><Relationship Id="rId55" Type="http://schemas.openxmlformats.org/officeDocument/2006/relationships/hyperlink" Target="https://www.sec.gov/Archives/edgar/data/923796/000119312523299987/d552008dex101.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101492</Words>
  <Characters>563493</Characters>
  <CharactersWithSpaces>667634</CharactersWithSpaces>
  <Paragraphs>16217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