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o-20260630.htm"/>
      <w:bookmarkStart w:id="1" w:name="ksgeo20260630"/>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w:t>
      </w:r>
      <w:r>
        <w:rPr>
          <w:rFonts w:ascii="Times New Roman" w:hAnsi="Times New Roman"/>
          <w:color w:val="000000"/>
          <w:sz w:val="20"/>
        </w:rPr>
        <w:t xml:space="preserve"> </w:t>
      </w:r>
      <w:r>
        <w:rPr>
          <w:rFonts w:ascii="Times New Roman" w:hAnsi="Times New Roman"/>
          <w:b/>
          <w:color w:val="000000"/>
          <w:sz w:val="36"/>
        </w:rPr>
        <w:t>10-Q</w:t>
      </w:r>
    </w:p>
    <w:p>
      <w:pPr>
        <w:pStyle w:val="TextBody"/>
        <w:pBdr>
          <w:bottom w:val="single" w:sz="4" w:space="1" w:color="000000"/>
        </w:pBdr>
        <w:bidi w:val="0"/>
        <w:jc w:val="center"/>
        <w:rPr/>
      </w:pPr>
      <w:r>
        <w:rPr/>
        <w:t> </w:t>
      </w:r>
    </w:p>
    <w:p>
      <w:pPr>
        <w:pStyle w:val="TextBody"/>
        <w:bidi w:val="0"/>
        <w:spacing w:before="8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w:t>
      </w:r>
      <w:r>
        <w:rPr>
          <w:rFonts w:ascii="Times New Roman" w:hAnsi="Times New Roman"/>
          <w:color w:val="000000"/>
          <w:sz w:val="20"/>
        </w:rPr>
        <w:t xml:space="preserve"> </w:t>
      </w:r>
      <w:r>
        <w:rPr>
          <w:rFonts w:ascii="Times New Roman" w:hAnsi="Times New Roman"/>
          <w:b/>
          <w:color w:val="000000"/>
          <w:sz w:val="20"/>
        </w:rPr>
        <w:t>30, 2026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center"/>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 to_______</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1-14260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The GEO Group,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65-0043078</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4955 Technology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Boca Raton, Florida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33431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(561)</w:t>
      </w:r>
      <w:r>
        <w:rPr>
          <w:rFonts w:ascii="Times New Roman" w:hAnsi="Times New Roman"/>
          <w:color w:val="000000"/>
          <w:sz w:val="20"/>
        </w:rPr>
        <w:t xml:space="preserve"> </w:t>
      </w:r>
      <w:r>
        <w:rPr>
          <w:rFonts w:ascii="Times New Roman" w:hAnsi="Times New Roman"/>
          <w:b/>
          <w:color w:val="000000"/>
          <w:sz w:val="20"/>
        </w:rPr>
        <w:t>893-0101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206" w:type="dxa"/>
        <w:jc w:val="left"/>
        <w:tblInd w:w="0" w:type="dxa"/>
        <w:tblLayout w:type="fixed"/>
        <w:tblCellMar>
          <w:top w:w="28" w:type="dxa"/>
          <w:left w:w="28" w:type="dxa"/>
          <w:bottom w:w="28" w:type="dxa"/>
          <w:right w:w="28" w:type="dxa"/>
        </w:tblCellMar>
      </w:tblPr>
      <w:tblGrid>
        <w:gridCol w:w="3661"/>
        <w:gridCol w:w="109"/>
        <w:gridCol w:w="1621"/>
        <w:gridCol w:w="109"/>
        <w:gridCol w:w="3706"/>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1921"/>
        <w:gridCol w:w="37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3, 2026, the registrant had 131,619,584 shares of common stock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(UNAUDITED) FOR THE THREE AND SIX MONTHS ENDED JUNE 30, 2026 AND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(UNAUDITED) FOR THE THREE AND SIX MONTHS ENDED JUNE 30, 2026 AND 2025</w:t>
              </w:r>
            </w:hyperlink>
            <w:hyperlink w:anchor="consolidated_statements_comprehensive_in">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(UNAUDITED) AND DECEMBER 31,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(UNAUDITED) FOR THE SIX MONTHS ENDED JUNE 30, 2026 AND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6</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notes_to_unaudited_consolidated_financia">
              <w:r>
                <w:rPr>
                  <w:rStyle w:val="InternetLink"/>
                  <w:rFonts w:ascii="Times New Roman" w:hAnsi="Times New Roman"/>
                  <w:color w:val="0000FF"/>
                  <w:sz w:val="20"/>
                  <w:u w:val="single"/>
                </w:rPr>
                <w:t>NOTES TO UNAUDITED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32</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49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50</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50</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404040"/>
                <w:sz w:val="20"/>
              </w:rPr>
            </w:pPr>
            <w:r>
              <w:rPr>
                <w:rFonts w:ascii="Times New Roman" w:hAnsi="Times New Roman"/>
                <w:color w:val="404040"/>
                <w:sz w:val="20"/>
              </w:rPr>
              <w:t>55</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w:t>
      </w:r>
    </w:p>
    <w:p>
      <w:pPr>
        <w:pStyle w:val="TextBody"/>
        <w:bidi w:val="0"/>
        <w:jc w:val="center"/>
        <w:rPr>
          <w:rFonts w:ascii="Times New Roman" w:hAnsi="Times New Roman"/>
          <w:sz w:val="20"/>
        </w:rPr>
      </w:pPr>
      <w:r>
        <w:rPr>
          <w:rFonts w:ascii="Times New Roman" w:hAnsi="Times New Roman"/>
          <w:b/>
          <w:color w:val="000000"/>
          <w:sz w:val="20"/>
        </w:rPr>
        <w:t>JUNE 30, 2026</w:t>
      </w:r>
      <w:r>
        <w:rPr>
          <w:rFonts w:ascii="Times New Roman" w:hAnsi="Times New Roman"/>
          <w:color w:val="000000"/>
          <w:sz w:val="20"/>
        </w:rPr>
        <w:t xml:space="preserve"> </w:t>
      </w:r>
      <w:r>
        <w:rPr>
          <w:rFonts w:ascii="Times New Roman" w:hAnsi="Times New Roman"/>
          <w:b/>
          <w:color w:val="000000"/>
          <w:sz w:val="20"/>
        </w:rPr>
        <w:t>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2"/>
        <w:gridCol w:w="146"/>
        <w:gridCol w:w="226"/>
        <w:gridCol w:w="840"/>
        <w:gridCol w:w="166"/>
        <w:gridCol w:w="146"/>
        <w:gridCol w:w="226"/>
        <w:gridCol w:w="840"/>
        <w:gridCol w:w="166"/>
        <w:gridCol w:w="146"/>
        <w:gridCol w:w="211"/>
        <w:gridCol w:w="931"/>
        <w:gridCol w:w="166"/>
        <w:gridCol w:w="146"/>
        <w:gridCol w:w="211"/>
        <w:gridCol w:w="931"/>
        <w:gridCol w:w="395"/>
      </w:tblGrid>
      <w:tr>
        <w:trPr/>
        <w:tc>
          <w:tcPr>
            <w:tcW w:w="4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1,241,513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929,693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132,957</w:t>
            </w:r>
          </w:p>
        </w:tc>
        <w:tc>
          <w:tcPr>
            <w:tcW w:w="3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asset divestiture/impairment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57,991</w:t>
            </w:r>
          </w:p>
        </w:tc>
        <w:tc>
          <w:tcPr>
            <w:tcW w:w="3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affiliates, net of income tax provision of</w:t>
              <w:br/>
              <w:t>   $229, $169, $445 and $399,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attributable to The GEO Group Inc.-basic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attributable to The GEO Group, Inc.-diluted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sz w:val="20"/>
        </w:rPr>
      </w:pPr>
      <w:bookmarkStart w:id="6" w:name="consolidated_statements_comprehensive_in"/>
      <w:bookmarkEnd w:id="6"/>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w:t>
      </w:r>
    </w:p>
    <w:p>
      <w:pPr>
        <w:pStyle w:val="TextBody"/>
        <w:bidi w:val="0"/>
        <w:jc w:val="center"/>
        <w:rPr>
          <w:rFonts w:ascii="Times New Roman" w:hAnsi="Times New Roman"/>
          <w:sz w:val="20"/>
        </w:rPr>
      </w:pPr>
      <w:r>
        <w:rPr>
          <w:rFonts w:ascii="Times New Roman" w:hAnsi="Times New Roman"/>
          <w:b/>
          <w:color w:val="000000"/>
          <w:sz w:val="20"/>
        </w:rPr>
        <w:t>JUNE 30, 2026</w:t>
      </w:r>
      <w:r>
        <w:rPr>
          <w:rFonts w:ascii="Times New Roman" w:hAnsi="Times New Roman"/>
          <w:color w:val="000000"/>
          <w:sz w:val="20"/>
        </w:rPr>
        <w:t xml:space="preserve"> </w:t>
      </w:r>
      <w:r>
        <w:rPr>
          <w:rFonts w:ascii="Times New Roman" w:hAnsi="Times New Roman"/>
          <w:b/>
          <w:color w:val="000000"/>
          <w:sz w:val="20"/>
        </w:rPr>
        <w:t>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54"/>
        <w:gridCol w:w="146"/>
        <w:gridCol w:w="235"/>
        <w:gridCol w:w="754"/>
        <w:gridCol w:w="166"/>
        <w:gridCol w:w="146"/>
        <w:gridCol w:w="235"/>
        <w:gridCol w:w="754"/>
        <w:gridCol w:w="166"/>
        <w:gridCol w:w="146"/>
        <w:gridCol w:w="235"/>
        <w:gridCol w:w="754"/>
        <w:gridCol w:w="166"/>
        <w:gridCol w:w="146"/>
        <w:gridCol w:w="235"/>
        <w:gridCol w:w="754"/>
        <w:gridCol w:w="413"/>
      </w:tblGrid>
      <w:tr>
        <w:trPr/>
        <w:tc>
          <w:tcPr>
            <w:tcW w:w="4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marketable securities, net of tax (benefit) provision of $(64), $45, $(146), and $109,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liability adjustment, net of tax provision (benefit)</w:t>
              <w:br/>
              <w:t>   of $2, $(13), $3 and $(26),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instrument</w:t>
              <w:br/>
              <w:t xml:space="preserve">   classified as cash flow hedge, net of tax provision (benefit) of </w:t>
              <w:br/>
              <w:t>   $61, $(88), $75, and $(270),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bookmarkStart w:id="7" w:name="consolidated_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JUNE 30, 2026</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3"/>
        <w:gridCol w:w="146"/>
        <w:gridCol w:w="211"/>
        <w:gridCol w:w="931"/>
        <w:gridCol w:w="166"/>
        <w:gridCol w:w="146"/>
        <w:gridCol w:w="236"/>
        <w:gridCol w:w="1043"/>
        <w:gridCol w:w="613"/>
      </w:tblGrid>
      <w:tr>
        <w:trPr/>
        <w:tc>
          <w:tcPr>
            <w:tcW w:w="6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68,995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credit loss reserve of $930 and $857,</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593,463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53,073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718,529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179,366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1,884,198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756,028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117,332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82,086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197,530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finance lease liabilities and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356,891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99,689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176,083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1,649,268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Commitments, Contingencies</w:t>
            </w:r>
            <w:r>
              <w:rPr>
                <w:rFonts w:ascii="Times New Roman" w:hAnsi="Times New Roman"/>
                <w:color w:val="000000"/>
                <w:sz w:val="20"/>
              </w:rPr>
              <w:t> </w:t>
            </w:r>
            <w:r>
              <w:rPr>
                <w:rFonts w:ascii="Times New Roman" w:hAnsi="Times New Roman"/>
                <w:b/>
                <w:i/>
                <w:color w:val="000000"/>
                <w:sz w:val="20"/>
              </w:rPr>
              <w:t xml:space="preserve">and Other Matters </w:t>
            </w:r>
            <w:r>
              <w:rPr>
                <w:rFonts w:ascii="Times New Roman" w:hAnsi="Times New Roman"/>
                <w:color w:val="000000"/>
                <w:sz w:val="20"/>
              </w:rPr>
              <w:t>(Note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30,000,000 shares authorized,</w:t>
              <w:br/>
              <w:t>   none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225,000,000 shares authorized, 142,382,731 and 141,182,435 issued and 132,284,930 and 136,242,983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1,319,135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294,252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Treasury stock, 10,097,801</w:t>
            </w:r>
            <w:r>
              <w:rPr>
                <w:rFonts w:ascii="Times New Roman" w:hAnsi="Times New Roman"/>
                <w:color w:val="000000"/>
                <w:sz w:val="20"/>
              </w:rPr>
              <w:t> </w:t>
            </w:r>
            <w:r>
              <w:rPr>
                <w:rFonts w:ascii="Times New Roman" w:hAnsi="Times New Roman"/>
                <w:b/>
                <w:i/>
                <w:color w:val="000000"/>
                <w:sz w:val="20"/>
              </w:rPr>
              <w:t>and 4,939,452</w:t>
            </w:r>
            <w:r>
              <w:rPr>
                <w:rFonts w:ascii="Times New Roman" w:hAnsi="Times New Roman"/>
                <w:color w:val="000000"/>
                <w:sz w:val="20"/>
              </w:rPr>
              <w:t> </w:t>
            </w:r>
            <w:r>
              <w:rPr>
                <w:rFonts w:ascii="Times New Roman" w:hAnsi="Times New Roman"/>
                <w:b/>
                <w:i/>
                <w:color w:val="000000"/>
                <w:sz w:val="20"/>
              </w:rPr>
              <w:t>shares, at cost,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(91,021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1,505,806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1,504,134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w:t>
      </w:r>
    </w:p>
    <w:p>
      <w:pPr>
        <w:pStyle w:val="TextBody"/>
        <w:bidi w:val="0"/>
        <w:jc w:val="center"/>
        <w:rPr>
          <w:rFonts w:ascii="Times New Roman" w:hAnsi="Times New Roman"/>
          <w:sz w:val="20"/>
        </w:rPr>
      </w:pPr>
      <w:r>
        <w:rPr>
          <w:rFonts w:ascii="Times New Roman" w:hAnsi="Times New Roman"/>
          <w:b/>
          <w:color w:val="000000"/>
          <w:sz w:val="20"/>
        </w:rPr>
        <w:t>JUNE 30, 2026</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510" w:type="dxa"/>
        <w:jc w:val="left"/>
        <w:tblInd w:w="0" w:type="dxa"/>
        <w:tblLayout w:type="fixed"/>
        <w:tblCellMar>
          <w:top w:w="28" w:type="dxa"/>
          <w:left w:w="28" w:type="dxa"/>
          <w:bottom w:w="28" w:type="dxa"/>
          <w:right w:w="28" w:type="dxa"/>
        </w:tblCellMar>
      </w:tblPr>
      <w:tblGrid>
        <w:gridCol w:w="6191"/>
        <w:gridCol w:w="146"/>
        <w:gridCol w:w="233"/>
        <w:gridCol w:w="892"/>
        <w:gridCol w:w="166"/>
        <w:gridCol w:w="146"/>
        <w:gridCol w:w="248"/>
        <w:gridCol w:w="877"/>
        <w:gridCol w:w="611"/>
      </w:tblGrid>
      <w:tr>
        <w:trPr/>
        <w:tc>
          <w:tcPr>
            <w:tcW w:w="6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attributable to The GEO Group, Inc.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issuance costs, discount and/or premium and other non-cash</w:t>
              <w:br/>
              <w: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in earnings of affiliates,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received from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Realized/unrealized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(gain) on sale/disposal of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assets and liabilities, net of effects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accounts receivable, 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real estate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paid related to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in connection with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for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(200,214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(37,609</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br/>
              <w:t>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br/>
              <w:t>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obtained from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180" w:after="283"/>
        <w:jc w:val="center"/>
        <w:rPr>
          <w:rFonts w:ascii="Times New Roman" w:hAnsi="Times New Roman"/>
          <w:b/>
          <w:color w:val="000000"/>
          <w:sz w:val="20"/>
        </w:rPr>
      </w:pPr>
      <w:bookmarkStart w:id="9" w:name="notes_to_unaudited_consolidated_financia"/>
      <w:bookmarkEnd w:id="9"/>
      <w:r>
        <w:rPr>
          <w:rFonts w:ascii="Times New Roman" w:hAnsi="Times New Roman"/>
          <w:b/>
          <w:color w:val="000000"/>
          <w:sz w:val="20"/>
        </w:rPr>
        <w:t>NOTES TO UNAUDITED CONSOLIDATED FINANCIAL 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GEO Group, Inc., a Florida corporation, and subsidiaries (the “Company” or “GEO”) specialize in the ownership, leasing and management of secure facilities, processing centers and community reentry centers in the United States, Australia and South Africa. The Company owns, leases and operates a broad range of facilities including maximum, medium and minimum 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individuals as contracted domestically and in the United Kingdom through its joint venture GEOAmey Ltd. (“GEOAmey”). At June 30, 2026, the Company’s worldwide operations include the management and/or ownership of approximately 75,000 beds at 96 facilities, including idle facilities, and also include the provision of reentry and electronic monitoring and supervision services for thousands of individuals, including an array of technology products including radio frequency, GPS, and alcohol monitoring devices.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unaudited consolidated financial statements included in this Quarterly Report on Form 10-Q have been prepared in accordance with accounting principles generally accepted in the United States (“GAAP”) and the instructions to Form 10-Q and consequently do not include all disclosures required by Form 10-K. The accounting policies followed for quarterly financial reporting are the same as those disclosed in the Notes to Consolidated Financial Statements included in the Company’s Annual Report on Form 10-K filed with the Securities and Exchange Commission on February 25, 2026 for the year ended December 31, 2025. The accompanying December 31, 2025 consolidated balance sheet has been derived from those audited financial statements. Additional information may be obtained by referring to the Company’s Form 10-K for the year ended December 31, 2025. In the opinion of management, all adjustments (consisting only of normal recurring items) necessary for a fair presentation of the financial information for the interim periods reported in this Quarterly Report on Form 10-Q have been made. Results of operations for the six months ended June 30, 2026 are not necessarily indicative of the results for the entire year ending December 31, 2026, or for any other future interim or annual periods.</w:t>
      </w:r>
    </w:p>
    <w:p>
      <w:pPr>
        <w:pStyle w:val="TextBody"/>
        <w:bidi w:val="0"/>
        <w:spacing w:before="18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2. GOODWILL AND OTHER INTANGIBLE ASSETS</w:t>
      </w:r>
    </w:p>
    <w:p>
      <w:pPr>
        <w:pStyle w:val="TextBody"/>
        <w:bidi w:val="0"/>
        <w:jc w:val="left"/>
        <w:rPr>
          <w:rFonts w:ascii="Times New Roman" w:hAnsi="Times New Roman"/>
          <w:color w:val="000000"/>
          <w:sz w:val="20"/>
        </w:rPr>
      </w:pPr>
      <w:r>
        <w:rPr>
          <w:rFonts w:ascii="Times New Roman" w:hAnsi="Times New Roman"/>
          <w:color w:val="000000"/>
          <w:sz w:val="20"/>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from January 1, 2026 to June 30, 2026 are as follows (in thousands):</w:t>
      </w:r>
    </w:p>
    <w:p>
      <w:pPr>
        <w:pStyle w:val="TextBody"/>
        <w:bidi w:val="0"/>
        <w:jc w:val="left"/>
        <w:rPr/>
      </w:pPr>
      <w:r>
        <w:rPr/>
        <w:t> </w:t>
      </w:r>
    </w:p>
    <w:tbl>
      <w:tblPr>
        <w:tblW w:w="8484" w:type="dxa"/>
        <w:jc w:val="left"/>
        <w:tblInd w:w="0" w:type="dxa"/>
        <w:tblLayout w:type="fixed"/>
        <w:tblCellMar>
          <w:top w:w="28" w:type="dxa"/>
          <w:left w:w="28" w:type="dxa"/>
          <w:bottom w:w="28" w:type="dxa"/>
          <w:right w:w="28" w:type="dxa"/>
        </w:tblCellMar>
      </w:tblPr>
      <w:tblGrid>
        <w:gridCol w:w="4036"/>
        <w:gridCol w:w="146"/>
        <w:gridCol w:w="211"/>
        <w:gridCol w:w="781"/>
        <w:gridCol w:w="146"/>
        <w:gridCol w:w="146"/>
        <w:gridCol w:w="533"/>
        <w:gridCol w:w="877"/>
        <w:gridCol w:w="146"/>
        <w:gridCol w:w="146"/>
        <w:gridCol w:w="239"/>
        <w:gridCol w:w="88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w:t>
              <w:br/>
              <w:t>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recorded other finite and indefinite-lived intangible assets as a result of its various business combinations. The Company's intangible assets include facility management contracts and trade names and technology, as follows (in thousands):</w:t>
      </w:r>
    </w:p>
    <w:p>
      <w:pPr>
        <w:pStyle w:val="TextBody"/>
        <w:bidi w:val="0"/>
        <w:jc w:val="left"/>
        <w:rPr/>
      </w:pPr>
      <w:r>
        <w:rPr/>
        <w:t> </w:t>
      </w:r>
    </w:p>
    <w:tbl>
      <w:tblPr>
        <w:tblW w:w="10316" w:type="dxa"/>
        <w:jc w:val="left"/>
        <w:tblInd w:w="0" w:type="dxa"/>
        <w:tblLayout w:type="fixed"/>
        <w:tblCellMar>
          <w:top w:w="28" w:type="dxa"/>
          <w:left w:w="28" w:type="dxa"/>
          <w:bottom w:w="28" w:type="dxa"/>
          <w:right w:w="28" w:type="dxa"/>
        </w:tblCellMar>
      </w:tblPr>
      <w:tblGrid>
        <w:gridCol w:w="1156"/>
        <w:gridCol w:w="146"/>
        <w:gridCol w:w="213"/>
        <w:gridCol w:w="688"/>
        <w:gridCol w:w="146"/>
        <w:gridCol w:w="146"/>
        <w:gridCol w:w="211"/>
        <w:gridCol w:w="781"/>
        <w:gridCol w:w="146"/>
        <w:gridCol w:w="146"/>
        <w:gridCol w:w="216"/>
        <w:gridCol w:w="865"/>
        <w:gridCol w:w="166"/>
        <w:gridCol w:w="146"/>
        <w:gridCol w:w="211"/>
        <w:gridCol w:w="781"/>
        <w:gridCol w:w="146"/>
        <w:gridCol w:w="146"/>
        <w:gridCol w:w="211"/>
        <w:gridCol w:w="781"/>
        <w:gridCol w:w="146"/>
        <w:gridCol w:w="146"/>
        <w:gridCol w:w="216"/>
        <w:gridCol w:w="865"/>
        <w:gridCol w:w="166"/>
        <w:gridCol w:w="146"/>
        <w:gridCol w:w="211"/>
        <w:gridCol w:w="781"/>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management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was $1.7 million and $2.3 million for the three months ended June 30, 2026 and 2025, respectively. Amortization expense was $3.7 million and $4.6 million for the six months ended June 30, 2026 and 2025, respectively. The Company records the costs associated with renewal and extension of facility management contracts as expenses in the period they are incurred. As of June 30, 2026, the weighted average period before the next contract renewal or extension for the acquired facility management contracts was approximately 3.0 years.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Estimated amortization expense related to the Company's finite-lived intangible assets for the remainder of 2026 through 2030 and thereafter is as follows (in thousands):</w:t>
      </w:r>
    </w:p>
    <w:p>
      <w:pPr>
        <w:pStyle w:val="TextBody"/>
        <w:bidi w:val="0"/>
        <w:jc w:val="left"/>
        <w:rPr/>
      </w:pPr>
      <w:r>
        <w:rPr/>
        <w:t> </w:t>
      </w:r>
    </w:p>
    <w:tbl>
      <w:tblPr>
        <w:tblW w:w="3099" w:type="dxa"/>
        <w:jc w:val="left"/>
        <w:tblInd w:w="0" w:type="dxa"/>
        <w:tblLayout w:type="fixed"/>
        <w:tblCellMar>
          <w:top w:w="28" w:type="dxa"/>
          <w:left w:w="28" w:type="dxa"/>
          <w:bottom w:w="28" w:type="dxa"/>
          <w:right w:w="28" w:type="dxa"/>
        </w:tblCellMar>
      </w:tblPr>
      <w:tblGrid>
        <w:gridCol w:w="1681"/>
        <w:gridCol w:w="146"/>
        <w:gridCol w:w="257"/>
        <w:gridCol w:w="824"/>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3. FINANCIAL INSTRUMENTS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tables provide a summary of the Company’s significant financial assets and liabilities carried at fair value and measured on a recurring basis as of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308"/>
        <w:gridCol w:w="989"/>
        <w:gridCol w:w="146"/>
        <w:gridCol w:w="146"/>
        <w:gridCol w:w="315"/>
        <w:gridCol w:w="854"/>
        <w:gridCol w:w="161"/>
        <w:gridCol w:w="161"/>
        <w:gridCol w:w="313"/>
        <w:gridCol w:w="984"/>
        <w:gridCol w:w="161"/>
        <w:gridCol w:w="161"/>
        <w:gridCol w:w="456"/>
        <w:gridCol w:w="750"/>
        <w:gridCol w:w="598"/>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Rabbi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swap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1"/>
        <w:gridCol w:w="146"/>
        <w:gridCol w:w="306"/>
        <w:gridCol w:w="984"/>
        <w:gridCol w:w="146"/>
        <w:gridCol w:w="146"/>
        <w:gridCol w:w="313"/>
        <w:gridCol w:w="849"/>
        <w:gridCol w:w="175"/>
        <w:gridCol w:w="175"/>
        <w:gridCol w:w="315"/>
        <w:gridCol w:w="976"/>
        <w:gridCol w:w="175"/>
        <w:gridCol w:w="175"/>
        <w:gridCol w:w="455"/>
        <w:gridCol w:w="748"/>
        <w:gridCol w:w="600"/>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Rabbi Trusts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rate swap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2 financial instruments included in the tables above as of June 30, 2026 and December 31, 2025 consist of interest rate swap derivative assets held by GEO, investments in equity and fixed income securities held in the Company’s captive insurance subsidiary, Florina Insurance Company, Inc. ("Florina") and investments in mutual funds held in the Company's rabbi trust established for employer contributions to The GEO Group, Inc. Non-qualified Deferred Compensation Plan. The Company's Level 1 financial instruments included in the table above as of June 30, 2026 consist of money market funds held in Florina. The interest rate swap derivative assets are valued using a discounted cash flow model based on projected borrowing rates. The Company's restricted investment in the rabbi trust for The GEO Group, Inc. Non-qualified Deferred Compensation Plan is invested in equity and fixed income pooled funds. The marketable equity and fixed income securities are valued using quoted rates. </w:t>
      </w:r>
    </w:p>
    <w:p>
      <w:pPr>
        <w:pStyle w:val="TextBody"/>
        <w:bidi w:val="0"/>
        <w:spacing w:before="18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FAIR VALUE OF ASSETS AND LIABILITIES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Company’s consolidated balance sheets reflect certain financial assets and liabilities at carrying value. The carrying value of certain debt instruments, if applicable, is net of unamortized discount. The following tables present the carrying values of those financial instruments and the estimated corresponding fair values at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3"/>
        <w:gridCol w:w="146"/>
        <w:gridCol w:w="289"/>
        <w:gridCol w:w="1073"/>
        <w:gridCol w:w="146"/>
        <w:gridCol w:w="146"/>
        <w:gridCol w:w="211"/>
        <w:gridCol w:w="781"/>
        <w:gridCol w:w="146"/>
        <w:gridCol w:w="146"/>
        <w:gridCol w:w="211"/>
        <w:gridCol w:w="781"/>
        <w:gridCol w:w="146"/>
        <w:gridCol w:w="146"/>
        <w:gridCol w:w="211"/>
        <w:gridCol w:w="781"/>
        <w:gridCol w:w="146"/>
        <w:gridCol w:w="146"/>
        <w:gridCol w:w="234"/>
        <w:gridCol w:w="383"/>
        <w:gridCol w:w="593"/>
      </w:tblGrid>
      <w:tr>
        <w:trPr/>
        <w:tc>
          <w:tcPr>
            <w:tcW w:w="3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June 30, 2026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w:t>
              <w:br/>
              <w:t>of 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8.625%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10.250%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2"/>
        <w:gridCol w:w="146"/>
        <w:gridCol w:w="291"/>
        <w:gridCol w:w="1081"/>
        <w:gridCol w:w="146"/>
        <w:gridCol w:w="146"/>
        <w:gridCol w:w="213"/>
        <w:gridCol w:w="790"/>
        <w:gridCol w:w="147"/>
        <w:gridCol w:w="147"/>
        <w:gridCol w:w="213"/>
        <w:gridCol w:w="683"/>
        <w:gridCol w:w="147"/>
        <w:gridCol w:w="147"/>
        <w:gridCol w:w="213"/>
        <w:gridCol w:w="790"/>
        <w:gridCol w:w="147"/>
        <w:gridCol w:w="147"/>
        <w:gridCol w:w="234"/>
        <w:gridCol w:w="384"/>
        <w:gridCol w:w="601"/>
      </w:tblGrid>
      <w:tr>
        <w:trPr/>
        <w:tc>
          <w:tcPr>
            <w:tcW w:w="3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December 31, 2025</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w:t>
              <w:br/>
              <w:t>of 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8.625%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10.250%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values of the Company’s cash and cash equivalents, and restricted cash and investments approximates the carrying values of these assets at June 30, 2026 and December 31, 2025. Restricted cash consists of money market funds, bank deposits, commercial paper and time deposits used for asset replacement funds and other funds contractually required to be maintained at the Company's Australian subsidiary. It also includes cash on hand in the Company’s captive insurance subsidiary, Florina. The fair value of the money market funds and bank deposits is based on quoted market prices (Level 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and December 31, 2025, the recurring fair values of the Company's 8.625% Secured Notes due 2029 and the 10.250% Senior Notes due 2031 are based on Level 2 inputs using quotations by major market news services, such as Bloomberg. The fair value of the Company's Credit Agreement was also based on quotations by major market news services and also estimates of trading value considering the Company's borrowing rate, the undrawn spread and similar instruments.</w:t>
      </w:r>
    </w:p>
    <w:p>
      <w:pPr>
        <w:pStyle w:val="TextBody"/>
        <w:bidi w:val="0"/>
        <w:spacing w:before="180" w:after="283"/>
        <w:jc w:val="left"/>
        <w:rPr/>
      </w:pPr>
      <w:r>
        <w:rPr/>
        <w:t> </w:t>
      </w:r>
    </w:p>
    <w:p>
      <w:pPr>
        <w:pStyle w:val="TextBody"/>
        <w:bidi w:val="0"/>
        <w:spacing w:before="1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RESTRICTED CASH AND CASH EQUIVALENTS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and cash equivalents reported on the consolidated balance sheets that sum to the total of the same such amounts shown in the consolidated statements of cash flows:</w:t>
      </w:r>
    </w:p>
    <w:p>
      <w:pPr>
        <w:pStyle w:val="TextBody"/>
        <w:bidi w:val="0"/>
        <w:jc w:val="left"/>
        <w:rPr/>
      </w:pPr>
      <w:r>
        <w:rPr/>
        <w:t> </w:t>
      </w:r>
    </w:p>
    <w:tbl>
      <w:tblPr>
        <w:tblW w:w="7469" w:type="dxa"/>
        <w:jc w:val="left"/>
        <w:tblInd w:w="0" w:type="dxa"/>
        <w:tblLayout w:type="fixed"/>
        <w:tblCellMar>
          <w:top w:w="28" w:type="dxa"/>
          <w:left w:w="28" w:type="dxa"/>
          <w:bottom w:w="28" w:type="dxa"/>
          <w:right w:w="28" w:type="dxa"/>
        </w:tblCellMar>
      </w:tblPr>
      <w:tblGrid>
        <w:gridCol w:w="4696"/>
        <w:gridCol w:w="146"/>
        <w:gridCol w:w="211"/>
        <w:gridCol w:w="841"/>
        <w:gridCol w:w="166"/>
        <w:gridCol w:w="146"/>
        <w:gridCol w:w="211"/>
        <w:gridCol w:w="841"/>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Restricted investments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and cash</w:t>
              <w:br/>
              <w:t>   equivalents shown in the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Amounts included in restricted cash and cash equivalents are attributable to certain contractual cash restriction requirements at the Company's wholly owned Australian subsidiary, asset replacement funds contractually required to be maintained and other guarantees and cash on hand in the Company’s captive insurance subsidiary, Florina. Restricted investments - non-current (included in Restricted Cash and Investments in the accompanying consolidated balance sheets) consists of the Company's rabbi trust established for employee and employer contributions to The GEO Group, Inc. Non-qualified Deferred Compensation Plan, its rabbi trust established for its Chairman and Chief Executive Officer's retirement account held in a money market fund, investments in equity and fixed income securities and money market funds held in the Company’s captive insurance subsidiary, Florina, and certain contractual cash requirements at the Company’s wholly owned Australian subsidiary related to certain performance guarantees at its Ravenhall facility. The investments held in the rabbi trust related to The GEO Group, Inc. Non-Qualified Deferred Compensation Plan and the investments in equity and fixed income mutual funds held in Florina are restricted investments that are not considered to be restricted cash and cash equivalents in the accompanying consolidated statements of cash flows. Refer to Note 3 - Financial Instruments.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6. SHAREHOLDERS’ EQUITY</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following tables present the changes in shareholders’ equity that are attributable to the Company’s shareholders and to noncontrolling interests for the three and six months ended June 30, 2026 and 2025 (in thousands): </w:t>
      </w:r>
    </w:p>
    <w:p>
      <w:pPr>
        <w:pStyle w:val="TextBody"/>
        <w:bidi w:val="0"/>
        <w:jc w:val="left"/>
        <w:rPr/>
      </w:pPr>
      <w:r>
        <w:rPr/>
        <w:t> </w:t>
      </w:r>
    </w:p>
    <w:tbl>
      <w:tblPr>
        <w:tblW w:w="10810" w:type="dxa"/>
        <w:jc w:val="left"/>
        <w:tblInd w:w="0" w:type="dxa"/>
        <w:tblLayout w:type="fixed"/>
        <w:tblCellMar>
          <w:top w:w="28" w:type="dxa"/>
          <w:left w:w="28" w:type="dxa"/>
          <w:bottom w:w="28" w:type="dxa"/>
          <w:right w:w="28" w:type="dxa"/>
        </w:tblCellMar>
      </w:tblPr>
      <w:tblGrid>
        <w:gridCol w:w="991"/>
        <w:gridCol w:w="146"/>
        <w:gridCol w:w="146"/>
        <w:gridCol w:w="586"/>
        <w:gridCol w:w="151"/>
        <w:gridCol w:w="146"/>
        <w:gridCol w:w="181"/>
        <w:gridCol w:w="436"/>
        <w:gridCol w:w="146"/>
        <w:gridCol w:w="146"/>
        <w:gridCol w:w="181"/>
        <w:gridCol w:w="691"/>
        <w:gridCol w:w="151"/>
        <w:gridCol w:w="146"/>
        <w:gridCol w:w="181"/>
        <w:gridCol w:w="586"/>
        <w:gridCol w:w="146"/>
        <w:gridCol w:w="146"/>
        <w:gridCol w:w="224"/>
        <w:gridCol w:w="692"/>
        <w:gridCol w:w="151"/>
        <w:gridCol w:w="146"/>
        <w:gridCol w:w="146"/>
        <w:gridCol w:w="511"/>
        <w:gridCol w:w="146"/>
        <w:gridCol w:w="146"/>
        <w:gridCol w:w="181"/>
        <w:gridCol w:w="631"/>
        <w:gridCol w:w="151"/>
        <w:gridCol w:w="146"/>
        <w:gridCol w:w="238"/>
        <w:gridCol w:w="633"/>
        <w:gridCol w:w="151"/>
        <w:gridCol w:w="146"/>
        <w:gridCol w:w="181"/>
        <w:gridCol w:w="691"/>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3"/>
              </w:rPr>
            </w:pPr>
            <w:r>
              <w:rPr>
                <w:rFonts w:ascii="Times New Roman" w:hAnsi="Times New Roman"/>
                <w:b/>
                <w:i/>
                <w:color w:val="000000"/>
                <w:sz w:val="13"/>
              </w:rPr>
              <w:t>For the Three Months Ended</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April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1,321,056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1,495,556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 of treasury shares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(36,631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(36,631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w:t>
              <w:br/>
              <w:t>   stock -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47,460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132,285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1,328,660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380,089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(15,983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(177,755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1,514,680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419" w:type="dxa"/>
        <w:jc w:val="left"/>
        <w:tblInd w:w="0" w:type="dxa"/>
        <w:tblLayout w:type="fixed"/>
        <w:tblCellMar>
          <w:top w:w="28" w:type="dxa"/>
          <w:left w:w="28" w:type="dxa"/>
          <w:bottom w:w="28" w:type="dxa"/>
          <w:right w:w="28" w:type="dxa"/>
        </w:tblCellMar>
      </w:tblPr>
      <w:tblGrid>
        <w:gridCol w:w="991"/>
        <w:gridCol w:w="146"/>
        <w:gridCol w:w="146"/>
        <w:gridCol w:w="586"/>
        <w:gridCol w:w="151"/>
        <w:gridCol w:w="146"/>
        <w:gridCol w:w="181"/>
        <w:gridCol w:w="436"/>
        <w:gridCol w:w="146"/>
        <w:gridCol w:w="146"/>
        <w:gridCol w:w="181"/>
        <w:gridCol w:w="691"/>
        <w:gridCol w:w="146"/>
        <w:gridCol w:w="146"/>
        <w:gridCol w:w="219"/>
        <w:gridCol w:w="622"/>
        <w:gridCol w:w="146"/>
        <w:gridCol w:w="146"/>
        <w:gridCol w:w="224"/>
        <w:gridCol w:w="692"/>
        <w:gridCol w:w="151"/>
        <w:gridCol w:w="146"/>
        <w:gridCol w:w="146"/>
        <w:gridCol w:w="346"/>
        <w:gridCol w:w="146"/>
        <w:gridCol w:w="146"/>
        <w:gridCol w:w="181"/>
        <w:gridCol w:w="346"/>
        <w:gridCol w:w="146"/>
        <w:gridCol w:w="146"/>
        <w:gridCol w:w="238"/>
        <w:gridCol w:w="633"/>
        <w:gridCol w:w="151"/>
        <w:gridCol w:w="146"/>
        <w:gridCol w:w="181"/>
        <w:gridCol w:w="691"/>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 (Accumulated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3"/>
              </w:rPr>
            </w:pPr>
            <w:r>
              <w:rPr>
                <w:rFonts w:ascii="Times New Roman" w:hAnsi="Times New Roman"/>
                <w:b/>
                <w:i/>
                <w:color w:val="000000"/>
                <w:sz w:val="13"/>
              </w:rPr>
              <w:t>For the Three Months Ended</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April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1,341,548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exercise of</w:t>
              <w:br/>
              <w:t>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w:t>
              <w:br/>
              <w:t>   stock -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29,074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1,309,317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1,381,420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815" w:type="dxa"/>
        <w:jc w:val="left"/>
        <w:tblInd w:w="0" w:type="dxa"/>
        <w:tblLayout w:type="fixed"/>
        <w:tblCellMar>
          <w:top w:w="28" w:type="dxa"/>
          <w:left w:w="28" w:type="dxa"/>
          <w:bottom w:w="28" w:type="dxa"/>
          <w:right w:w="28" w:type="dxa"/>
        </w:tblCellMar>
      </w:tblPr>
      <w:tblGrid>
        <w:gridCol w:w="991"/>
        <w:gridCol w:w="146"/>
        <w:gridCol w:w="146"/>
        <w:gridCol w:w="586"/>
        <w:gridCol w:w="151"/>
        <w:gridCol w:w="146"/>
        <w:gridCol w:w="181"/>
        <w:gridCol w:w="436"/>
        <w:gridCol w:w="151"/>
        <w:gridCol w:w="146"/>
        <w:gridCol w:w="181"/>
        <w:gridCol w:w="691"/>
        <w:gridCol w:w="151"/>
        <w:gridCol w:w="146"/>
        <w:gridCol w:w="181"/>
        <w:gridCol w:w="586"/>
        <w:gridCol w:w="146"/>
        <w:gridCol w:w="146"/>
        <w:gridCol w:w="224"/>
        <w:gridCol w:w="692"/>
        <w:gridCol w:w="151"/>
        <w:gridCol w:w="146"/>
        <w:gridCol w:w="146"/>
        <w:gridCol w:w="511"/>
        <w:gridCol w:w="146"/>
        <w:gridCol w:w="146"/>
        <w:gridCol w:w="181"/>
        <w:gridCol w:w="631"/>
        <w:gridCol w:w="151"/>
        <w:gridCol w:w="146"/>
        <w:gridCol w:w="238"/>
        <w:gridCol w:w="633"/>
        <w:gridCol w:w="151"/>
        <w:gridCol w:w="146"/>
        <w:gridCol w:w="181"/>
        <w:gridCol w:w="691"/>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3"/>
              </w:rPr>
            </w:pPr>
            <w:r>
              <w:rPr>
                <w:rFonts w:ascii="Times New Roman" w:hAnsi="Times New Roman"/>
                <w:b/>
                <w:i/>
                <w:color w:val="000000"/>
                <w:sz w:val="13"/>
              </w:rPr>
              <w:t>For the Six Months Ended</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136,243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1,319,135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294,252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1,504,134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exercise of</w:t>
              <w:br/>
              <w:t>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Shares withheld for net</w:t>
              <w:br/>
              <w:t>   settlements of share-</w:t>
              <w:br/>
              <w:t>   based awards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w:t>
              <w:br/>
              <w:t>   stock -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 of treasury shares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(86,734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85,766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132,285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1,328,660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380,089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(15,983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(177,755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1,514,680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434" w:type="dxa"/>
        <w:jc w:val="left"/>
        <w:tblInd w:w="0" w:type="dxa"/>
        <w:tblLayout w:type="fixed"/>
        <w:tblCellMar>
          <w:top w:w="28" w:type="dxa"/>
          <w:left w:w="28" w:type="dxa"/>
          <w:bottom w:w="28" w:type="dxa"/>
          <w:right w:w="28" w:type="dxa"/>
        </w:tblCellMar>
      </w:tblPr>
      <w:tblGrid>
        <w:gridCol w:w="991"/>
        <w:gridCol w:w="146"/>
        <w:gridCol w:w="146"/>
        <w:gridCol w:w="586"/>
        <w:gridCol w:w="151"/>
        <w:gridCol w:w="146"/>
        <w:gridCol w:w="181"/>
        <w:gridCol w:w="436"/>
        <w:gridCol w:w="151"/>
        <w:gridCol w:w="146"/>
        <w:gridCol w:w="181"/>
        <w:gridCol w:w="691"/>
        <w:gridCol w:w="151"/>
        <w:gridCol w:w="146"/>
        <w:gridCol w:w="219"/>
        <w:gridCol w:w="622"/>
        <w:gridCol w:w="146"/>
        <w:gridCol w:w="146"/>
        <w:gridCol w:w="224"/>
        <w:gridCol w:w="692"/>
        <w:gridCol w:w="151"/>
        <w:gridCol w:w="146"/>
        <w:gridCol w:w="146"/>
        <w:gridCol w:w="346"/>
        <w:gridCol w:w="146"/>
        <w:gridCol w:w="146"/>
        <w:gridCol w:w="181"/>
        <w:gridCol w:w="346"/>
        <w:gridCol w:w="146"/>
        <w:gridCol w:w="146"/>
        <w:gridCol w:w="238"/>
        <w:gridCol w:w="633"/>
        <w:gridCol w:w="151"/>
        <w:gridCol w:w="146"/>
        <w:gridCol w:w="181"/>
        <w:gridCol w:w="691"/>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 (Accumulated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3"/>
              </w:rPr>
            </w:pPr>
            <w:r>
              <w:rPr>
                <w:rFonts w:ascii="Times New Roman" w:hAnsi="Times New Roman"/>
                <w:b/>
                <w:i/>
                <w:color w:val="000000"/>
                <w:sz w:val="13"/>
              </w:rPr>
              <w:t>For the Six Months Ended</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1,315,256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1,333,414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Restricted stock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Shares withheld for net</w:t>
              <w:br/>
              <w:t>   settlements of share-</w:t>
              <w:br/>
              <w:t>   based awards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w:t>
              <w:br/>
              <w:t>   stock -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w:t>
              <w:br/>
              <w: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141,245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1,309,317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1,381,420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Company withheld shares through net settlements to satisfy statutory tax withholding requirements upon the vesting of shares</w:t>
      </w:r>
    </w:p>
    <w:p>
      <w:pPr>
        <w:pStyle w:val="TextBody"/>
        <w:bidi w:val="0"/>
        <w:jc w:val="left"/>
        <w:rPr>
          <w:rFonts w:ascii="Times New Roman" w:hAnsi="Times New Roman"/>
          <w:color w:val="000000"/>
          <w:sz w:val="20"/>
        </w:rPr>
      </w:pPr>
      <w:r>
        <w:rPr>
          <w:rFonts w:ascii="Times New Roman" w:hAnsi="Times New Roman"/>
          <w:color w:val="000000"/>
          <w:sz w:val="20"/>
        </w:rPr>
        <w:t>of restricted stock held by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During the six months ended June 30, 2026, the Company repurchased 5,158,349 shares of its common stock in the open market.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4, 2025, the Company's Board of Directors ("Board") authorized and approved a share repurchase program (the "Share Repurchase Program") covering the repurchase of up to $300 million of shares of the Company's common stock through an expiration date of June 30, 2028. On November 4, 2025, the Board authorized and approved an increase to the size of the Share Repurchase Program from $300 million to $500 million and also extended the expiration date from June 30, 2028 to December 31, 2029. Repurchases of the Company's common stock will be made in accordance with applicable securities laws and may be made at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the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the Company to purchase any particular amount of the Company’s common stock. During the six months ended June 30, 2026, the Company repurchased 5,158,349 shares of its common stock under the program.</w:t>
      </w:r>
    </w:p>
    <w:p>
      <w:pPr>
        <w:pStyle w:val="TextBody"/>
        <w:bidi w:val="0"/>
        <w:spacing w:before="90" w:after="16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Automatic Shelf Registration on Form S-3</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in connection with the shelf registration, the Company filed with the SEC a prospectus supplement related to the offer and sale from time to time of our common stock at an aggregate offering price of up to $300 million through sales agents. Sales of shares of GEO's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six months ended June 30, 2026 or 2025.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Comprehensive income (loss) represents the change in shareholders' equity from transactions and other events and circumstances arising from non-shareholder sources. The Company's total comprehensive income (loss) is comprised of net income (loss) attributable to GEO, net loss attributable to noncontrolling interests, foreign currency translation adjustments that arise from consolidating foreign operations that do not impact cash flows, net unrealized gains and/or losses on derivative instruments, marketable securities and pension liability adjustments within shareholders' equity and comprehensive income (loss).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components of accumulated other comprehensive loss attributable to GEO within shareholders' equity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146"/>
        <w:gridCol w:w="260"/>
        <w:gridCol w:w="912"/>
        <w:gridCol w:w="166"/>
        <w:gridCol w:w="146"/>
        <w:gridCol w:w="255"/>
        <w:gridCol w:w="691"/>
        <w:gridCol w:w="146"/>
        <w:gridCol w:w="146"/>
        <w:gridCol w:w="590"/>
        <w:gridCol w:w="1352"/>
        <w:gridCol w:w="166"/>
        <w:gridCol w:w="146"/>
        <w:gridCol w:w="340"/>
        <w:gridCol w:w="681"/>
        <w:gridCol w:w="146"/>
        <w:gridCol w:w="146"/>
        <w:gridCol w:w="211"/>
        <w:gridCol w:w="736"/>
        <w:gridCol w:w="214"/>
      </w:tblGrid>
      <w:tr>
        <w:trPr/>
        <w:tc>
          <w:tcPr>
            <w:tcW w:w="2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w:t>
              <w:br/>
              <w:t>translation</w:t>
              <w:br/>
              <w:t>adjustments,</w:t>
              <w:br/>
              <w:t>net of tax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in fair</w:t>
              <w:br/>
              <w:t>value of</w:t>
              <w:br/>
              <w:t>derivatives,</w:t>
              <w:br/>
              <w:t>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8"/>
        <w:gridCol w:w="146"/>
        <w:gridCol w:w="260"/>
        <w:gridCol w:w="911"/>
        <w:gridCol w:w="166"/>
        <w:gridCol w:w="146"/>
        <w:gridCol w:w="237"/>
        <w:gridCol w:w="709"/>
        <w:gridCol w:w="166"/>
        <w:gridCol w:w="146"/>
        <w:gridCol w:w="641"/>
        <w:gridCol w:w="1284"/>
        <w:gridCol w:w="166"/>
        <w:gridCol w:w="146"/>
        <w:gridCol w:w="275"/>
        <w:gridCol w:w="746"/>
        <w:gridCol w:w="166"/>
        <w:gridCol w:w="146"/>
        <w:gridCol w:w="211"/>
        <w:gridCol w:w="736"/>
        <w:gridCol w:w="213"/>
      </w:tblGrid>
      <w:tr>
        <w:trPr/>
        <w:tc>
          <w:tcPr>
            <w:tcW w:w="2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w:t>
              <w:br/>
              <w:t>translation</w:t>
              <w:br/>
              <w:t>adjustments,</w:t>
              <w:br/>
              <w:t>net of tax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in fair</w:t>
              <w:br/>
              <w:t>value of</w:t>
              <w:br/>
              <w:t>derivatives,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foreign currency translation related to noncontrolling interests was not significant at June 30, 2026 or 2025.</w:t>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7. EQUITY INCENTIVE PLANS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Board adopted The GEO Group, Inc. Second Amended and Restated 2018 Stock Incentive Plan (the “Amended 2018 Plan”), which was approved by the Company's shareholders and became effective on May 3, 2024. The Amended 2018 Plan supersedes the previous 2018 Stock Incentive Plan. As of the date the Amended 2018 Plan was approved by the Company’s shareholders, it provided for a reserve of an additional 12,400,000 shares of common stock that may be issued pursuant to awards granted under the Amended 2018 Plan. The Company filed a Form S-8 registration statement related to the Amended 2018 Plan on May 7, 2024.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uses a Black-Scholes option valuation model to estimate the fair value of each time-based or performance-based option awarded. A summary of the activity of stock option awards issued and outstanding under Company plans was as follows for the six months ended June 30, 2026:</w:t>
      </w:r>
    </w:p>
    <w:p>
      <w:pPr>
        <w:pStyle w:val="TextBody"/>
        <w:bidi w:val="0"/>
        <w:jc w:val="left"/>
        <w:rPr/>
      </w:pPr>
      <w:r>
        <w:rPr/>
        <w:t> </w:t>
      </w:r>
    </w:p>
    <w:tbl>
      <w:tblPr>
        <w:tblW w:w="10014" w:type="dxa"/>
        <w:jc w:val="left"/>
        <w:tblInd w:w="0" w:type="dxa"/>
        <w:tblLayout w:type="fixed"/>
        <w:tblCellMar>
          <w:top w:w="28" w:type="dxa"/>
          <w:left w:w="28" w:type="dxa"/>
          <w:bottom w:w="28" w:type="dxa"/>
          <w:right w:w="28" w:type="dxa"/>
        </w:tblCellMar>
      </w:tblPr>
      <w:tblGrid>
        <w:gridCol w:w="4426"/>
        <w:gridCol w:w="146"/>
        <w:gridCol w:w="229"/>
        <w:gridCol w:w="896"/>
        <w:gridCol w:w="166"/>
        <w:gridCol w:w="146"/>
        <w:gridCol w:w="230"/>
        <w:gridCol w:w="625"/>
        <w:gridCol w:w="146"/>
        <w:gridCol w:w="146"/>
        <w:gridCol w:w="250"/>
        <w:gridCol w:w="800"/>
        <w:gridCol w:w="146"/>
        <w:gridCol w:w="146"/>
        <w:gridCol w:w="267"/>
        <w:gridCol w:w="858"/>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forfeited/canceled/expired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granted approximately 399,000 options to certain employees which had a grant date fair value of $7.26. For the three months ended June 30, 2026 and 2025, the amount of stock-based compensation expense related to stock options was $0.6 million and $0.5 million, respectively. For the six months ended June 30, 2026 and 2025, the amount of stock-based compensation expense related to stock options was $1.1 million and $0.9 million, respectively. As of June 30, 2026, the Company had $6.4 million of unrecognized compensation costs related to non-vested stock option awards that are expected to be recognized over a weighted average period of 3.0 years.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Restricted Stock</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Compensation expense for nonvested stock awards is recorded over the vesting period based on the fair value at the date of grant. Generally, the restricted stock awards vest in equal increments generally over either a three- or four-year period. The fair value of restricted stock awards, which do not contain a market-based vesting condition, is determined using the closing price of the Company's common stock on the date of grant. The Company has historically issued share-based awards with service-based, performance-based and market-based vesting criteria.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summary of the activity of restricted stock outstanding is as follows for the six months ended June 30, 2026:</w:t>
      </w:r>
    </w:p>
    <w:p>
      <w:pPr>
        <w:pStyle w:val="TextBody"/>
        <w:bidi w:val="0"/>
        <w:jc w:val="left"/>
        <w:rPr/>
      </w:pPr>
      <w:r>
        <w:rPr/>
        <w:t> </w:t>
      </w:r>
    </w:p>
    <w:tbl>
      <w:tblPr>
        <w:tblW w:w="6695" w:type="dxa"/>
        <w:jc w:val="left"/>
        <w:tblInd w:w="0" w:type="dxa"/>
        <w:tblLayout w:type="fixed"/>
        <w:tblCellMar>
          <w:top w:w="28" w:type="dxa"/>
          <w:left w:w="28" w:type="dxa"/>
          <w:bottom w:w="28" w:type="dxa"/>
          <w:right w:w="28" w:type="dxa"/>
        </w:tblCellMar>
      </w:tblPr>
      <w:tblGrid>
        <w:gridCol w:w="3976"/>
        <w:gridCol w:w="146"/>
        <w:gridCol w:w="211"/>
        <w:gridCol w:w="914"/>
        <w:gridCol w:w="166"/>
        <w:gridCol w:w="146"/>
        <w:gridCol w:w="255"/>
        <w:gridCol w:w="690"/>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Company granted approximately 1,527,000 shares of restricted stock to certain employees and executive officers. Of these awards, 145,587 are market and performance-based awards which will be forfeited if the Company does not achieve certain annual metrics during 2026, 2027 and 2028.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vesting of these performance-based restricted stock grants are subject to the achievement by GEO of two annual performance metrics as follows: (i) up to 50% of the shares of restricted stock ("TSR Target Award") that will have one-third vest each year of the performance period if GEO meets certain total shareholder return ("TSR") performance targets, as compared to the total shareholder return of a peer group of companies, over a three year period from January 1, 2026 to December 31, 2028 and (ii) up to 50% of the shares of restricted stock ("ROCE Target Award") that will have one-third vest each year of the performance period if GEO meets certain return on capital employed ("ROCE") performance targets over a three year period from January 1, 2026 to December 31, 2028. These market and performance awards can vest at between 0% and 200% of the target awards for both metrics. The number of shares shown for the performance-based awards is based on the target awards for both metrics.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The fair value of these awards was determined based on the closing price of the Company's common stock on the date of grant.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metric related to TSR is considered to be a market condition. For share-based awards that contain a market condition, the probability of satisfying the market condition must be considered in the estimate of grant-date fair value and previously recorded compensation expense is not reversed if the market condition is never met. The fair value of these awards was determined based on a Monte Carlo simulation, which calculates a range of possible outcomes and the probabilities that they will occur, using the following weighted average key assumptions: (i) volatility of 50.3%; (ii) beta of 1.22; and (iii) risk free rate of 3.43%.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months ended June 30, 2026 and 2025, the Company recognized $4.3 million and $5.0 million, respectively, of compensation expense related to its restricted stock awards. For the six months ended June 30, 2026 and 2025, the Company recognized $11.5 million and $11.1 million, respectively, of compensation expense related to its restricted stock awards. As of June 30, 2026, the Company had $28.9 million of unrecognized compensation costs related to non-vested restricted stock awards, including non-vested restricted stock awards with performance-based and market-based vesting, that are expected to be recognized over a weighted average period of 2.5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Amended ESPP is considered to be non-compensatory. As such, there is no compensation expense required to be recognized. Share purchases under the Amended ESPP are made on the last day of each month. During the six months ended June 30, 2026 and 2025, 4,531 and 3,239 shares, respectively, of the Company's common stock were issued in connection with the Amended ESPP.</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8. EARNINGS PER SHARE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Basic earnings per share of common stock is computed by dividing the net income attributable to The GEO Group, Inc. by the weighted-average number of common shares outstanding for the period. The calculation of diluted earnings per share is similar to that of basic earnings per share except that the denominator includes dilutive common stock equivalents such as stock options and shares of restricted stock. Basic and diluted earnings per share were calculated for the three and six months ended June 30, 2026 and 2025 as follows (in thousands, except per share data):</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99"/>
        <w:gridCol w:w="146"/>
        <w:gridCol w:w="233"/>
        <w:gridCol w:w="864"/>
        <w:gridCol w:w="146"/>
        <w:gridCol w:w="146"/>
        <w:gridCol w:w="233"/>
        <w:gridCol w:w="864"/>
        <w:gridCol w:w="146"/>
        <w:gridCol w:w="146"/>
        <w:gridCol w:w="233"/>
        <w:gridCol w:w="864"/>
        <w:gridCol w:w="146"/>
        <w:gridCol w:w="146"/>
        <w:gridCol w:w="233"/>
        <w:gridCol w:w="864"/>
        <w:gridCol w:w="396"/>
      </w:tblGrid>
      <w:tr>
        <w:trPr/>
        <w:tc>
          <w:tcPr>
            <w:tcW w:w="4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48,666</w:t>
            </w:r>
          </w:p>
        </w:tc>
        <w:tc>
          <w:tcPr>
            <w:tcW w:w="3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 share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The GEO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assuming dilution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140,710</w:t>
            </w:r>
          </w:p>
        </w:tc>
        <w:tc>
          <w:tcPr>
            <w:tcW w:w="3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4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 share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591,094 weighted average shares of common stock underlying options were excluded from the computation of diluted earnings per share ("EPS") because the effect would be anti-dilutive. There were 330,951 common stock equivalents from restricted shares that were anti-dilutive for the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months ended June 30, 2025, 557,387 weighted average shares of common stock underlying options were excluded from the computation of diluted EPS because the effect would be anti-dilutive. There were 68,750 common stock equivalents from restricted shares that were anti-dilutive for the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 920,894 weighted average shares of common stock underlying options were excluded from the computation of diluted earnings per share ("EPS") because the effect would be anti-dilutive. There were 390,951 common stock equivalents from restricted shares that were anti-dilutive for the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six months ended June 30, 2025, 438,418 weighted average shares of common stock underlying options were excluded from the computation of diluted EPS because the effect would be anti-dilutive. There were 45,580 common stock equivalents from restricted shares that were anti-dilutive for the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9. DERIVATIVE FINANCIAL INSTRUMENTS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Company’s primary objective in holding derivatives is to reduce the volatility of earnings and cash flows associated with changes in interest rates. The Company measures its derivative financial instruments at fair value.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August of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(gain) loss recorded in other comprehensive income (loss), net of tax, related to these cash flow hedges was ($0.2) million and $0.3 million during the three months ended June 30, 2026 and 2025, respectively. Total unrealized (gain) loss recorded in other comprehensive income (loss), net of tax, related to these cash flow hedges was ($0.3) million and $1.0 million during the six months ended June 30, 2026 and 2025, respectively. The total fair value of the swap assets as of June 30, 2026 and December 31, 2025 was $3.8 million and is recorded as a component of Other Non-Current Assets within the accompanying consolidated balance sheets.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10 - Debt for additional information.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10. DEBT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Debt outstanding as of June 30, 2026 and December 31, 2025 consisted of the following (in thousands):</w:t>
      </w:r>
    </w:p>
    <w:p>
      <w:pPr>
        <w:pStyle w:val="TextBody"/>
        <w:bidi w:val="0"/>
        <w:jc w:val="left"/>
        <w:rPr/>
      </w:pPr>
      <w:r>
        <w:rPr/>
        <w:t> </w:t>
      </w:r>
    </w:p>
    <w:tbl>
      <w:tblPr>
        <w:tblW w:w="8234" w:type="dxa"/>
        <w:jc w:val="left"/>
        <w:tblInd w:w="0" w:type="dxa"/>
        <w:tblLayout w:type="fixed"/>
        <w:tblCellMar>
          <w:top w:w="28" w:type="dxa"/>
          <w:left w:w="28" w:type="dxa"/>
          <w:bottom w:w="28" w:type="dxa"/>
          <w:right w:w="28" w:type="dxa"/>
        </w:tblCellMar>
      </w:tblPr>
      <w:tblGrid>
        <w:gridCol w:w="5101"/>
        <w:gridCol w:w="146"/>
        <w:gridCol w:w="211"/>
        <w:gridCol w:w="931"/>
        <w:gridCol w:w="166"/>
        <w:gridCol w:w="146"/>
        <w:gridCol w:w="211"/>
        <w:gridCol w:w="931"/>
        <w:gridCol w:w="3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8.625%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8.625% Secured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10.250%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Due in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10.25% Unsecured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 net of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liabilities and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14, 2025, the Company entered into a First Amendment to Credit Agreement (the “First Amendment”) which amended its Credit Agreement dated as of April 18, 2024. The First Amendment increases the Company's Revolving Credit Facility (the “Revolver”) commitments from $310 million to $450 million and extends the Revolver’s maturity from April 15, 2029 to July 14, 2030. The First Amendment also lowered the applicable interest rates based on the total leverage ratio for loans using the Alternate Base Rate and loans using the Secured Overnight Financing Rate (“SOFR”) by 0.50%. Currently, revolving credit loans accruing interest at a SOFR based rate would accrue interest at the term SOFR reference rate for the applicable interest period plus 2.75% per annum, which is lower by 0.50% from the applicable rate prior to the First Amendment. The First Amendment also increases the Company's capacity to make restricted payments over the next five years and makes certain additional modifications to the Credit Agreement. Prior to the closing of the First Amendment, GEO repaid $132 million of the Term Loan B outstanding under the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Agreement. Subsequently, as a result of an asset sale of one of the Company's owned facilities, the Company repaid the remaining balance of the Term Loans under the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13, 2025, the Company entered into a Second Amendment to Credit Agreement (the “Second Amendment”), by and among each of GEO and GEO Corrections Holdings, Inc., as the Borrowers, the guarantors named therein, Citizens Bank, N.A., as administrative agent, and the lenders party thereto. The Second Amendment effectively removes the 3.00 to 1.00 total leverage ratio hurdle from one-half of the $150.0 million general carve-out to the Credit Agreement’s restricted payments negative covenant.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20, 2026, the Company entered into a Third Amendment to Credit Agreement (the “Third Amendment”), by and among each of GEO and GEO Corrections Holdings, Inc., as the Borrowers, the other loan parties named therein, Citizens Bank, N.A., as administrative agent, and the lenders party thereto. The Third Amendment increased the revolving credit facility commitments from $450 million to $550 million. The Third Amendment decreased the Incremental Amount (as defined in the Third Amendment) from $250 million to $150 million that the Company may request in the future in additional term loans, incremental equivalent debt or an increase to the revolving credit facility commitments, subject to the satisfaction of the applicable conditions in the Third Amendment and the Credit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certain customary representations and warranties, affirmative covenants and negative covenants, including restrictions on the ability of GEO and its restricted subsidiaries to, among other things, (i) create, incur or assume any indebtedness, (ii) create, incur, assume or permit liens, (iii) make loans and investments, (iv) engage in mergers, acquisitions and asset sales, (v) make certain restricted payments, (vi) engage in transactions with affiliates, (vii) cancel, forgive, make any voluntary or optional payment or prepayment on, or redeem or acquire for value any subordinated indebtedness, except as permitted under applicable subordination terms, (viii) engage in other businesses, except as permitted, and (ix) materially impair the security interests securing the obligations under the Credit Agreement. The Credit Agreement also contains certain financial covenants, including a maximum total leverage ratio covenant, a maximum first lien leverage ratio covenant and a minimum interest coverage ratio covenant. In addition, the Credit Agreement restricts GEO from electing to be taxed as a real estate investment trust under the Internal Revenue Code. The Credit Agreement also contains certain customary events of default.</w:t>
      </w:r>
    </w:p>
    <w:p>
      <w:pPr>
        <w:pStyle w:val="TextBody"/>
        <w:bidi w:val="0"/>
        <w:jc w:val="left"/>
        <w:rPr>
          <w:rFonts w:ascii="Times New Roman" w:hAnsi="Times New Roman"/>
          <w:color w:val="000000"/>
          <w:sz w:val="20"/>
        </w:rPr>
      </w:pPr>
      <w:r>
        <w:rPr>
          <w:rFonts w:ascii="Times New Roman" w:hAnsi="Times New Roman"/>
          <w:color w:val="000000"/>
          <w:sz w:val="20"/>
        </w:rPr>
        <w:t>The Credit Facility guarantors will guarantee the obligations in respect of the commitments and loans under the Credit Agreement. The obligations of the Credit Facility Borrowers and the Credit Facility guarantors in respect of the Credit Agreement will be secured by first-priority liens on substantially all of their assets, including real property interests with respect to which the Credit Agreement requires the execution and delivery of a mortgage. The rights of the holders of the Secured Notes in the Collateral (including the right to exercise remedies) are subject to the First Lien Intercreditor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the Company had $248.9 million in borrowings under its revolver, and approximately $56.9 million in letters of credit which left approximately $244.1 million in additional borrowing capacity under the revolver. The weighted average interest rate on outstanding borrowings under the Credit Agreement as of June 30, 2026 was 6.20%.</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Secured Notes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terms and conditions of the 2029 Indenture and the Secured Notes are as follows: </w:t>
      </w:r>
    </w:p>
    <w:p>
      <w:pPr>
        <w:pStyle w:val="TextBody"/>
        <w:bidi w:val="0"/>
        <w:jc w:val="left"/>
        <w:rPr>
          <w:rFonts w:ascii="Times New Roman" w:hAnsi="Times New Roman"/>
          <w:sz w:val="20"/>
        </w:rPr>
      </w:pPr>
      <w:r>
        <w:rPr>
          <w:rFonts w:ascii="Times New Roman" w:hAnsi="Times New Roman"/>
          <w:b/>
          <w:i/>
          <w:color w:val="000000"/>
          <w:sz w:val="20"/>
        </w:rPr>
        <w:t>Maturity</w:t>
      </w:r>
      <w:r>
        <w:rPr>
          <w:rFonts w:ascii="Times New Roman" w:hAnsi="Times New Roman"/>
          <w:color w:val="000000"/>
          <w:sz w:val="20"/>
        </w:rPr>
        <w:t>. The Secured Notes mature on April 15, 2029.</w:t>
      </w:r>
    </w:p>
    <w:p>
      <w:pPr>
        <w:pStyle w:val="TextBody"/>
        <w:bidi w:val="0"/>
        <w:jc w:val="left"/>
        <w:rPr>
          <w:rFonts w:ascii="Times New Roman" w:hAnsi="Times New Roman"/>
          <w:sz w:val="20"/>
        </w:rPr>
      </w:pPr>
      <w:r>
        <w:rPr>
          <w:rFonts w:ascii="Times New Roman" w:hAnsi="Times New Roman"/>
          <w:b/>
          <w:i/>
          <w:color w:val="000000"/>
          <w:sz w:val="20"/>
        </w:rPr>
        <w:t>Interest</w:t>
      </w:r>
      <w:r>
        <w:rPr>
          <w:rFonts w:ascii="Times New Roman" w:hAnsi="Times New Roman"/>
          <w:color w:val="000000"/>
          <w:sz w:val="20"/>
        </w:rPr>
        <w:t>. The Secured Notes accrue interest at a rate of 8.625% per year. Interest on the Secured Notes is payable semi-annually on each April 15 and October 15, which commenced on October 15, 2024.</w:t>
      </w:r>
    </w:p>
    <w:p>
      <w:pPr>
        <w:pStyle w:val="TextBody"/>
        <w:bidi w:val="0"/>
        <w:jc w:val="left"/>
        <w:rPr>
          <w:rFonts w:ascii="Times New Roman" w:hAnsi="Times New Roman"/>
          <w:sz w:val="20"/>
        </w:rPr>
      </w:pPr>
      <w:r>
        <w:rPr>
          <w:rFonts w:ascii="Times New Roman" w:hAnsi="Times New Roman"/>
          <w:b/>
          <w:i/>
          <w:color w:val="000000"/>
          <w:sz w:val="20"/>
        </w:rPr>
        <w:t>Issue Price</w:t>
      </w:r>
      <w:r>
        <w:rPr>
          <w:rFonts w:ascii="Times New Roman" w:hAnsi="Times New Roman"/>
          <w:color w:val="000000"/>
          <w:sz w:val="20"/>
        </w:rPr>
        <w:t>. The Secured Notes were issued at par.</w:t>
      </w:r>
    </w:p>
    <w:p>
      <w:pPr>
        <w:pStyle w:val="TextBody"/>
        <w:bidi w:val="0"/>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The Secured Notes are fully and unconditionally guaranteed by each of the Initial Guarantors (as defined in the 2029 Indenture) and may be guaranteed by additional subsidiaries of the Company when a subsidiary guarantees debt under the credit facilities (other than debt securities) and debt securities in an aggregate principal amount of at least $100.0 million.</w:t>
      </w:r>
    </w:p>
    <w:p>
      <w:pPr>
        <w:pStyle w:val="TextBody"/>
        <w:bidi w:val="0"/>
        <w:jc w:val="left"/>
        <w:rPr>
          <w:rFonts w:ascii="Times New Roman" w:hAnsi="Times New Roman"/>
          <w:sz w:val="20"/>
        </w:rPr>
      </w:pPr>
      <w:r>
        <w:rPr>
          <w:rFonts w:ascii="Times New Roman" w:hAnsi="Times New Roman"/>
          <w:b/>
          <w:i/>
          <w:color w:val="000000"/>
          <w:sz w:val="20"/>
        </w:rPr>
        <w:t>Ranking</w:t>
      </w:r>
      <w:r>
        <w:rPr>
          <w:rFonts w:ascii="Times New Roman" w:hAnsi="Times New Roman"/>
          <w:color w:val="000000"/>
          <w:sz w:val="20"/>
        </w:rPr>
        <w:t>. The Secured Notes and the Secured Note Guarantees are GEO and the Guarantors’ respective senior, secured obligations, and the indebtedness evidenced by the Secured Notes and the Secured Note Guarantees will rank equal in right of payment to all of GEO’s and the Guarantors’ other existing and future senior obligations, including the indebtedness under the Credit Agreement and the guarantees thereof; effectively senior in right of payment to all of GEO’s and the Guarantors’ existing and future unsecured indebtedness, including the Unsecured Notes, and the guarantees thereof, to the extent of the value of the Collateral (as defined below); senior in right of payment to any of GEO’s and the Guarantors’ future subordinated indebtedness; effectively junior in right of payment to any of GEO’s and the Guarantors’ future secured indebtedness that is secured by a lien on any assets not constituting Collateral, to the extent of the value of such assets; and structurally subordinated to all existing and future indebtedness and other liabilities of Subsidiaries that do not guarantee the Secured Notes and joint ventures, including trade payables.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Security. </w:t>
      </w:r>
      <w:r>
        <w:rPr>
          <w:rFonts w:ascii="Times New Roman" w:hAnsi="Times New Roman"/>
          <w:color w:val="000000"/>
          <w:sz w:val="20"/>
        </w:rPr>
        <w:t>The Secured Notes and the Secured Note Guarantees are secured on a first-priority basis by the same collateral (the “Collateral”) that secures the obligations under the Credit Agreement in accordance with the terms of the 2029 Indenture and security agreements relating to the Collateral and instruments filed and recorded in appropriate jurisdictions to preserve and protect the liens on the Collateral (including, without limitation, mortgages, deeds of trust or deed to secure debt and financing statements under the Uniform Commercial Code of the relevant states applicable to the Collateral), each for the benefit of the Trustee, Collateral Agent and the holders of the Secured Notes.</w:t>
      </w:r>
    </w:p>
    <w:p>
      <w:pPr>
        <w:pStyle w:val="TextBody"/>
        <w:bidi w:val="0"/>
        <w:jc w:val="left"/>
        <w:rPr>
          <w:rFonts w:ascii="Times New Roman" w:hAnsi="Times New Roman"/>
          <w:sz w:val="20"/>
        </w:rPr>
      </w:pPr>
      <w:r>
        <w:rPr>
          <w:rFonts w:ascii="Times New Roman" w:hAnsi="Times New Roman"/>
          <w:b/>
          <w:i/>
          <w:color w:val="000000"/>
          <w:sz w:val="20"/>
        </w:rPr>
        <w:t>Mandatory Redemption</w:t>
      </w:r>
      <w:r>
        <w:rPr>
          <w:rFonts w:ascii="Times New Roman" w:hAnsi="Times New Roman"/>
          <w:color w:val="000000"/>
          <w:sz w:val="20"/>
        </w:rPr>
        <w:t>. The Company is not required to make mandatory redemption or sinking fund payments with respect to the Secured Notes.</w:t>
      </w:r>
    </w:p>
    <w:p>
      <w:pPr>
        <w:pStyle w:val="TextBody"/>
        <w:bidi w:val="0"/>
        <w:jc w:val="left"/>
        <w:rPr>
          <w:rFonts w:ascii="Times New Roman" w:hAnsi="Times New Roman"/>
          <w:sz w:val="20"/>
        </w:rPr>
      </w:pPr>
      <w:r>
        <w:rPr>
          <w:rFonts w:ascii="Times New Roman" w:hAnsi="Times New Roman"/>
          <w:b/>
          <w:i/>
          <w:color w:val="000000"/>
          <w:sz w:val="20"/>
        </w:rPr>
        <w:t>Optional Redemption</w:t>
      </w:r>
      <w:r>
        <w:rPr>
          <w:rFonts w:ascii="Times New Roman" w:hAnsi="Times New Roman"/>
          <w:color w:val="000000"/>
          <w:sz w:val="20"/>
        </w:rPr>
        <w:t>. On or after April 15, 2026, the Company may redeem all or a part of the Secured Notes (which includes Additional Notes (as defined in the 2029 Indenture), if any), upon not less than 10 nor more than 60 days’ notice, at the fixed redemption prices expressed as percentages of the principal amount set forth in the 2029 Indenture, plus accrued and unpaid interest, if any, on the Secured Notes redeemed, to, but excluding, the applicable redemption date, subject to the rights of holders of Secured Notes on the relevant record date to receive interest due on the relevant interest payment date if the Secured Notes have not been redeemed prior to such date. In addition, the Company was able to redeem up to 35% of the aggregate principal amount of the Secured Notes at any time and from time to time before April 15, 2026, with an amount up to the net proceeds of certain equity offerings at a redemption price of 108.625% of the principal amount plus accrued and unpaid interest, if any, to, but excluding, the redemption date provided, that (1) at least 65% of the aggregate principal amount of Secured Notes remains outstanding immediately after the occurrence of that redemption and (2) the redemption occurs within 90 days of the date of the closing of the equity offering. The Company was able to redeem the Secured Notes, in whole or in part, at any time and from time to time before April 15, 2026, at a redemption price equal to 100% of the principal amount of the Secured Notes (which includes Additional Notes, if any), plus the Applicable Premium (as defined in the 2029 Indenture) as of the applicable redemption date, plus accrued and unpaid interest, if any, to, but excluding, the redemption date, subject to the rights of holders of Secured Notes on the relevant record date to receive interest due on the relevant interest payment date if the Secured Notes have not been redeemed prior to such date. Additionally, during any twelve-month period prior to April 15, 2026, the Company was entitled at its option on one or more occasions to redeem the Secured Notes (which includes Additional Notes, if any) in an aggregate principal amount not to exceed 10% of the aggregate principal amount of the outstanding Secured Notes (which includes Additional Notes, if any) at a redemption price (calculated by the Company and expressed as a percentage of principal amount) of 103.000%, plus accrued and unpaid interest, if any, to, but excluding, the redemption date.</w:t>
      </w:r>
    </w:p>
    <w:p>
      <w:pPr>
        <w:pStyle w:val="TextBody"/>
        <w:bidi w:val="0"/>
        <w:jc w:val="left"/>
        <w:rPr>
          <w:rFonts w:ascii="Times New Roman" w:hAnsi="Times New Roman"/>
          <w:sz w:val="20"/>
        </w:rPr>
      </w:pPr>
      <w:r>
        <w:rPr>
          <w:rFonts w:ascii="Times New Roman" w:hAnsi="Times New Roman"/>
          <w:b/>
          <w:i/>
          <w:color w:val="000000"/>
          <w:sz w:val="20"/>
        </w:rPr>
        <w:t>Change of Control</w:t>
      </w:r>
      <w:r>
        <w:rPr>
          <w:rFonts w:ascii="Times New Roman" w:hAnsi="Times New Roman"/>
          <w:color w:val="000000"/>
          <w:sz w:val="20"/>
        </w:rPr>
        <w:t>. If a Change of Control (as defined in the 2029 Indenture) occurs, the Company will offer a payment in cash equal to 101% of the aggregate principal amount of Secured Notes repurchased, plus accrued and unpaid interest, if any, on the Secured Notes repurchased, to (but not including) the date of purchase, subject to the right of holders on the relevant record date to receive interest due on the relevant interest payment date if the Secured Notes have not been redeemed or repurchased prior to such date.</w:t>
      </w:r>
    </w:p>
    <w:p>
      <w:pPr>
        <w:pStyle w:val="TextBody"/>
        <w:bidi w:val="0"/>
        <w:jc w:val="left"/>
        <w:rPr>
          <w:rFonts w:ascii="Times New Roman" w:hAnsi="Times New Roman"/>
          <w:sz w:val="20"/>
        </w:rPr>
      </w:pPr>
      <w:r>
        <w:rPr>
          <w:rFonts w:ascii="Times New Roman" w:hAnsi="Times New Roman"/>
          <w:b/>
          <w:i/>
          <w:color w:val="000000"/>
          <w:sz w:val="20"/>
        </w:rPr>
        <w:t>Certain Covenants</w:t>
      </w:r>
      <w:r>
        <w:rPr>
          <w:rFonts w:ascii="Times New Roman" w:hAnsi="Times New Roman"/>
          <w:color w:val="000000"/>
          <w:sz w:val="20"/>
        </w:rPr>
        <w:t>. The 2029 Indenture contains certain covenants that will limit, among other things, the Company’s and its Restricted Subsidiaries’ (as defined in the 2029 Indenture) ability to: incur additional indebtedness (including guarantees thereof); incur or create liens, other than Permitted Liens (as defined in the 2029 Indenture); make certain Restricted Payments (as defined in the 2029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2029 Indenture); engage in certain transactions with affiliates; and engage in any business other than Permitted Businesses (as defined in the 2029 Indenture). These covenants are subject to a number of important limitations and exceptions.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Events of Default</w:t>
      </w:r>
      <w:r>
        <w:rPr>
          <w:rFonts w:ascii="Times New Roman" w:hAnsi="Times New Roman"/>
          <w:color w:val="000000"/>
          <w:sz w:val="20"/>
        </w:rPr>
        <w:t>. The 2029 Indenture contains customary events of default which could, subject to certain conditions, cause the Secured Notes to become immediately due and payable.</w:t>
      </w:r>
    </w:p>
    <w:p>
      <w:pPr>
        <w:pStyle w:val="TextBody"/>
        <w:bidi w:val="0"/>
        <w:jc w:val="left"/>
        <w:rPr>
          <w:rFonts w:ascii="Times New Roman" w:hAnsi="Times New Roman"/>
          <w:color w:val="000000"/>
          <w:sz w:val="20"/>
        </w:rPr>
      </w:pPr>
      <w:r>
        <w:rPr>
          <w:rFonts w:ascii="Times New Roman" w:hAnsi="Times New Roman"/>
          <w:color w:val="000000"/>
          <w:sz w:val="20"/>
        </w:rPr>
        <w:t>The Secured Notes are also subject to the terms of the First Lien Intercreditor Agreement (the “First Lien Intercreditor Agreement”), dated April 18, 2024, among GEO, GEOCH, the other grantors from time to time party thereto, Citizens Bank, N.A., as Credit Agreement Collateral Agent and Authorized Representative for the Credit Agreement Secured Parties, and Ankura Trust Company, LLC as Initial Additional Collateral Agent and Initial Additional Authorized Representative. The First Lien Intercreditor Agreement sets forth the relative rights and obligations of the holders of First Lien Secured Obligations (which means (i) all obligations as defined in the Credit Agreement, (ii) all obligations under the Secured Notes, the 2029 Indenture, the Secured Note Guarantees and the Security Documents (as defined in the 2029 Indenture), and (iii) any other indebtedness secured on a first lien pari passu basis with such obligations), in each case, with respect to shared Collateral.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Unsecured Notes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terms and conditions of the 2031 Indenture and the Unsecured Notes are as follows: </w:t>
      </w:r>
    </w:p>
    <w:p>
      <w:pPr>
        <w:pStyle w:val="TextBody"/>
        <w:bidi w:val="0"/>
        <w:jc w:val="left"/>
        <w:rPr>
          <w:rFonts w:ascii="Times New Roman" w:hAnsi="Times New Roman"/>
          <w:sz w:val="20"/>
        </w:rPr>
      </w:pPr>
      <w:r>
        <w:rPr>
          <w:rFonts w:ascii="Times New Roman" w:hAnsi="Times New Roman"/>
          <w:b/>
          <w:i/>
          <w:color w:val="000000"/>
          <w:sz w:val="20"/>
        </w:rPr>
        <w:t>Maturity</w:t>
      </w:r>
      <w:r>
        <w:rPr>
          <w:rFonts w:ascii="Times New Roman" w:hAnsi="Times New Roman"/>
          <w:color w:val="000000"/>
          <w:sz w:val="20"/>
        </w:rPr>
        <w:t>. The Unsecured Notes mature on April 15, 2031.</w:t>
      </w:r>
    </w:p>
    <w:p>
      <w:pPr>
        <w:pStyle w:val="TextBody"/>
        <w:bidi w:val="0"/>
        <w:jc w:val="left"/>
        <w:rPr>
          <w:rFonts w:ascii="Times New Roman" w:hAnsi="Times New Roman"/>
          <w:sz w:val="20"/>
        </w:rPr>
      </w:pPr>
      <w:r>
        <w:rPr>
          <w:rFonts w:ascii="Times New Roman" w:hAnsi="Times New Roman"/>
          <w:b/>
          <w:i/>
          <w:color w:val="000000"/>
          <w:sz w:val="20"/>
        </w:rPr>
        <w:t>Interest</w:t>
      </w:r>
      <w:r>
        <w:rPr>
          <w:rFonts w:ascii="Times New Roman" w:hAnsi="Times New Roman"/>
          <w:color w:val="000000"/>
          <w:sz w:val="20"/>
        </w:rPr>
        <w:t>. The Unsecured Notes accrue interest at a rate of 10.250% per year. Interest on the Unsecured Notes is payable semi-annually on each April 15 and October 15, which commenced on October 15, 2024.</w:t>
      </w:r>
    </w:p>
    <w:p>
      <w:pPr>
        <w:pStyle w:val="TextBody"/>
        <w:bidi w:val="0"/>
        <w:jc w:val="left"/>
        <w:rPr>
          <w:rFonts w:ascii="Times New Roman" w:hAnsi="Times New Roman"/>
          <w:sz w:val="20"/>
        </w:rPr>
      </w:pPr>
      <w:r>
        <w:rPr>
          <w:rFonts w:ascii="Times New Roman" w:hAnsi="Times New Roman"/>
          <w:b/>
          <w:i/>
          <w:color w:val="000000"/>
          <w:sz w:val="20"/>
        </w:rPr>
        <w:t>Issue Price</w:t>
      </w:r>
      <w:r>
        <w:rPr>
          <w:rFonts w:ascii="Times New Roman" w:hAnsi="Times New Roman"/>
          <w:color w:val="000000"/>
          <w:sz w:val="20"/>
        </w:rPr>
        <w:t>. The Unsecured Notes were issued at par.</w:t>
      </w:r>
    </w:p>
    <w:p>
      <w:pPr>
        <w:pStyle w:val="TextBody"/>
        <w:bidi w:val="0"/>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The Unsecured Notes are fully and unconditionally guaranteed by each of the Initial Guarantors (as defined in the 2031 Indenture) and may be guaranteed by additional subsidiaries of the Company when a subsidiary guarantees debt under the credit facilities (other than debt securities) and debt securities in an aggregate principal amount of at least $100.0 million.</w:t>
      </w:r>
    </w:p>
    <w:p>
      <w:pPr>
        <w:pStyle w:val="TextBody"/>
        <w:bidi w:val="0"/>
        <w:jc w:val="left"/>
        <w:rPr>
          <w:rFonts w:ascii="Times New Roman" w:hAnsi="Times New Roman"/>
          <w:sz w:val="20"/>
        </w:rPr>
      </w:pPr>
      <w:r>
        <w:rPr>
          <w:rFonts w:ascii="Times New Roman" w:hAnsi="Times New Roman"/>
          <w:b/>
          <w:i/>
          <w:color w:val="000000"/>
          <w:sz w:val="20"/>
        </w:rPr>
        <w:t>Mandatory Redemption</w:t>
      </w:r>
      <w:r>
        <w:rPr>
          <w:rFonts w:ascii="Times New Roman" w:hAnsi="Times New Roman"/>
          <w:color w:val="000000"/>
          <w:sz w:val="20"/>
        </w:rPr>
        <w:t>. The Company is not required to make mandatory redemption or sinking fund payments with respect to the Unsecured Notes.</w:t>
      </w:r>
    </w:p>
    <w:p>
      <w:pPr>
        <w:pStyle w:val="TextBody"/>
        <w:bidi w:val="0"/>
        <w:jc w:val="left"/>
        <w:rPr>
          <w:rFonts w:ascii="Times New Roman" w:hAnsi="Times New Roman"/>
          <w:sz w:val="20"/>
        </w:rPr>
      </w:pPr>
      <w:r>
        <w:rPr>
          <w:rFonts w:ascii="Times New Roman" w:hAnsi="Times New Roman"/>
          <w:b/>
          <w:i/>
          <w:color w:val="000000"/>
          <w:sz w:val="20"/>
        </w:rPr>
        <w:t>Optional Redemption</w:t>
      </w:r>
      <w:r>
        <w:rPr>
          <w:rFonts w:ascii="Times New Roman" w:hAnsi="Times New Roman"/>
          <w:color w:val="000000"/>
          <w:sz w:val="20"/>
        </w:rPr>
        <w:t>. On or after April 15, 2027, the Company may redeem all or a part of the Unsecured Notes (which includes Additional Notes (as defined in the 2031 Indenture), if any), upon not less than 10 nor more than 60 days’ notice, at the fixed redemption prices expressed as percentages of the principal amount set forth in the 2031 Indenture, plus accrued and unpaid interest, if any, on the Unsecured Notes redeemed, to, but excluding, the applicable redemption date, subject to the rights of holders of Unsecured Notes on the relevant record date to receive interest due on the relevant interest payment date if the Unsecured Notes have not been redeemed prior to such date. In addition, the Company may redeem up to 35% of the aggregate principal amount of the Unsecured Notes at any time and from time to time before April 15, 2027, with an amount up to the net proceeds of certain equity offerings at a redemption price of 110.250% of the principal amount plus accrued and unpaid interest, if any, to, but excluding, the redemption date provided, that (1) at least 65% of the aggregate principal amount of Unsecured Notes remains outstanding immediately after the occurrence of that redemption and (2) the redemption occurs within 90 days of the date of the closing of the equity offering. The Company may also redeem the Unsecured Notes, in whole or in part, at any time and from time to time before April 15, 2027, at a redemption price equal to 100% of the principal amount of the Unsecured Notes (which includes Additional Notes, if any), plus the Applicable Premium (as defined in the 2031 Indenture) as of the applicable redemption date, plus accrued and unpaid interest, if any, to, but excluding, the redemption date, subject to the rights of holders of Unsecured Notes on the relevant record date to receive interest due on the relevant interest payment date if the Unsecured Notes have not been redeemed prior to such date.</w:t>
      </w:r>
    </w:p>
    <w:p>
      <w:pPr>
        <w:pStyle w:val="TextBody"/>
        <w:bidi w:val="0"/>
        <w:jc w:val="left"/>
        <w:rPr>
          <w:rFonts w:ascii="Times New Roman" w:hAnsi="Times New Roman"/>
          <w:sz w:val="20"/>
        </w:rPr>
      </w:pPr>
      <w:r>
        <w:rPr>
          <w:rFonts w:ascii="Times New Roman" w:hAnsi="Times New Roman"/>
          <w:b/>
          <w:i/>
          <w:color w:val="000000"/>
          <w:sz w:val="20"/>
        </w:rPr>
        <w:t>Change of Control</w:t>
      </w:r>
      <w:r>
        <w:rPr>
          <w:rFonts w:ascii="Times New Roman" w:hAnsi="Times New Roman"/>
          <w:color w:val="000000"/>
          <w:sz w:val="20"/>
        </w:rPr>
        <w:t>. If a Change of Control (as defined in the 2031 Indenture) occurs, the Company will offer a payment in cash equal to 101% of the aggregate principal amount of Unsecured Notes repurchased, plus accrued and unpaid interest, if any, on the Unsecured Notes repurchased, to (but not including) the date of purchase, subject to the right of holders on the relevant record date to receive interest due on the relevant interest payment date if the Unsecured Notes have not been redeemed or repurchased prior to such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Certain Covenants</w:t>
      </w:r>
      <w:r>
        <w:rPr>
          <w:rFonts w:ascii="Times New Roman" w:hAnsi="Times New Roman"/>
          <w:color w:val="000000"/>
          <w:sz w:val="20"/>
        </w:rPr>
        <w:t>. The 2031 Indenture contains certain covenants that will limit, among other things, the Company’s and its Restricted Subsidiaries’ (as defined in the 2031 Indenture) ability to: incur additional indebtedness (including guarantees thereof); incur or create liens, other than Permitted Liens (as defined in the 2031 Indenture); make certain Restricted Payments (as defined in the 2031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2031 Indenture); engage in certain transactions with affiliates; and engage in any business other than Permitted Businesses (as defined in the 2031 Indenture). These covenants are subject to a number of important limitations and exceptions.</w:t>
      </w:r>
    </w:p>
    <w:p>
      <w:pPr>
        <w:pStyle w:val="TextBody"/>
        <w:bidi w:val="0"/>
        <w:jc w:val="left"/>
        <w:rPr>
          <w:rFonts w:ascii="Times New Roman" w:hAnsi="Times New Roman"/>
          <w:sz w:val="20"/>
        </w:rPr>
      </w:pPr>
      <w:r>
        <w:rPr>
          <w:rFonts w:ascii="Times New Roman" w:hAnsi="Times New Roman"/>
          <w:b/>
          <w:i/>
          <w:color w:val="000000"/>
          <w:sz w:val="20"/>
        </w:rPr>
        <w:t>Events of Default</w:t>
      </w:r>
      <w:r>
        <w:rPr>
          <w:rFonts w:ascii="Times New Roman" w:hAnsi="Times New Roman"/>
          <w:color w:val="000000"/>
          <w:sz w:val="20"/>
        </w:rPr>
        <w:t>. The 2031 Indenture contains customary events of default which could, subject to certain conditions, cause the Unsecured Notes to become immediately due and payable.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August of 2019, the Company entered into two identical notes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The Company has entered into interest rate swap agreements to fix the interest rate to 4.22%. Included in the balance at June 30, 2026 is $0.4 million of deferred loan costs incurred in the transaction. Refer to Note 9 - Derivative Financial Instruments for further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was in compliance with its debt covenants at June 30, 2026.</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Guarantees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Australia</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has entered into a guarantee in the form of a letter of credit in connection with the operating performance of a facility in Australia. The obligation amounted to approximately AUD59.8 million, or $41.2 million, based on exchange rates as of June 30,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the Company also had seven other letters of credit outstanding under separate international facilities relating to performance guarantees of its Australian subsidiary totaling AUD11.4 million, or $7.8 million, based on exchange rates as of June 30, 2026.</w:t>
      </w:r>
    </w:p>
    <w:p>
      <w:pPr>
        <w:pStyle w:val="TextBody"/>
        <w:bidi w:val="0"/>
        <w:jc w:val="left"/>
        <w:rPr>
          <w:rFonts w:ascii="Times New Roman" w:hAnsi="Times New Roman"/>
          <w:color w:val="000000"/>
          <w:sz w:val="20"/>
        </w:rPr>
      </w:pPr>
      <w:r>
        <w:rPr>
          <w:rFonts w:ascii="Times New Roman" w:hAnsi="Times New Roman"/>
          <w:color w:val="000000"/>
          <w:sz w:val="20"/>
        </w:rPr>
        <w:t>Except as discussed above, the Company does not have any off-balance sheet arrangements.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11. COMMITMENTS, CONTINGENCIES AND OTHER MATTERS</w:t>
      </w:r>
    </w:p>
    <w:p>
      <w:pPr>
        <w:pStyle w:val="TextBody"/>
        <w:bidi w:val="0"/>
        <w:spacing w:before="270" w:after="283"/>
        <w:jc w:val="left"/>
        <w:rPr>
          <w:rFonts w:ascii="Times New Roman" w:hAnsi="Times New Roman"/>
          <w:sz w:val="20"/>
        </w:rPr>
      </w:pPr>
      <w:r>
        <w:rPr>
          <w:rFonts w:ascii="Times New Roman" w:hAnsi="Times New Roman"/>
          <w:b/>
          <w:i/>
          <w:color w:val="000000"/>
          <w:sz w:val="20"/>
        </w:rPr>
        <w:t>Litigation,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Oral argument before the Supreme Court was held on November 10, 2025. On February 25, 2026, the Supreme Court issued a decision affirming the decision of the Tenth Circuit and finding that there is no immediate right to appellate review of a ruling on GEO’s Yearsley defense. The Supreme Court further stated that the holding still allows immediate appellate review of a ruling on a Yearsley defense via a separate appellate certification process. On April 6, 2026, GEO filed a motion seeking certification of the appeal of its Yearsley defense, a motion to stay any further proceedings pending resolution of GEO’s Petition for Writ of Certiorari to the Supreme Court in Nwauzor v. GEO (discussed below), and a separate motion for summary judgment under qualified immunity. Briefing on those motions was completed on May 25, 2026.</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issued an Opinion by a 2-1 vote affirming the lower court’s decision. That Opinion includes a 24-page dissenting opinion.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2025, the Ninth Circuit issued an order denying GEO’s Petition for Rehearing En Banc. That order included six dissenting opinions. On September 2, 2025, the Ninth Circuit granted GEO’s motion to stay the issuance of the Court’s mandate pending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final mandate has not been issued by the Ninth Circuit, and the appeal remains pending until resolution of GEO's Petition for Writ of Certiorari to the Supreme Court. On January 9, 2026, GEO filed its Petition for Writ of Certiorari to the Supreme Court. Briefing on GEO’s Petition was completed on April 24, 2026. On May 18, 2026, the Supreme Court requested the views of the United States Solicitor General. Although the Company strongly disputes this claim and continues to vigorously defend itself, the Company accrued a reserve of approximately $37.6 million, which is included in Other Non-Current Liabilities in the accompanying consolidated balance sheets, in accordance with Accounting Standards Codification No. 450 - Contingencies during the third quarter of 2025.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Nwauzor and a motion to dismiss the action in its entirety. On July 10, 2023, the court entered a stay until the Ninth Circuit rules on Nwauzor. On February 10, 2025, the Court denied plaintiffs’ request to lift the stay. On September 2, 2025, the Ninth Circuit granted GEO's Unopposed Motion to Stay the Nwauzor Mandate Pending Disposition of a Petition for Certiorari. The Ninth Circuit ordered that "the mandate is stayed for a period not to exceed 90 days pending the filing of the petition for writ of certiorari in the Supreme Court. Should Appellants file for a writ of certiorari, the stay shall continue until final disposition by the Supreme Court." On January 9, 2026, GEO filed its Petition for Writ of Certiorari to the Supreme Court. Briefing on GEO’s Petition was completed on April 24, 2026. On May 18, 2026, the Supreme Court requested the views of the United States Solicitor General. GEO’s Petition in the Nwauzor lawsuits remains pending, and this case remains stayed pending resolution of that Petition.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other than in connection with the Nwauzor case discussed above, at this time as losses are not considered probable nor reasonably estimable. If GEO were not to prevail in these cases, it could have an adverse effect on GEO's business and results of operations.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 On May 23, 2025, GEO filed a motion to dismiss the appeal as moot based on a newly enacted statute that amended portions of HB 1470. On August 18, 2025, the Ninth Circuit denied GEO’s motion to dismiss the appeal, vacated the District Court’s grant of a preliminary injunction, and remanded the case to the District Court for further proceedings. On September 16, 2025, GEO filed a Petition for Rehearing En Banc. On February 11, 2026, the Ninth Circuit denied GEO’s Petition for Rehearing En Banc, with eight justices of the Ninth Circuit joining a harshly worded dissent from that decision. On February 16, 2026, GEO filed a Rule 41 motion with the Ninth Circuit seeking a stay of the mandate pending GEO’s Petition for Writ of Certiorari to the Supreme Court of the United States. On May 4, 2026, the District Court denied GEO’s request to stay the proceedings pending the Supreme Court petition, and the parties briefed motions for preliminary injunction. On July 9, 2026, the district court granted the State of Washington’s motions for an injunction allowing the state access to certain portions of the Center. However, the district court stayed the injunction for 14 days pending GEO’s appeal of the orders. GEO filed timely notices of appeal from those orders on July 13, 2026, and on July 10, 2026, GEO filed a Petition for Writ of Certiorari with the United States Supreme Court seeking review of the Ninth Circuit's decision in this case. </w:t>
      </w:r>
    </w:p>
    <w:p>
      <w:pPr>
        <w:pStyle w:val="TextBody"/>
        <w:bidi w:val="0"/>
        <w:jc w:val="left"/>
        <w:rPr>
          <w:rFonts w:ascii="Times New Roman" w:hAnsi="Times New Roman"/>
          <w:color w:val="000000"/>
          <w:sz w:val="20"/>
        </w:rPr>
      </w:pPr>
      <w:r>
        <w:rPr>
          <w:rFonts w:ascii="Times New Roman" w:hAnsi="Times New Roman"/>
          <w:color w:val="000000"/>
          <w:sz w:val="20"/>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 On August 22, 2025, the District Court entered an order permanently enjoining the Defendants from enforcing Assembly Bill 5207 against GEO with respect to GEO negotiating or contracting with the United States government to operate immigration detention facilities in New Jersey.</w:t>
      </w:r>
    </w:p>
    <w:p>
      <w:pPr>
        <w:pStyle w:val="TextBody"/>
        <w:bidi w:val="0"/>
        <w:jc w:val="left"/>
        <w:rPr>
          <w:rFonts w:ascii="Times New Roman" w:hAnsi="Times New Roman"/>
          <w:color w:val="000000"/>
          <w:sz w:val="20"/>
        </w:rPr>
      </w:pPr>
      <w:r>
        <w:rPr>
          <w:rFonts w:ascii="Times New Roman" w:hAnsi="Times New Roman"/>
          <w:color w:val="000000"/>
          <w:sz w:val="20"/>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8, 2026, the Company filed a lawsuit in the U.S. District Court for the District of Colorado against the State of Colorado for declaratory and injunctive relief challenging the State of Colorado’s newly enacted law – House Bill 1276 which purports to empower Colorado state agencies with new inspection and investigation powers over GEO’s Colorado facilities providing contracted services to ICE. Briefing on those motions was completed in early July 2026, and GEO is awaiting a decision from the District Court.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Assessment</w:t>
      </w:r>
    </w:p>
    <w:p>
      <w:pPr>
        <w:pStyle w:val="TextBody"/>
        <w:bidi w:val="0"/>
        <w:jc w:val="left"/>
        <w:rPr>
          <w:rFonts w:ascii="Times New Roman" w:hAnsi="Times New Roman"/>
          <w:color w:val="000000"/>
          <w:sz w:val="20"/>
        </w:rPr>
      </w:pPr>
      <w:r>
        <w:rPr>
          <w:rFonts w:ascii="Times New Roman" w:hAnsi="Times New Roman"/>
          <w:color w:val="000000"/>
          <w:sz w:val="20"/>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were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was finalized and on May 12, 2026, the Company received a notice of assessment for $14.9 million, which is due by the end of October 2026. The Company intends to pay this amount and has recognized a tax benefit of approximately $1.1 million.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Company currently has contractual commitments for a number of projects using Company financing. The Company’s management estimates that the cost of these existing active capital projects will be approximately $52.9 million of which $32.9 million was spent through the first six months of 2026. The Company estimates the remaining capital requirements related to these capital projects will be $20.0 million which will be spent throughout the remainder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As of June 30, 2026, the Company was marketing (or awaiting activation of) eight idle facilities to potential customers. One of the facilities, Cheyenne Mountain Recovery Center, is under a contract which has yet to be activated. The carrying values of these idle facilities are included in Property and Equipment in the accompanying consolidated balance sheets. The following table summarizes each of the idled facilities and their respective carrying values, excluding equipment and other assets that can be easily transferred for use at other facilities. There was no indication of impairment related to the Company's idle facilities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9"/>
        <w:gridCol w:w="146"/>
        <w:gridCol w:w="746"/>
        <w:gridCol w:w="146"/>
        <w:gridCol w:w="217"/>
        <w:gridCol w:w="855"/>
        <w:gridCol w:w="146"/>
        <w:gridCol w:w="146"/>
        <w:gridCol w:w="273"/>
        <w:gridCol w:w="798"/>
        <w:gridCol w:w="146"/>
        <w:gridCol w:w="146"/>
        <w:gridCol w:w="228"/>
        <w:gridCol w:w="848"/>
        <w:gridCol w:w="146"/>
        <w:gridCol w:w="146"/>
        <w:gridCol w:w="246"/>
        <w:gridCol w:w="792"/>
        <w:gridCol w:w="146"/>
        <w:gridCol w:w="146"/>
        <w:gridCol w:w="228"/>
        <w:gridCol w:w="848"/>
        <w:gridCol w:w="197"/>
      </w:tblGrid>
      <w:tr>
        <w:trPr/>
        <w:tc>
          <w:tcPr>
            <w:tcW w:w="2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Secure </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Idled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 (beds)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Correctional Facility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Spring Correctional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Flightline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McFarland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 County Correctional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Cheyenne Mountain Recovery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Philadelphia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Coleman Hall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188,084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On July 29, 2026, the Company announced that it has entered into a five-year support services contract with ICE for the activation of a federal immigration processing center at the company-owned 1,320-bed Rivers Facility (the “Facility”) in Winton, North Carolina.</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Lease Revenue</w:t>
      </w:r>
    </w:p>
    <w:p>
      <w:pPr>
        <w:pStyle w:val="TextBody"/>
        <w:bidi w:val="0"/>
        <w:spacing w:before="90" w:after="283"/>
        <w:jc w:val="left"/>
        <w:rPr>
          <w:rFonts w:ascii="Times New Roman" w:hAnsi="Times New Roman"/>
          <w:sz w:val="20"/>
        </w:rPr>
      </w:pPr>
      <w:r>
        <w:rPr>
          <w:rFonts w:ascii="Times New Roman" w:hAnsi="Times New Roman"/>
          <w:color w:val="000000"/>
          <w:sz w:val="20"/>
        </w:rPr>
        <w:t>The Company leases eight of its owned facilities to unrelated parties, six of which have a five year term through June 2027. The carrying value of these leased facilities as of June 30, 2026 is $43.0 million, net of accumulated depreciation of $28.5 million. For the additional two leased facilities, one facility has a term of sixty-nine months with one-year renewal options whose base term expires in October 2028. The carrying value of this leased facility as of June 30, 2026 was $69.3 million, net of accumulated depreciation of $42.8 million. The remaining facility has a term of twenty years with renewals and expires in October 2041. The carrying value of this leased facility as of June 30, 2026 was $19.0 million, net of accumulated depreciation of $20.1 million. Rental income, included in Revenues, for leased facilities for the three months ended June 30, 2026 and 2025, was approximately $3.7 million and $3.8 million, respectively. Rental income, included in Revenues, for leased facilities for each of the six months ended June 30, 2026 and 2025, was approximately $7.5 million. As of June 30, 2026, future minimum rentals to be received on these leases are as follows:</w:t>
      </w:r>
      <w:r>
        <w:rPr>
          <w:rFonts w:ascii="Times New Roman" w:hAnsi="Times New Roman"/>
          <w:color w:val="000000"/>
          <w:sz w:val="28"/>
        </w:rPr>
        <w:t xml:space="preserve"> </w:t>
      </w:r>
    </w:p>
    <w:p>
      <w:pPr>
        <w:pStyle w:val="TextBody"/>
        <w:bidi w:val="0"/>
        <w:spacing w:before="90" w:after="283"/>
        <w:jc w:val="left"/>
        <w:rPr/>
      </w:pPr>
      <w:r>
        <w:rPr/>
        <w:t> </w:t>
      </w:r>
    </w:p>
    <w:tbl>
      <w:tblPr>
        <w:tblW w:w="3173" w:type="dxa"/>
        <w:jc w:val="left"/>
        <w:tblInd w:w="0" w:type="dxa"/>
        <w:tblLayout w:type="fixed"/>
        <w:tblCellMar>
          <w:top w:w="28" w:type="dxa"/>
          <w:left w:w="28" w:type="dxa"/>
          <w:bottom w:w="28" w:type="dxa"/>
          <w:right w:w="28" w:type="dxa"/>
        </w:tblCellMar>
      </w:tblPr>
      <w:tblGrid>
        <w:gridCol w:w="1681"/>
        <w:gridCol w:w="146"/>
        <w:gridCol w:w="245"/>
        <w:gridCol w:w="910"/>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Rental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12. BUSINESS SEGMENTS AND GEOGRAPHIC INFORMATION</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Operating and Reporting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Company's segments are determined as those operations whose results are reviewed regularly by the chief operating decision maker ("CODM"), who is the Company's Chairman and Chief Executive Officer, in deciding how to allocate resources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assess performance. 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continuing operations. All transactions between segments are eliminated. The accounting policies of the segments are the same as those described in the summary of significant accounting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and operating income for each segment are used by the CODM to assess the performance of each segment in a financial period. The performance of the operating segments is evaluated based on segment operating income, which is defined as income before income taxes before the following: unallocated corporate general and administrative expenses, interest expense, net, and loss on extinguishment of debt not allocated to the operating segments. The CODM uses segment operating income as the measure to make resource (including financial or capital resources) allocation decisions for each segment, predominantly in the annual budget and forecasting process. The CODM considers budget-to-actual variances on a monthly and quarterly basis when evaluating performance for each segment and making decisions about capital allocation.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Summarized financial information for the Company's segments is shown in the following tables including a reconciliation of the Company’s total operating income from its reportable segments to the Company’s income before income taxes and equity in earnings of affiliates, in each case, during the three and six months ended June 30, 2026 and 2025,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9"/>
        <w:gridCol w:w="146"/>
        <w:gridCol w:w="245"/>
        <w:gridCol w:w="908"/>
        <w:gridCol w:w="146"/>
        <w:gridCol w:w="146"/>
        <w:gridCol w:w="401"/>
        <w:gridCol w:w="1285"/>
        <w:gridCol w:w="146"/>
        <w:gridCol w:w="146"/>
        <w:gridCol w:w="240"/>
        <w:gridCol w:w="770"/>
        <w:gridCol w:w="146"/>
        <w:gridCol w:w="146"/>
        <w:gridCol w:w="295"/>
        <w:gridCol w:w="950"/>
        <w:gridCol w:w="146"/>
        <w:gridCol w:w="146"/>
        <w:gridCol w:w="211"/>
        <w:gridCol w:w="781"/>
        <w:gridCol w:w="396"/>
      </w:tblGrid>
      <w:tr>
        <w:trPr/>
        <w:tc>
          <w:tcPr>
            <w:tcW w:w="2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732,072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375,103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172,936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asset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65,702</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9"/>
        <w:gridCol w:w="146"/>
        <w:gridCol w:w="244"/>
        <w:gridCol w:w="904"/>
        <w:gridCol w:w="146"/>
        <w:gridCol w:w="146"/>
        <w:gridCol w:w="395"/>
        <w:gridCol w:w="1267"/>
        <w:gridCol w:w="146"/>
        <w:gridCol w:w="146"/>
        <w:gridCol w:w="239"/>
        <w:gridCol w:w="767"/>
        <w:gridCol w:w="146"/>
        <w:gridCol w:w="146"/>
        <w:gridCol w:w="294"/>
        <w:gridCol w:w="945"/>
        <w:gridCol w:w="146"/>
        <w:gridCol w:w="146"/>
        <w:gridCol w:w="211"/>
        <w:gridCol w:w="781"/>
        <w:gridCol w:w="395"/>
      </w:tblGrid>
      <w:tr>
        <w:trPr/>
        <w:tc>
          <w:tcPr>
            <w:tcW w:w="2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636,169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328,775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163,435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128,219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27"/>
        <w:gridCol w:w="146"/>
        <w:gridCol w:w="229"/>
        <w:gridCol w:w="1012"/>
        <w:gridCol w:w="146"/>
        <w:gridCol w:w="146"/>
        <w:gridCol w:w="340"/>
        <w:gridCol w:w="1260"/>
        <w:gridCol w:w="146"/>
        <w:gridCol w:w="146"/>
        <w:gridCol w:w="227"/>
        <w:gridCol w:w="842"/>
        <w:gridCol w:w="146"/>
        <w:gridCol w:w="146"/>
        <w:gridCol w:w="257"/>
        <w:gridCol w:w="958"/>
        <w:gridCol w:w="146"/>
        <w:gridCol w:w="146"/>
        <w:gridCol w:w="211"/>
        <w:gridCol w:w="931"/>
        <w:gridCol w:w="397"/>
      </w:tblGrid>
      <w:tr>
        <w:trPr/>
        <w:tc>
          <w:tcPr>
            <w:tcW w:w="2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1,437,285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741,509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345,162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317,047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asset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118,372</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42,325</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23"/>
        <w:gridCol w:w="146"/>
        <w:gridCol w:w="240"/>
        <w:gridCol w:w="889"/>
        <w:gridCol w:w="146"/>
        <w:gridCol w:w="146"/>
        <w:gridCol w:w="343"/>
        <w:gridCol w:w="1269"/>
        <w:gridCol w:w="146"/>
        <w:gridCol w:w="146"/>
        <w:gridCol w:w="227"/>
        <w:gridCol w:w="844"/>
        <w:gridCol w:w="146"/>
        <w:gridCol w:w="146"/>
        <w:gridCol w:w="289"/>
        <w:gridCol w:w="929"/>
        <w:gridCol w:w="146"/>
        <w:gridCol w:w="146"/>
        <w:gridCol w:w="211"/>
        <w:gridCol w:w="931"/>
        <w:gridCol w:w="396"/>
      </w:tblGrid>
      <w:tr>
        <w:trPr/>
        <w:tc>
          <w:tcPr>
            <w:tcW w:w="2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Labor and Related Taxes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Medical Services and Supplies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321,411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246,952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Times New Roman" w:hAnsi="Times New Roman"/>
          <w:color w:val="000000"/>
          <w:sz w:val="20"/>
        </w:rPr>
      </w:pPr>
      <w:r>
        <w:rPr>
          <w:rFonts w:ascii="Times New Roman" w:hAnsi="Times New Roman"/>
          <w:color w:val="000000"/>
          <w:sz w:val="20"/>
        </w:rPr>
        <w:t>[1] The significant expense categories and amounts align with the segment-level information that is regularly provided to the CODM. Intersegment expenses are included in the amounts shown.</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[2] Other segment items include:</w:t>
      </w:r>
    </w:p>
    <w:p>
      <w:pPr>
        <w:pStyle w:val="TextBody"/>
        <w:bidi w:val="0"/>
        <w:spacing w:before="270" w:after="283"/>
        <w:jc w:val="left"/>
        <w:rPr>
          <w:rFonts w:ascii="Times New Roman" w:hAnsi="Times New Roman"/>
          <w:sz w:val="20"/>
        </w:rPr>
      </w:pPr>
      <w:r>
        <w:rPr>
          <w:rFonts w:ascii="Times New Roman" w:hAnsi="Times New Roman"/>
          <w:b/>
          <w:color w:val="000000"/>
          <w:sz w:val="20"/>
        </w:rPr>
        <w:t>U.S. Secure Services</w:t>
      </w:r>
      <w:r>
        <w:rPr>
          <w:rFonts w:ascii="Times New Roman" w:hAnsi="Times New Roman"/>
          <w:color w:val="000000"/>
          <w:sz w:val="20"/>
        </w:rPr>
        <w:t xml:space="preserve"> - depreciation and amortization, food services and supplies, utilities, repairs and maintenance, rent and lease expense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Electronic Monitoring and Supervision Services</w:t>
      </w:r>
      <w:r>
        <w:rPr>
          <w:rFonts w:ascii="Times New Roman" w:hAnsi="Times New Roman"/>
          <w:color w:val="000000"/>
          <w:sz w:val="20"/>
        </w:rPr>
        <w:t xml:space="preserve"> - depreciation and amortization, cost of goods sold, rent and lease expense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Reentry Services</w:t>
      </w:r>
      <w:r>
        <w:rPr>
          <w:rFonts w:ascii="Times New Roman" w:hAnsi="Times New Roman"/>
          <w:color w:val="000000"/>
          <w:sz w:val="20"/>
        </w:rPr>
        <w:t xml:space="preserve"> - depreciation and amortization, medical services and supplies, food services and supplies, rent and lease expense, utilities and certain other overhead expenses.</w:t>
      </w:r>
    </w:p>
    <w:p>
      <w:pPr>
        <w:pStyle w:val="TextBody"/>
        <w:bidi w:val="0"/>
        <w:spacing w:before="270" w:after="283"/>
        <w:jc w:val="left"/>
        <w:rPr>
          <w:rFonts w:ascii="Times New Roman" w:hAnsi="Times New Roman"/>
          <w:sz w:val="20"/>
        </w:rPr>
      </w:pPr>
      <w:r>
        <w:rPr>
          <w:rFonts w:ascii="Times New Roman" w:hAnsi="Times New Roman"/>
          <w:b/>
          <w:color w:val="000000"/>
          <w:sz w:val="20"/>
        </w:rPr>
        <w:t xml:space="preserve">International Services </w:t>
      </w:r>
      <w:r>
        <w:rPr>
          <w:rFonts w:ascii="Times New Roman" w:hAnsi="Times New Roman"/>
          <w:color w:val="000000"/>
          <w:sz w:val="20"/>
        </w:rPr>
        <w:t>- medical services and supplies, food services and supplies, utilities, repairs and maintenance and certain other overhead expenses.</w:t>
      </w:r>
    </w:p>
    <w:p>
      <w:pPr>
        <w:pStyle w:val="TextBody"/>
        <w:bidi w:val="0"/>
        <w:spacing w:before="30" w:after="283"/>
        <w:jc w:val="left"/>
        <w:rPr/>
      </w:pPr>
      <w:r>
        <w:rPr/>
        <w:t> </w:t>
      </w:r>
    </w:p>
    <w:p>
      <w:pPr>
        <w:pStyle w:val="TextBody"/>
        <w:bidi w:val="0"/>
        <w:spacing w:before="30" w:after="283"/>
        <w:jc w:val="left"/>
        <w:rPr>
          <w:rFonts w:ascii="Times New Roman" w:hAnsi="Times New Roman"/>
          <w:sz w:val="20"/>
        </w:rPr>
      </w:pPr>
      <w:r>
        <w:rPr>
          <w:rFonts w:ascii="Times New Roman" w:hAnsi="Times New Roman"/>
          <w:b/>
          <w:i/>
          <w:color w:val="000000"/>
          <w:sz w:val="20"/>
        </w:rPr>
        <w:t>Segment Assets</w:t>
      </w:r>
      <w:r>
        <w:rPr>
          <w:rFonts w:ascii="Times New Roman" w:hAnsi="Times New Roman"/>
          <w:color w:val="000000"/>
          <w:sz w:val="20"/>
        </w:rPr>
        <w:t xml:space="preserve"> </w:t>
      </w:r>
    </w:p>
    <w:tbl>
      <w:tblPr>
        <w:tblW w:w="7853" w:type="dxa"/>
        <w:jc w:val="left"/>
        <w:tblInd w:w="0" w:type="dxa"/>
        <w:tblLayout w:type="fixed"/>
        <w:tblCellMar>
          <w:top w:w="28" w:type="dxa"/>
          <w:left w:w="28" w:type="dxa"/>
          <w:bottom w:w="28" w:type="dxa"/>
          <w:right w:w="28" w:type="dxa"/>
        </w:tblCellMar>
      </w:tblPr>
      <w:tblGrid>
        <w:gridCol w:w="4236"/>
        <w:gridCol w:w="146"/>
        <w:gridCol w:w="211"/>
        <w:gridCol w:w="931"/>
        <w:gridCol w:w="146"/>
        <w:gridCol w:w="146"/>
        <w:gridCol w:w="277"/>
        <w:gridCol w:w="1223"/>
        <w:gridCol w:w="146"/>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Asset Reconciliation</w:t>
      </w:r>
    </w:p>
    <w:p>
      <w:pPr>
        <w:pStyle w:val="TextBody"/>
        <w:bidi w:val="0"/>
        <w:spacing w:before="30" w:after="283"/>
        <w:jc w:val="left"/>
        <w:rPr/>
      </w:pPr>
      <w:r>
        <w:rPr/>
        <w:t> </w:t>
      </w:r>
    </w:p>
    <w:p>
      <w:pPr>
        <w:pStyle w:val="TextBody"/>
        <w:bidi w:val="0"/>
        <w:spacing w:before="30" w:after="283"/>
        <w:jc w:val="left"/>
        <w:rPr>
          <w:rFonts w:ascii="Times New Roman" w:hAnsi="Times New Roman"/>
          <w:color w:val="000000"/>
          <w:sz w:val="20"/>
        </w:rPr>
      </w:pPr>
      <w:r>
        <w:rPr>
          <w:rFonts w:ascii="Times New Roman" w:hAnsi="Times New Roman"/>
          <w:color w:val="000000"/>
          <w:sz w:val="20"/>
        </w:rPr>
        <w:t>The following is a reconciliation of the Company's reportable segment assets to the Company's total assets as of June 30, 2026 and December 31, 2025, respectively.</w:t>
      </w:r>
    </w:p>
    <w:p>
      <w:pPr>
        <w:pStyle w:val="TextBody"/>
        <w:bidi w:val="0"/>
        <w:spacing w:before="30" w:after="283"/>
        <w:jc w:val="left"/>
        <w:rPr/>
      </w:pPr>
      <w:r>
        <w:rPr/>
        <w:t> </w:t>
      </w:r>
    </w:p>
    <w:tbl>
      <w:tblPr>
        <w:tblW w:w="7982" w:type="dxa"/>
        <w:jc w:val="left"/>
        <w:tblInd w:w="0" w:type="dxa"/>
        <w:tblLayout w:type="fixed"/>
        <w:tblCellMar>
          <w:top w:w="28" w:type="dxa"/>
          <w:left w:w="28" w:type="dxa"/>
          <w:bottom w:w="28" w:type="dxa"/>
          <w:right w:w="28" w:type="dxa"/>
        </w:tblCellMar>
      </w:tblPr>
      <w:tblGrid>
        <w:gridCol w:w="4711"/>
        <w:gridCol w:w="146"/>
        <w:gridCol w:w="211"/>
        <w:gridCol w:w="931"/>
        <w:gridCol w:w="146"/>
        <w:gridCol w:w="146"/>
        <w:gridCol w:w="277"/>
        <w:gridCol w:w="1223"/>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each of the three and six months ended June 30, 2026 and 2025, the Company’s international operations were conducted through (i) the Company’s wholly owned Australian subsidiary, The GEO Group Australia Pty. Ltd., through which the Company has management contracts for three correctional facilities and a contract to provide health services for several public prisons, and (ii) the Company’s wholly-owned subsidiary in South Africa, SACM, through which the Company manages one correctional facility.</w:t>
      </w:r>
    </w:p>
    <w:p>
      <w:pPr>
        <w:pStyle w:val="TextBody"/>
        <w:bidi w:val="0"/>
        <w:spacing w:before="180" w:after="283"/>
        <w:jc w:val="left"/>
        <w:rPr/>
      </w:pPr>
      <w:r>
        <w:rPr/>
        <w:t> </w:t>
      </w:r>
    </w:p>
    <w:tbl>
      <w:tblPr>
        <w:tblW w:w="8293" w:type="dxa"/>
        <w:jc w:val="left"/>
        <w:tblInd w:w="0" w:type="dxa"/>
        <w:tblLayout w:type="fixed"/>
        <w:tblCellMar>
          <w:top w:w="28" w:type="dxa"/>
          <w:left w:w="28" w:type="dxa"/>
          <w:bottom w:w="28" w:type="dxa"/>
          <w:right w:w="28" w:type="dxa"/>
        </w:tblCellMar>
      </w:tblPr>
      <w:tblGrid>
        <w:gridCol w:w="2346"/>
        <w:gridCol w:w="146"/>
        <w:gridCol w:w="239"/>
        <w:gridCol w:w="886"/>
        <w:gridCol w:w="146"/>
        <w:gridCol w:w="146"/>
        <w:gridCol w:w="239"/>
        <w:gridCol w:w="886"/>
        <w:gridCol w:w="146"/>
        <w:gridCol w:w="146"/>
        <w:gridCol w:w="211"/>
        <w:gridCol w:w="931"/>
        <w:gridCol w:w="146"/>
        <w:gridCol w:w="146"/>
        <w:gridCol w:w="211"/>
        <w:gridCol w:w="93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1,145,705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636,169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1,437,285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1,241,513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tbl>
      <w:tblPr>
        <w:tblW w:w="6543" w:type="dxa"/>
        <w:jc w:val="left"/>
        <w:tblInd w:w="0" w:type="dxa"/>
        <w:tblLayout w:type="fixed"/>
        <w:tblCellMar>
          <w:top w:w="28" w:type="dxa"/>
          <w:left w:w="28" w:type="dxa"/>
          <w:bottom w:w="28" w:type="dxa"/>
          <w:right w:w="28" w:type="dxa"/>
        </w:tblCellMar>
      </w:tblPr>
      <w:tblGrid>
        <w:gridCol w:w="2926"/>
        <w:gridCol w:w="146"/>
        <w:gridCol w:w="211"/>
        <w:gridCol w:w="931"/>
        <w:gridCol w:w="146"/>
        <w:gridCol w:w="146"/>
        <w:gridCol w:w="277"/>
        <w:gridCol w:w="1223"/>
        <w:gridCol w:w="146"/>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Sources of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p>
      <w:pPr>
        <w:pStyle w:val="TextBody"/>
        <w:bidi w:val="0"/>
        <w:spacing w:before="180" w:after="283"/>
        <w:jc w:val="left"/>
        <w:rPr/>
      </w:pPr>
      <w:r>
        <w:rPr/>
        <w:t> </w:t>
      </w:r>
    </w:p>
    <w:tbl>
      <w:tblPr>
        <w:tblW w:w="10183" w:type="dxa"/>
        <w:jc w:val="left"/>
        <w:tblInd w:w="0" w:type="dxa"/>
        <w:tblLayout w:type="fixed"/>
        <w:tblCellMar>
          <w:top w:w="28" w:type="dxa"/>
          <w:left w:w="28" w:type="dxa"/>
          <w:bottom w:w="28" w:type="dxa"/>
          <w:right w:w="28" w:type="dxa"/>
        </w:tblCellMar>
      </w:tblPr>
      <w:tblGrid>
        <w:gridCol w:w="4236"/>
        <w:gridCol w:w="146"/>
        <w:gridCol w:w="239"/>
        <w:gridCol w:w="886"/>
        <w:gridCol w:w="146"/>
        <w:gridCol w:w="146"/>
        <w:gridCol w:w="239"/>
        <w:gridCol w:w="886"/>
        <w:gridCol w:w="146"/>
        <w:gridCol w:w="146"/>
        <w:gridCol w:w="211"/>
        <w:gridCol w:w="931"/>
        <w:gridCol w:w="146"/>
        <w:gridCol w:w="146"/>
        <w:gridCol w:w="211"/>
        <w:gridCol w:w="931"/>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Secure Services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left"/>
        <w:rPr/>
      </w:pPr>
      <w:r>
        <w:rPr/>
        <w:t> </w:t>
      </w:r>
    </w:p>
    <w:p>
      <w:pPr>
        <w:pStyle w:val="TextBody"/>
        <w:bidi w:val="0"/>
        <w:spacing w:before="30" w:after="283"/>
        <w:jc w:val="left"/>
        <w:rPr>
          <w:rFonts w:ascii="Times New Roman" w:hAnsi="Times New Roman"/>
          <w:color w:val="000000"/>
          <w:sz w:val="20"/>
        </w:rPr>
      </w:pPr>
      <w:r>
        <w:rPr>
          <w:rFonts w:ascii="Times New Roman" w:hAnsi="Times New Roman"/>
          <w:color w:val="000000"/>
          <w:sz w:val="20"/>
        </w:rPr>
        <w:t>[1] Includes international secured services.</w:t>
      </w:r>
    </w:p>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Equity in Earnings of Affiliates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Equity in earnings of affiliates includes the Company’s 50% owned joint ventures in South African Custodial Services Pty. Limited (“SACS”), located in South Africa, and GEOAmey located in the United Kingdom. The Company's investments in these entities are accounted for under the equity method of accounting. The Company’s investments in these entities are presented as a component of Other Non-Current Assets in the accompanying consolidated balance sheets.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less than $0.1 million in earnings, net of tax, for SACS operations during the three and six months ended June 30, 2026, and $1.7 million and $1.8 million in earnings, net of tax, for SACS operations during the three and six months ended June 30, 2025, respectively, which are included in equity in earnings of affiliates, net of income tax provision in the accompanying consolidated statements of operations. As of June 30, 2026 and December 31, 2025, the Company’s investment in SACS was $4.8 million and $5.9 million, respectively, and represents its share of cumulative reported earnings.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$0.7 million and $1.3 million in earnings, net of tax, for GEOAmey's operations during the three and six months ended June 30, 2026, respectively, and $0.5 million and $1.2 million in earnings, net of tax, for GEOAmey's operations during the three and six months ended June 30, 2025, respectively, which are included in equity in earnings of affiliates, net of income tax provision in the accompanying consolidated statements of operations. As of June 30, 2026 and December 31, 2025, the Company’s investment in GEOAmey was $8.8 million and $7.7 million, respectively, and represents its share of cumulative reported earnings.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13. BENEFIT PLANS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tables summarize key information related to the Company’s pension plans and retirement agreements (in thousands):</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4111"/>
        <w:gridCol w:w="146"/>
        <w:gridCol w:w="335"/>
        <w:gridCol w:w="1075"/>
        <w:gridCol w:w="166"/>
        <w:gridCol w:w="146"/>
        <w:gridCol w:w="260"/>
        <w:gridCol w:w="835"/>
        <w:gridCol w:w="3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Projected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Unfunded Status of the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82" w:type="dxa"/>
        <w:jc w:val="left"/>
        <w:tblInd w:w="0" w:type="dxa"/>
        <w:tblLayout w:type="fixed"/>
        <w:tblCellMar>
          <w:top w:w="28" w:type="dxa"/>
          <w:left w:w="28" w:type="dxa"/>
          <w:bottom w:w="28" w:type="dxa"/>
          <w:right w:w="28" w:type="dxa"/>
        </w:tblCellMar>
      </w:tblPr>
      <w:tblGrid>
        <w:gridCol w:w="3541"/>
        <w:gridCol w:w="146"/>
        <w:gridCol w:w="375"/>
        <w:gridCol w:w="750"/>
        <w:gridCol w:w="150"/>
        <w:gridCol w:w="150"/>
        <w:gridCol w:w="375"/>
        <w:gridCol w:w="750"/>
        <w:gridCol w:w="166"/>
        <w:gridCol w:w="146"/>
        <w:gridCol w:w="303"/>
        <w:gridCol w:w="822"/>
        <w:gridCol w:w="146"/>
        <w:gridCol w:w="146"/>
        <w:gridCol w:w="343"/>
        <w:gridCol w:w="782"/>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service cost and other components of net periodic benefit cost are included in General and Administrative Expenses in the accompanying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long-term portion of the pension liability as of June 30, 2026 and December 31, 2025 was $28.9 million and $28.4 million, respectively, and is included in Other Non-Current Liabilities in the accompanying consolidated balance sheets.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Amended and Restated Executive Retirement Agreement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 non-qualified deferred compensation agreement with its Chairman and Chief Executive Officer. The agreement provides for a lump sum cash payment upon retirement, no sooner than age 55. As of June 30, 2026, the Chairman and Chief Executive Officer had reached age 55 and was eligible to receive the payment upon retirement. </w:t>
      </w:r>
    </w:p>
    <w:p>
      <w:pPr>
        <w:pStyle w:val="TextBody"/>
        <w:bidi w:val="0"/>
        <w:jc w:val="left"/>
        <w:rPr>
          <w:rFonts w:ascii="Times New Roman" w:hAnsi="Times New Roman"/>
          <w:color w:val="000000"/>
          <w:sz w:val="20"/>
        </w:rPr>
      </w:pPr>
      <w:r>
        <w:rPr>
          <w:rFonts w:ascii="Times New Roman" w:hAnsi="Times New Roman"/>
          <w:color w:val="000000"/>
          <w:sz w:val="20"/>
        </w:rPr>
        <w:t>On May 27, 2021, the Company and its Chairman entered into an Amended and Restated Executive Retirement Agreement which replaced his previous agreement, effective July 1, 2021. Pursuant to the terms of the Amended and Restated Executive Retirement Agreement, upon the date that the Chairman ceases to provide services to the Company, the Company will pay to the Chairman an amount equal to $3.6 million which shall be paid in cash. The payment shall be credited with interest at a rate of 5% compounded quarterly. Additionally, at the end of each calendar year provided that the Chairman is still providing services to GEO pursuant to the Chairman Agreement, as amended, GEO will credit an amount equal to $1.0 million at the end of each calendar year (the “Employment Contributions Account”). The Employment Contributions Account will be credited with interest at the rate of 5% compounded quarterly. The balance of the Amended and Restated Executive Retirement Agreement was approximately $18.0 million at June 30, 2026 and is included in Other Non-Current Liabilities in the accompanying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The Company has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pStyle w:val="TextBody"/>
        <w:bidi w:val="0"/>
        <w:jc w:val="left"/>
        <w:rPr/>
      </w:pPr>
      <w:r>
        <w:rPr/>
        <w:t> </w:t>
      </w:r>
    </w:p>
    <w:p>
      <w:pPr>
        <w:pStyle w:val="TextBody"/>
        <w:bidi w:val="0"/>
        <w:spacing w:before="70" w:after="283"/>
        <w:jc w:val="left"/>
        <w:rPr>
          <w:rFonts w:ascii="Times New Roman" w:hAnsi="Times New Roman"/>
          <w:b/>
          <w:color w:val="000000"/>
          <w:sz w:val="20"/>
        </w:rPr>
      </w:pPr>
      <w:r>
        <w:rPr>
          <w:rFonts w:ascii="Times New Roman" w:hAnsi="Times New Roman"/>
          <w:b/>
          <w:color w:val="000000"/>
          <w:sz w:val="20"/>
        </w:rPr>
        <w:t>14. RECENT ACCOUNTING PRONOUNCEMENTS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following accounting standard was adopted in the current period:</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related to the estimation of expected credit losses for current accounts receivable and current contract assets arising from transactions accounted for under ASC 606 which the Company elected. The ASU is effective for the Registrants for annual and interim periods beginning after December 15, 2025. The guidance should be applied on a prospective basis. Early adoption was permitted. The adoption of this standard did not have a significant effect on the Company's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accounting standards will be adopted in future periods:</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evaluating the impact of adopting this standard on its consolidated financial statements and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Company expects that this ASU will impact only the Company's disclosures and not its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legal proceedings and potential steps to address our future debt maturities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adverse impact on our financial results caused by the most recent and any future federal government shutdown;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timely build and/or open facilities as planned, successfully manage such facilities and successfully integrate such facilities into our operations without substantial additional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estimate the government’s level of utilization of public-private partnerships for secure services and the impact of any modifications or reductions by our government customers of their utilization of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project the size and growth of public-private partnerships for secure services in the U.S. and internationally and our ability to capitalize on opportunities for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delays encountered by states pursuing public-private partnerships for secure services and cost savings initiatives implemented by a number of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activate the inactive beds at our idle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or increase occupancy rates at our facilities and the impact of fluctuations in occupancy levels or participants in ISAP on our revenues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diversify and grow our secure services, reentry, community-based services, monitoring services, evidence-based supervision and treatment programs and secure transportation services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new project development capital given the often short-term nature of the customers’ commitment to use newly developed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long-term earnings visibility;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conduct our operations in the United Kingdom and South Africa through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instability of foreign exchange rates, exposing us to currency risks in Australia, the United Kingdom, and South Africa, or other countries in which we may choose to conduct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unreimbursed labor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medical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costs and expenses relating to ongoing litigation arising from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associated with the U.S. Supreme Court agreeing to hear our appeal in the Nwauzor case and our ability to prevail on the merits, our company being required to record an additional accrual for the judgments in the future, and our ability to defend similar other pending litigation and the effect such litigation may have on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on an annual basis, loss reserves related to general liability, workers’ compensation and automobile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fulfill our debt service obligations and its impact on our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deleverage and repay, refinance or otherwise address our debt maturities in an amount or on the timeline we expect,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current indebtedness levels, we may still incur more indebtedness, which could further exacerbate the risks relating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covenants in the indentures governing the Secured Notes and the Unsecured Notes and the Credit Agreement impose significant operating and financial restrictions which may adversely affect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indebtedness will require a significant amount of cash and our ability to generate cash depends on many factors beyond our control and we may not be able to generate the cash required to service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portions of our senior indebtedness have floating interest rates, an increase in interest rates would adversely affect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distributions from our subsidiaries to make payments on our indebtedness and these distributions may not be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satisfy our repurchase obligations in the event of a change of control because the terms of our indebtedness or lack of funds may prevent us from doing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Unsecured Notes and the guarantees on the Unsecured Notes will be effectively subordinated to our and the guarantors' senior secured indebtedness and structurally subordinated to the indebtedness of our subsidiaries that do not guarantee the Unsecured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collateral may not be sufficient to satisfy our obligations under the Secured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successfully complete any potential acquisitions of assets and businesses or sales of Company-owned assets and businesses, including the potential sale of multiple facilities to ICE, on commercially advantageous terms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capital markets could prevent us from obtaining future financing on desirable terms,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meet state requirements for capital investment or locate land for the development of new facilities, which could adversely affect our results of operations and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reduce the U.S. federal deficit could adversely affect our liquidity,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budgetary constraints may have a material adverse impact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contracts may adversely affect the profitability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government appropriations, which may not be made on a timely basis or at all and may be adversely impacted by budgetary constraints at the federal, state, local and foreign government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may negatively impact our ability to retain existing contracts and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significant start-up and operating costs on new contracts before receiving related revenues, which may impact our cash flows and may not be recouped;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extensive government regulation and applicable contractual requirements could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community opposition to facility locations, which may adversely affect our ability to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expose us to various liabilities for which we may not have adequate insurance, including legal claims and proceedings, and may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or maintain the insurance levels required by our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general insurance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pandemic outbreaks, global political events and other serious catastrophic events could disrupt operations and otherwise materially adversely affect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risks that could materially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certain of our operations through joint ventures or consortiums, which may lead to disagreements with our joint venture partners or business partners and adversely affect our interest in the joint ventures or consortiums;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our senior management and our ability to attract and retain sufficient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may be materially adversely affected by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associated with the ownership of real estate may increase costs, expose us to uninsured losses and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facility construction and development activities may increase our costs related to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rising cost and increasing difficulty of obtaining adequate levels of surety credit on favorable terms could adversely affect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in our relationship with our employees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delay or failure of the provision of our services or information systems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data privacy, security and exchange legal requirements could have a material adverse impact on our business, financial position, results of operations, cash flows and reputation;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technological changes could cause our electronic monitoring products and technology, including our </w:t>
      </w:r>
      <w:r>
        <w:rPr>
          <w:rFonts w:ascii="Times New Roman" w:hAnsi="Times New Roman"/>
          <w:color w:val="111111"/>
          <w:sz w:val="20"/>
        </w:rPr>
        <w:t xml:space="preserve">BI VeriWatch </w:t>
      </w:r>
      <w:r>
        <w:rPr>
          <w:rFonts w:ascii="Times New Roman" w:hAnsi="Times New Roman"/>
          <w:color w:val="000000"/>
          <w:sz w:val="20"/>
        </w:rPr>
        <w:t>wrist-worn device, to become obsolete or require the redesign of our electronic monitoring products, which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any negative changes in the level of acceptance of or resistance to the use of electronic monitoring products, including our </w:t>
      </w:r>
      <w:r>
        <w:rPr>
          <w:rFonts w:ascii="Times New Roman" w:hAnsi="Times New Roman"/>
          <w:color w:val="111111"/>
          <w:sz w:val="20"/>
        </w:rPr>
        <w:t xml:space="preserve">BI VeriWatch </w:t>
      </w:r>
      <w:r>
        <w:rPr>
          <w:rFonts w:ascii="Times New Roman" w:hAnsi="Times New Roman"/>
          <w:color w:val="000000"/>
          <w:sz w:val="20"/>
        </w:rPr>
        <w:t>wrist-worn device, and services by governmental customers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a limited number of third parties to manufacture and supply quality infrastructure components for our electronic monitoring products. If our suppliers cannot provide the components or services we require and with such quality and at such cost as we expect, our ability to market and sell our electronic monitoring products and services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acquire, protect or maintain our intellectual property and patents in the electronic monitoring space could harm our ability to compete or grow;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local tax rules can adversely affect our results of operations and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risks related to corporate social responsibility;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vary substantially;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about growth in the utilization of detention beds by the federal government may not be realized, which could negatively impact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or securities convertible into common stock could adversely affect the market price of our common stock and may be dilutive to current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on the Share Repurchase Program on the anticipated timeline;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anti-takeover protections applicable to us may make an acquisition of us more difficult and reduce the market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maintain effective internal controls in accordance with Section 404 of the Sarbanes-Oxley Act of 2002 could have an adverse effect on our business and the trading price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issue additional debt securities that could limit our operating flexibility and negatively affect the value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anti-bribery and anti-corruption laws could subject us to penalties and other adverse consequences;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contained in our filings with the SEC, including, but not limited to, those detailed in our Annual Report on Form 10-K, our Quarterly Reports on Form 10-Q and our Current Reports on Form 8-K filed with the SEC.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Quarterly Report on Form 10-Q.</w:t>
      </w:r>
    </w:p>
    <w:p>
      <w:pPr>
        <w:pStyle w:val="TextBody"/>
        <w:bidi w:val="0"/>
        <w:spacing w:before="15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“Forward-Looking Information”, and under “Part I - Item 1A. Risk Factors” in our Annual Report on Form 10-K for the year ended December 31, 2025. This discussion should be read in conjunction with our unaudited consolidated financial statements and notes thereto included in this Quarterly Report on 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 based programs. We also provide secure transportation services domestically and in the United Kingdom through our joint venture GEOAmey.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our worldwide operations include the management and/or ownership of approximately 75,000 beds at 96 secure services and community based facilities, including idle facilities, and also include the provision of community supervision services for individuals through an array of technology products including radio frequency, GPS, and alcohol monitoring devices.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provide a diversified scope of services on behalf of our government agency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secure facility management services involve the provision of security, administrative, rehabilitation, education, and food services at secure services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comprehensive electronic monitoring and supervision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develop new facilities, using our project development experience to design, construct and finance what we believe are state-of-the-art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secure transportation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services are provided at facilities which we either own, lease or are owned by our government agency partners.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the six months ended June 30, 2026 and 2025, we had consolidated revenues of $1,437.3 million and $1,241.5 million, respectively. We maintained an average company-wide facility occupancy rate of approximately 91% including 68,245 active beds and excluding 6,646 idle beds, which includes those being marketed to potential customers, for the six months ended June 30, 2026, and approximately 89% including 69,793 active beds and excluding 6,785 idle beds, which includes those being marketed to potential customers, for the six months ended June 30, 2025.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Reference is made to Part II, Item 7 of our Annual Report on Form 10-K filed with the SEC on February 25, 2026, for further discussion and analysis of information pertaining to our financial condition and results of operations as of and for the year ended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 Developments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July 29, 2026, we announced that we have entered into a five-year support services contract with U.S. Immigration and Customs Enforcement (“ICE”) for the activation of a federal immigration processing center at the company-owned 1,320-bed Rivers Facility (the “Rivers Facility”) in Winton, North Carolina. Our support services are expected to include the exclusive use of the Rivers Facility by ICE, along with security, maintenance, and food services, as well as access to recreational amenities, medical care, and legal counsel.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July 13, 2026, we announced that we have entered into a five-year support services contract with ICE for the activation of a federal immigration processing center at the 1,188-bed Big Horn Facility (the “Big Horn Facility”) in Hudson, Colorado. We have entered into a lease agreement with the Big Horn Facility owner. Our support services are expected to include the exclusive use of the Big Horn Facility by ICE, along with security, maintenance, and food services, as well as access to recreational amenities, medical care, and legal counsel.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International Services segment primarily consists of our public-private partnership secure services operations in Australia and South Africa.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currently marketing (or awaiting activation) 6,646 vacant beds at eight idle facilities to potential customers. The carrying values of these idle facilities totaled $188.1 million as of June 30, 2026, excluding equipment and other assets that can be easily transferred for use at other facilities. Refer to Note 11 - Commitments, Contingencies and Other Matters of the Notes to Unaudited Consolidated Financial Statements included in Part I, Item 1 of this Quarterly Report on Form 10-Q for further discussion.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accompanying unaudited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as of the date of the financial statements and the reported amounts of revenue and expenses during the reporting period. We routinely evaluate our estimates based on historical experience and on various other assumptions that management believes are reasonable under the circumstances. Actual results may differ from these estimates under different assumptions or conditions. During the six months ended June 30, 2026, we did not experience any significant changes in estimates or judgments inherent in the preparation of our consolidated financial statements. A summary of our significant accounting policies is contained in Note 1 to our consolidated financial statements included in our Annual Report on Form 10-K for the year ended December 31, 2025.</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following discussion and analysis should be read in conjunction with our unaudited consolidated financial statements and the notes to our unaudited consolidated financial statements included in Part I, Item 1, of this Quarterly Report on Form 10-Q.</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Comparison of Second Quarter 2026 and Second Quarter 2025</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8"/>
        <w:gridCol w:w="146"/>
        <w:gridCol w:w="211"/>
        <w:gridCol w:w="781"/>
        <w:gridCol w:w="146"/>
        <w:gridCol w:w="146"/>
        <w:gridCol w:w="180"/>
        <w:gridCol w:w="708"/>
        <w:gridCol w:w="271"/>
        <w:gridCol w:w="146"/>
        <w:gridCol w:w="211"/>
        <w:gridCol w:w="781"/>
        <w:gridCol w:w="146"/>
        <w:gridCol w:w="146"/>
        <w:gridCol w:w="180"/>
        <w:gridCol w:w="708"/>
        <w:gridCol w:w="271"/>
        <w:gridCol w:w="146"/>
        <w:gridCol w:w="211"/>
        <w:gridCol w:w="676"/>
        <w:gridCol w:w="166"/>
        <w:gridCol w:w="146"/>
        <w:gridCol w:w="207"/>
        <w:gridCol w:w="664"/>
        <w:gridCol w:w="343"/>
      </w:tblGrid>
      <w:tr>
        <w:trPr/>
        <w:tc>
          <w:tcPr>
            <w:tcW w:w="2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U.S. Secure Services increased by $78.8 million in the second quarter ended June 30, 2026 (the "Second Quarter 2026") compared to the second quarter ended June 30, 2025 (the "Second Quarter 2025") due to increases of $60.6 million related to the activations of our new contracts at our company-owned Delaney Hall, North Lake and D. Ray James facilities as well as our managed-only contract at the North Florida Detention Center and new transportation contracts. There were also aggregate net increases of $35.0 million due to increases in occupancies, transportation, rates and/or per diem amounts in connection with contract modifications. Partially offsetting these increases were decreases of approximately $16.8 million related to contract terminations.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number of compensated mandays in U.S. Secure Services facilities was approximately 4.4 million in Second Quarter 2026 compared to approximately 4.2 million in Second Quarter 2025. We look at the average occupancy in our facilities to determine how we are managing our available beds. The average occupancy is calculated by taking compensated mandays as a percentage of capacity. The average occupancy in our U.S. Secure Services facilities was approximately 91% and 88% of capacity in Second Quarter 2026 and Second Quarter 2025, respectively, excluding idle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for Electronic Monitoring and Supervision Services decreased in Second Quarter 2026 compared to Second Quarter 2025 primarily due to a decrease in average participant counts under the Intensive Supervision and Appearance Program ("ISAP").</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spacing w:before="90" w:after="160"/>
        <w:jc w:val="left"/>
        <w:rPr>
          <w:rFonts w:ascii="Times New Roman" w:hAnsi="Times New Roman"/>
          <w:color w:val="000000"/>
          <w:sz w:val="20"/>
        </w:rPr>
      </w:pPr>
      <w:r>
        <w:rPr>
          <w:rFonts w:ascii="Times New Roman" w:hAnsi="Times New Roman"/>
          <w:color w:val="000000"/>
          <w:sz w:val="20"/>
        </w:rPr>
        <w:t xml:space="preserve">Revenues for Reentry Services increased by $1.1 million in Second Quarter 2026 compared to Second Quarter 2025 primarily due to aggregate net increases of $3.5 million related to increased census levels at certain of our community-based and reentry centers due to increased programming needs and referrals due to new day reporting center contracts. These increases were partially offset by decreases due to contract terminations of $2.4 million. </w:t>
      </w:r>
    </w:p>
    <w:p>
      <w:pPr>
        <w:pStyle w:val="TextBody"/>
        <w:bidi w:val="0"/>
        <w:spacing w:before="11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International Services increased by $18.7 million in Second Quarter 2026 compared to Second Quarter 2025. We experienced a net increase of $12.6 million primarily due to new health care contracts and increased populations at our Australian subsidiary. We also experienced an increase due to foreign exchange rate fluctuations of $6.1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2"/>
        <w:gridCol w:w="146"/>
        <w:gridCol w:w="211"/>
        <w:gridCol w:w="781"/>
        <w:gridCol w:w="146"/>
        <w:gridCol w:w="146"/>
        <w:gridCol w:w="218"/>
        <w:gridCol w:w="698"/>
        <w:gridCol w:w="271"/>
        <w:gridCol w:w="146"/>
        <w:gridCol w:w="211"/>
        <w:gridCol w:w="781"/>
        <w:gridCol w:w="146"/>
        <w:gridCol w:w="146"/>
        <w:gridCol w:w="218"/>
        <w:gridCol w:w="698"/>
        <w:gridCol w:w="271"/>
        <w:gridCol w:w="146"/>
        <w:gridCol w:w="211"/>
        <w:gridCol w:w="676"/>
        <w:gridCol w:w="166"/>
        <w:gridCol w:w="146"/>
        <w:gridCol w:w="207"/>
        <w:gridCol w:w="664"/>
        <w:gridCol w:w="343"/>
      </w:tblGrid>
      <w:tr>
        <w:trPr/>
        <w:tc>
          <w:tcPr>
            <w:tcW w:w="2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Operating expenses for U.S. Secure Services increased by $40.3 million in Second Quarter 2026 compared to Second Quarter 2025 primarily due to aggregate net increases in connection with labor and medical costs, transportation services, increased occupancies and additional staffing and training costs of $24.2 million. We also experienced an increase of approximately $29.6 million related to the activations of our new contracts at our company-owned Delaney Hall, North Lake and D. Ray James facilities as well as our managed-only contract at the North Florida Detention Center and new transportation contracts. Partially offsetting these increases were decreases of approximately $13.5 million related to contract terminations.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for Electronic Monitoring and Supervision Services decreased in Second Quarter 2026 compared to Second Quarter 2025 primarily due to a decrease in average participant counts under the Intensive Supervision and Appearance Program ("ISAP").</w:t>
      </w:r>
    </w:p>
    <w:p>
      <w:pPr>
        <w:pStyle w:val="TextBody"/>
        <w:bidi w:val="0"/>
        <w:spacing w:before="270" w:after="283"/>
        <w:jc w:val="left"/>
        <w:rPr>
          <w:rFonts w:ascii="Times New Roman" w:hAnsi="Times New Roman"/>
          <w:sz w:val="20"/>
        </w:rPr>
      </w:pPr>
      <w:r>
        <w:rPr>
          <w:rFonts w:ascii="Times New Roman" w:hAnsi="Times New Roman"/>
          <w:i/>
          <w:color w:val="000000"/>
          <w:sz w:val="20"/>
        </w:rPr>
        <w:t>Reentry Services</w:t>
      </w:r>
      <w:r>
        <w:rPr>
          <w:rFonts w:ascii="Times New Roman" w:hAnsi="Times New Roman"/>
          <w:color w:val="000000"/>
          <w:sz w:val="20"/>
        </w:rPr>
        <w:t xml:space="preserve"> </w:t>
      </w:r>
    </w:p>
    <w:p>
      <w:pPr>
        <w:pStyle w:val="TextBody"/>
        <w:bidi w:val="0"/>
        <w:spacing w:before="90" w:after="160"/>
        <w:jc w:val="left"/>
        <w:rPr>
          <w:rFonts w:ascii="Times New Roman" w:hAnsi="Times New Roman"/>
          <w:color w:val="000000"/>
          <w:sz w:val="20"/>
        </w:rPr>
      </w:pPr>
      <w:r>
        <w:rPr>
          <w:rFonts w:ascii="Times New Roman" w:hAnsi="Times New Roman"/>
          <w:color w:val="000000"/>
          <w:sz w:val="20"/>
        </w:rPr>
        <w:t>Operating expenses for Reentry Services increased by $1.2 million during Second Quarter 2026 compared to Second Quarter 2025. We experienced an aggregate net increase of $3.0 million due to increased programming needs and referrals due to new day reporting center contracts which was partially offset by a decrease of $1.8 million due to contract terminations.</w:t>
      </w:r>
    </w:p>
    <w:p>
      <w:pPr>
        <w:pStyle w:val="TextBody"/>
        <w:bidi w:val="0"/>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for International Services increased in Second Quarter 2026 compared to Second Quarter 2025 by $15.1 million. We experienced an increase of $9.7 million primarily due to new health care contracts and increased populations at our Australian subsidiary. We also experienced an increase of $5.4 million related to foreign exchange rate fluctuations.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0"/>
        <w:gridCol w:w="146"/>
        <w:gridCol w:w="211"/>
        <w:gridCol w:w="676"/>
        <w:gridCol w:w="146"/>
        <w:gridCol w:w="146"/>
        <w:gridCol w:w="264"/>
        <w:gridCol w:w="656"/>
        <w:gridCol w:w="271"/>
        <w:gridCol w:w="146"/>
        <w:gridCol w:w="211"/>
        <w:gridCol w:w="676"/>
        <w:gridCol w:w="146"/>
        <w:gridCol w:w="146"/>
        <w:gridCol w:w="264"/>
        <w:gridCol w:w="656"/>
        <w:gridCol w:w="271"/>
        <w:gridCol w:w="146"/>
        <w:gridCol w:w="214"/>
        <w:gridCol w:w="582"/>
        <w:gridCol w:w="166"/>
        <w:gridCol w:w="146"/>
        <w:gridCol w:w="189"/>
        <w:gridCol w:w="682"/>
        <w:gridCol w:w="348"/>
      </w:tblGrid>
      <w:tr>
        <w:trPr/>
        <w:tc>
          <w:tcPr>
            <w:tcW w:w="2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U.S. Secure Services depreciation and amortization expense increased in Second Quarter 2026 compared to Second Quarter 2025 primarily due to renovations at certain of our company-owned and leased facilities.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Electronic Monitoring and Supervision Services depreciation and amortization expense decreased slightly in Second Quarter 2026 compared to Second Quarter 2025 primarily due to certain assets becoming fully depreciated.</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Reentry Services depreciation and amortization expense decreased slightly in Second Quarter 2026 compared to Second Quarter 2025 primarily due to certain assets becoming fully depreciated.</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International Services depreciation and amortization expense increased slightly in Second Quarter 2026 compared to Second Quarter 2025 primarily due to certain asset additions.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7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30"/>
        <w:gridCol w:w="146"/>
        <w:gridCol w:w="211"/>
        <w:gridCol w:w="676"/>
        <w:gridCol w:w="146"/>
        <w:gridCol w:w="146"/>
        <w:gridCol w:w="281"/>
        <w:gridCol w:w="699"/>
        <w:gridCol w:w="271"/>
        <w:gridCol w:w="146"/>
        <w:gridCol w:w="211"/>
        <w:gridCol w:w="676"/>
        <w:gridCol w:w="146"/>
        <w:gridCol w:w="146"/>
        <w:gridCol w:w="281"/>
        <w:gridCol w:w="699"/>
        <w:gridCol w:w="271"/>
        <w:gridCol w:w="146"/>
        <w:gridCol w:w="214"/>
        <w:gridCol w:w="582"/>
        <w:gridCol w:w="146"/>
        <w:gridCol w:w="146"/>
        <w:gridCol w:w="207"/>
        <w:gridCol w:w="664"/>
        <w:gridCol w:w="318"/>
      </w:tblGrid>
      <w:tr>
        <w:trPr/>
        <w:tc>
          <w:tcPr>
            <w:tcW w:w="2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$9.2 million in Second Quarter 2026 compared to Second Quarter 2025 primarily due to higher employee related benefit costs and support for the revenue growth from our new contract awards.</w:t>
      </w:r>
    </w:p>
    <w:p>
      <w:pPr>
        <w:pStyle w:val="TextBody"/>
        <w:bidi w:val="0"/>
        <w:spacing w:before="90" w:after="283"/>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Interest Income and Interest Expense</w:t>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1516"/>
        <w:gridCol w:w="146"/>
        <w:gridCol w:w="211"/>
        <w:gridCol w:w="676"/>
        <w:gridCol w:w="146"/>
        <w:gridCol w:w="146"/>
        <w:gridCol w:w="323"/>
        <w:gridCol w:w="802"/>
        <w:gridCol w:w="271"/>
        <w:gridCol w:w="146"/>
        <w:gridCol w:w="211"/>
        <w:gridCol w:w="676"/>
        <w:gridCol w:w="146"/>
        <w:gridCol w:w="146"/>
        <w:gridCol w:w="323"/>
        <w:gridCol w:w="802"/>
        <w:gridCol w:w="271"/>
        <w:gridCol w:w="146"/>
        <w:gridCol w:w="211"/>
        <w:gridCol w:w="631"/>
        <w:gridCol w:w="166"/>
        <w:gridCol w:w="146"/>
        <w:gridCol w:w="207"/>
        <w:gridCol w:w="664"/>
        <w:gridCol w:w="3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increased by $0.8 million in Second Quarter 2026 compared to Second Quarter 2025 primarily due to higher cash balances on hand internationally and the effect of foreign exchange rates.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Interest expense decreased by $3.4 million in Second Quarter 2026 compared to Second Quarter 2025 primarily due to lower overall principal balances and lower interest rates. On July 14, 2025, we amended our Credit Agreement which increased our borrowing capacity and lowered the applicable interest rate. We also paid off our Term Loan under the credit agreement in July 2025. Refer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Note 10 - Debt of the Notes to Unaudited Consolidated Financial Statements in Part I, Item 1 of this Quarterly Report on Form 10-Q for further discussion.</w:t>
      </w:r>
    </w:p>
    <w:p>
      <w:pPr>
        <w:pStyle w:val="TextBody"/>
        <w:bidi w:val="0"/>
        <w:spacing w:before="270" w:after="283"/>
        <w:jc w:val="left"/>
        <w:rPr>
          <w:rFonts w:ascii="Times New Roman" w:hAnsi="Times New Roman"/>
          <w:sz w:val="20"/>
        </w:rPr>
      </w:pPr>
      <w:r>
        <w:rPr>
          <w:rFonts w:ascii="Times New Roman" w:hAnsi="Times New Roman"/>
          <w:color w:val="000000"/>
          <w:sz w:val="20"/>
        </w:rPr>
        <w:t>L</w:t>
      </w:r>
      <w:r>
        <w:rPr>
          <w:rFonts w:ascii="Times New Roman" w:hAnsi="Times New Roman"/>
          <w:b/>
          <w:i/>
          <w:color w:val="000000"/>
          <w:sz w:val="20"/>
        </w:rPr>
        <w:t>oss on Extinguishment of Debt</w:t>
      </w:r>
    </w:p>
    <w:tbl>
      <w:tblPr>
        <w:tblW w:w="10205" w:type="dxa"/>
        <w:jc w:val="left"/>
        <w:tblInd w:w="0" w:type="dxa"/>
        <w:tblLayout w:type="fixed"/>
        <w:tblCellMar>
          <w:top w:w="28" w:type="dxa"/>
          <w:left w:w="28" w:type="dxa"/>
          <w:bottom w:w="28" w:type="dxa"/>
          <w:right w:w="28" w:type="dxa"/>
        </w:tblCellMar>
      </w:tblPr>
      <w:tblGrid>
        <w:gridCol w:w="2788"/>
        <w:gridCol w:w="146"/>
        <w:gridCol w:w="211"/>
        <w:gridCol w:w="346"/>
        <w:gridCol w:w="146"/>
        <w:gridCol w:w="146"/>
        <w:gridCol w:w="366"/>
        <w:gridCol w:w="757"/>
        <w:gridCol w:w="330"/>
        <w:gridCol w:w="146"/>
        <w:gridCol w:w="211"/>
        <w:gridCol w:w="421"/>
        <w:gridCol w:w="146"/>
        <w:gridCol w:w="146"/>
        <w:gridCol w:w="322"/>
        <w:gridCol w:w="801"/>
        <w:gridCol w:w="271"/>
        <w:gridCol w:w="146"/>
        <w:gridCol w:w="242"/>
        <w:gridCol w:w="554"/>
        <w:gridCol w:w="166"/>
        <w:gridCol w:w="146"/>
        <w:gridCol w:w="163"/>
        <w:gridCol w:w="708"/>
        <w:gridCol w:w="380"/>
      </w:tblGrid>
      <w:tr>
        <w:trPr/>
        <w:tc>
          <w:tcPr>
            <w:tcW w:w="2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Second Quarter 2025, we made a mandatory quarterly payment on our Term Loan. In connection with the repayment, we wrote off the related deferred loan costs.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Loss on Asset Divestitures/Impairment</w:t>
      </w:r>
    </w:p>
    <w:tbl>
      <w:tblPr>
        <w:tblW w:w="10205" w:type="dxa"/>
        <w:jc w:val="left"/>
        <w:tblInd w:w="0" w:type="dxa"/>
        <w:tblLayout w:type="fixed"/>
        <w:tblCellMar>
          <w:top w:w="28" w:type="dxa"/>
          <w:left w:w="28" w:type="dxa"/>
          <w:bottom w:w="28" w:type="dxa"/>
          <w:right w:w="28" w:type="dxa"/>
        </w:tblCellMar>
      </w:tblPr>
      <w:tblGrid>
        <w:gridCol w:w="3011"/>
        <w:gridCol w:w="146"/>
        <w:gridCol w:w="211"/>
        <w:gridCol w:w="421"/>
        <w:gridCol w:w="146"/>
        <w:gridCol w:w="146"/>
        <w:gridCol w:w="303"/>
        <w:gridCol w:w="754"/>
        <w:gridCol w:w="271"/>
        <w:gridCol w:w="146"/>
        <w:gridCol w:w="211"/>
        <w:gridCol w:w="346"/>
        <w:gridCol w:w="146"/>
        <w:gridCol w:w="146"/>
        <w:gridCol w:w="345"/>
        <w:gridCol w:w="712"/>
        <w:gridCol w:w="321"/>
        <w:gridCol w:w="146"/>
        <w:gridCol w:w="265"/>
        <w:gridCol w:w="531"/>
        <w:gridCol w:w="146"/>
        <w:gridCol w:w="146"/>
        <w:gridCol w:w="177"/>
        <w:gridCol w:w="694"/>
        <w:gridCol w:w="318"/>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70" w:after="283"/>
        <w:jc w:val="left"/>
        <w:rPr>
          <w:rFonts w:ascii="Times New Roman" w:hAnsi="Times New Roman"/>
          <w:color w:val="000000"/>
          <w:sz w:val="20"/>
        </w:rPr>
      </w:pPr>
      <w:r>
        <w:rPr>
          <w:rFonts w:ascii="Times New Roman" w:hAnsi="Times New Roman"/>
          <w:color w:val="000000"/>
          <w:sz w:val="20"/>
        </w:rPr>
        <w:t xml:space="preserve">In Second Quarter 2026, we received a sale contract for two buildings in Pennsylvania and a sale contract for a parcel of land located in Illinois that were less than their carrying values which resulted in an impairment charge. We also experienced a loss on assets divested in connection with certain closed day reporting centers.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Income</w:t>
      </w:r>
    </w:p>
    <w:tbl>
      <w:tblPr>
        <w:tblW w:w="8905" w:type="dxa"/>
        <w:jc w:val="left"/>
        <w:tblInd w:w="0" w:type="dxa"/>
        <w:tblLayout w:type="fixed"/>
        <w:tblCellMar>
          <w:top w:w="28" w:type="dxa"/>
          <w:left w:w="28" w:type="dxa"/>
          <w:bottom w:w="28" w:type="dxa"/>
          <w:right w:w="28" w:type="dxa"/>
        </w:tblCellMar>
      </w:tblPr>
      <w:tblGrid>
        <w:gridCol w:w="1291"/>
        <w:gridCol w:w="146"/>
        <w:gridCol w:w="211"/>
        <w:gridCol w:w="346"/>
        <w:gridCol w:w="146"/>
        <w:gridCol w:w="146"/>
        <w:gridCol w:w="367"/>
        <w:gridCol w:w="758"/>
        <w:gridCol w:w="331"/>
        <w:gridCol w:w="146"/>
        <w:gridCol w:w="211"/>
        <w:gridCol w:w="571"/>
        <w:gridCol w:w="146"/>
        <w:gridCol w:w="146"/>
        <w:gridCol w:w="323"/>
        <w:gridCol w:w="802"/>
        <w:gridCol w:w="271"/>
        <w:gridCol w:w="146"/>
        <w:gridCol w:w="211"/>
        <w:gridCol w:w="631"/>
        <w:gridCol w:w="166"/>
        <w:gridCol w:w="146"/>
        <w:gridCol w:w="163"/>
        <w:gridCol w:w="708"/>
        <w:gridCol w:w="37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70" w:after="283"/>
        <w:jc w:val="left"/>
        <w:rPr>
          <w:rFonts w:ascii="Times New Roman" w:hAnsi="Times New Roman"/>
          <w:color w:val="000000"/>
          <w:sz w:val="20"/>
        </w:rPr>
      </w:pPr>
      <w:r>
        <w:rPr>
          <w:rFonts w:ascii="Times New Roman" w:hAnsi="Times New Roman"/>
          <w:color w:val="000000"/>
          <w:sz w:val="20"/>
        </w:rPr>
        <w:t>In Second Quarter 2025, we received an aggregate of $5.5 million under the Employee Retention Tax Credit provisions of the CARES Act. This amount was recognized as other income in the consolidated financial statements.</w:t>
      </w:r>
    </w:p>
    <w:p>
      <w:pPr>
        <w:pStyle w:val="TextBody"/>
        <w:bidi w:val="0"/>
        <w:jc w:val="left"/>
        <w:rPr/>
      </w:pPr>
      <w:r>
        <w:rPr/>
        <w:t> </w:t>
      </w:r>
    </w:p>
    <w:p>
      <w:pPr>
        <w:pStyle w:val="TextBody"/>
        <w:bidi w:val="0"/>
        <w:spacing w:before="270" w:after="283"/>
        <w:jc w:val="left"/>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67"/>
        <w:gridCol w:w="146"/>
        <w:gridCol w:w="211"/>
        <w:gridCol w:w="676"/>
        <w:gridCol w:w="146"/>
        <w:gridCol w:w="146"/>
        <w:gridCol w:w="264"/>
        <w:gridCol w:w="847"/>
        <w:gridCol w:w="271"/>
        <w:gridCol w:w="146"/>
        <w:gridCol w:w="211"/>
        <w:gridCol w:w="676"/>
        <w:gridCol w:w="146"/>
        <w:gridCol w:w="146"/>
        <w:gridCol w:w="264"/>
        <w:gridCol w:w="847"/>
        <w:gridCol w:w="271"/>
        <w:gridCol w:w="146"/>
        <w:gridCol w:w="214"/>
        <w:gridCol w:w="582"/>
        <w:gridCol w:w="146"/>
        <w:gridCol w:w="146"/>
        <w:gridCol w:w="207"/>
        <w:gridCol w:w="664"/>
        <w:gridCol w:w="319"/>
      </w:tblGrid>
      <w:tr>
        <w:trPr/>
        <w:tc>
          <w:tcPr>
            <w:tcW w:w="2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 xml:space="preserve">The provision for income taxes increased in Second Quarter 2026 compared to Second Quarter 2025 principally due to an increase in pre-tax income. In Second Quarter 2026, there was a $0.5 million as compared to a $0.3 million net discrete tax benefit in Second Quarter 2025. Included in the discrete tax benefit in Second Quarter 2026 was $0.4 million as compared to a $0.3 million discrete tax benefit in Second Quarter 2025. We estimate our 2026 annual effective tax rate to be in the range of approximately 29% to 31%, exclusive of any discrete items.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Equity in Earnings of Affiliates, net of Income Tax Provision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3"/>
        <w:gridCol w:w="146"/>
        <w:gridCol w:w="211"/>
        <w:gridCol w:w="421"/>
        <w:gridCol w:w="146"/>
        <w:gridCol w:w="146"/>
        <w:gridCol w:w="263"/>
        <w:gridCol w:w="653"/>
        <w:gridCol w:w="271"/>
        <w:gridCol w:w="146"/>
        <w:gridCol w:w="211"/>
        <w:gridCol w:w="571"/>
        <w:gridCol w:w="146"/>
        <w:gridCol w:w="146"/>
        <w:gridCol w:w="263"/>
        <w:gridCol w:w="653"/>
        <w:gridCol w:w="271"/>
        <w:gridCol w:w="146"/>
        <w:gridCol w:w="211"/>
        <w:gridCol w:w="631"/>
        <w:gridCol w:w="166"/>
        <w:gridCol w:w="146"/>
        <w:gridCol w:w="189"/>
        <w:gridCol w:w="682"/>
        <w:gridCol w:w="347"/>
      </w:tblGrid>
      <w:tr>
        <w:trPr/>
        <w:tc>
          <w:tcPr>
            <w:tcW w:w="3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 Earnings of Affiliates, net of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affiliates, presented net of income tax provision, represents the earnings of SACS and GEOAmey in the aggregate. Equity in earnings of affiliates decreased slightly during Second Quarter 2026 compared to Second Quarter 2025 primarily due to less favorable performance at SACS.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Comparison of Six Months 2026 and Six Months 2025</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5"/>
        <w:gridCol w:w="146"/>
        <w:gridCol w:w="211"/>
        <w:gridCol w:w="931"/>
        <w:gridCol w:w="146"/>
        <w:gridCol w:w="146"/>
        <w:gridCol w:w="171"/>
        <w:gridCol w:w="674"/>
        <w:gridCol w:w="271"/>
        <w:gridCol w:w="146"/>
        <w:gridCol w:w="211"/>
        <w:gridCol w:w="931"/>
        <w:gridCol w:w="146"/>
        <w:gridCol w:w="146"/>
        <w:gridCol w:w="171"/>
        <w:gridCol w:w="674"/>
        <w:gridCol w:w="271"/>
        <w:gridCol w:w="146"/>
        <w:gridCol w:w="211"/>
        <w:gridCol w:w="781"/>
        <w:gridCol w:w="166"/>
        <w:gridCol w:w="146"/>
        <w:gridCol w:w="207"/>
        <w:gridCol w:w="664"/>
        <w:gridCol w:w="337"/>
      </w:tblGrid>
      <w:tr>
        <w:trPr/>
        <w:tc>
          <w:tcPr>
            <w:tcW w:w="2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0" w:after="283"/>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U.S. Secure Services increased by $175.7 million in the six months ended June 30, 2026 (the "Six Months 2026") compared to the six months ended June 30, 2025 (the "Six Months 2025") due to increases of $144.0 million related to the activations of our new contracts at our company-owned Delaney Hall, North Lake and D. Ray James facilities as well as our managed-only contract at the North Florida Detention Center and new transportation contracts. There were also aggregate net increases of $70.3 million due to increases in occupancies, transportation, rates and/or per diem amounts in connection with contract modifications. Partially offsetting these increases were decreases of approximately $38.6 million related to contract terminations.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The number of compensated mandays in U.S. Secure Services facilities was approximately 8.9 million in Six Months 2026 compared to approximately 8.3 million in Six Months 2025. We look at the average occupancy in our facilities to determine how we are managing our available beds. The average occupancy is calculated by taking compensated mandays as a percentage of capacity. The average occupancy in our U.S. Secure Services facilities was approximately 91% and 88% of capacity in Six Months 2026 and Six Months 2025, respectively, excluding idle facilities.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for Electronic Monitoring and Supervision Services decreased in Six Months 2026 compared to Six Months 2025 primarily due to a decrease in average participant counts under the Intensive Supervision and Appearance Program ("ISAP").</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spacing w:before="90" w:after="160"/>
        <w:jc w:val="left"/>
        <w:rPr>
          <w:rFonts w:ascii="Times New Roman" w:hAnsi="Times New Roman"/>
          <w:color w:val="000000"/>
          <w:sz w:val="20"/>
        </w:rPr>
      </w:pPr>
      <w:r>
        <w:rPr>
          <w:rFonts w:ascii="Times New Roman" w:hAnsi="Times New Roman"/>
          <w:color w:val="000000"/>
          <w:sz w:val="20"/>
        </w:rPr>
        <w:t xml:space="preserve">Revenues for Reentry Services increased by $2.0 million in Six Months 2026 compared to Six Months 2025 primarily due to aggregate net increases of $6.0 million related to increased census levels at certain of our community-based and reentry centers due to increased programming needs and referrals due to new day reporting center contracts. These increases were partially offset by decreases due to contract terminations of $4.0 million. </w:t>
      </w:r>
    </w:p>
    <w:p>
      <w:pPr>
        <w:pStyle w:val="TextBody"/>
        <w:bidi w:val="0"/>
        <w:spacing w:before="11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Revenues for International Services increased by $24.3 million in Six Months 2026 compared to Six Months 2025. We experienced a net increase of $12.5 million primarily due to new health care contracts and increased populations at our Australian subsidiary. We also experienced an increase due to foreign exchange rate fluctuations of $11.8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8"/>
        <w:gridCol w:w="146"/>
        <w:gridCol w:w="211"/>
        <w:gridCol w:w="931"/>
        <w:gridCol w:w="146"/>
        <w:gridCol w:w="146"/>
        <w:gridCol w:w="212"/>
        <w:gridCol w:w="680"/>
        <w:gridCol w:w="271"/>
        <w:gridCol w:w="146"/>
        <w:gridCol w:w="211"/>
        <w:gridCol w:w="781"/>
        <w:gridCol w:w="146"/>
        <w:gridCol w:w="146"/>
        <w:gridCol w:w="212"/>
        <w:gridCol w:w="680"/>
        <w:gridCol w:w="271"/>
        <w:gridCol w:w="146"/>
        <w:gridCol w:w="211"/>
        <w:gridCol w:w="781"/>
        <w:gridCol w:w="166"/>
        <w:gridCol w:w="146"/>
        <w:gridCol w:w="207"/>
        <w:gridCol w:w="664"/>
        <w:gridCol w:w="340"/>
      </w:tblGrid>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0" w:after="283"/>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for U.S. Secure Services increased by $104.0 million in Six Months 2026 compared to Six Months 2025 primarily due to aggregate net increases in connection with labor and medical costs, transportation services, increased occupancies and additional staffing and training costs of $78.1 million. We also experienced an increase of approximately $59.6 million related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activations of our new contracts at our company-owned Delaney Hall, North Lake and D. Ray James facilities as well as our managed-only contract at the North Florida Detention Center and new transportation contracts. Partially offsetting these increases were decreases of approximately $33.7 million related to contract terminations.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for Electronic Monitoring and Supervision Services decreased in Six Months 2026 compared to Six Months 2025 primarily due to a decrease in average participant counts under the Intensive Supervision and Appearance Program ("ISAP").</w:t>
      </w:r>
    </w:p>
    <w:p>
      <w:pPr>
        <w:pStyle w:val="TextBody"/>
        <w:bidi w:val="0"/>
        <w:spacing w:before="270" w:after="283"/>
        <w:jc w:val="left"/>
        <w:rPr>
          <w:rFonts w:ascii="Times New Roman" w:hAnsi="Times New Roman"/>
          <w:sz w:val="20"/>
        </w:rPr>
      </w:pPr>
      <w:r>
        <w:rPr>
          <w:rFonts w:ascii="Times New Roman" w:hAnsi="Times New Roman"/>
          <w:i/>
          <w:color w:val="000000"/>
          <w:sz w:val="20"/>
        </w:rPr>
        <w:t>Reentry Services</w:t>
      </w:r>
      <w:r>
        <w:rPr>
          <w:rFonts w:ascii="Times New Roman" w:hAnsi="Times New Roman"/>
          <w:color w:val="000000"/>
          <w:sz w:val="20"/>
        </w:rPr>
        <w:t xml:space="preserve"> </w:t>
      </w:r>
    </w:p>
    <w:p>
      <w:pPr>
        <w:pStyle w:val="TextBody"/>
        <w:bidi w:val="0"/>
        <w:spacing w:before="90" w:after="160"/>
        <w:jc w:val="left"/>
        <w:rPr>
          <w:rFonts w:ascii="Times New Roman" w:hAnsi="Times New Roman"/>
          <w:color w:val="000000"/>
          <w:sz w:val="20"/>
        </w:rPr>
      </w:pPr>
      <w:r>
        <w:rPr>
          <w:rFonts w:ascii="Times New Roman" w:hAnsi="Times New Roman"/>
          <w:color w:val="000000"/>
          <w:sz w:val="20"/>
        </w:rPr>
        <w:t>Operating expenses for Reentry Services increased by $2.8 million during Six Months 2026 compared to Six Months 2025. We experienced an aggregate net increase of $5.9 million due to increased programming needs and referrals due to new day reporting center contracts which was partially offset by a decrease of $3.1 million due to contract terminations.</w:t>
      </w:r>
    </w:p>
    <w:p>
      <w:pPr>
        <w:pStyle w:val="TextBody"/>
        <w:bidi w:val="0"/>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for International Services increased in Six Months 2026 compared to Six Months 2025 by $16.8 million. We experienced an increase of $6.6 million primarily due to new health care contracts and increased populations at our Australian subsidiary. We also experienced an increase of $10.2 million related to foreign exchange rate fluctuations.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0"/>
        <w:gridCol w:w="146"/>
        <w:gridCol w:w="211"/>
        <w:gridCol w:w="676"/>
        <w:gridCol w:w="146"/>
        <w:gridCol w:w="146"/>
        <w:gridCol w:w="264"/>
        <w:gridCol w:w="656"/>
        <w:gridCol w:w="271"/>
        <w:gridCol w:w="146"/>
        <w:gridCol w:w="211"/>
        <w:gridCol w:w="676"/>
        <w:gridCol w:w="146"/>
        <w:gridCol w:w="146"/>
        <w:gridCol w:w="264"/>
        <w:gridCol w:w="656"/>
        <w:gridCol w:w="271"/>
        <w:gridCol w:w="146"/>
        <w:gridCol w:w="214"/>
        <w:gridCol w:w="582"/>
        <w:gridCol w:w="166"/>
        <w:gridCol w:w="146"/>
        <w:gridCol w:w="189"/>
        <w:gridCol w:w="682"/>
        <w:gridCol w:w="348"/>
      </w:tblGrid>
      <w:tr>
        <w:trPr/>
        <w:tc>
          <w:tcPr>
            <w:tcW w:w="2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0" w:after="283"/>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U.S. Secure Services depreciation and amortization expense increased in Six Months 2026 compared to Six Months 2025 primarily due to renovations at certain of our company-owned and leased facilities.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Electronic Monitoring and Supervision Services depreciation and amortization expense increased slightly in Six Months 2026 compared to Six Months 2025 primarily due to equipment additions.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Reentry Services depreciation and amortization expense decreased in Six Months 2026 compared to Six Months 2025 primarily due to certain assets becoming fully depreciated.</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International Services depreciation and amortization expense increased slightly in Six Months 2026 compared to Six Months 2025 primarily due to certain asset additions.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General and Administrative Expenses</w:t>
      </w:r>
    </w:p>
    <w:tbl>
      <w:tblPr>
        <w:tblW w:w="10205" w:type="dxa"/>
        <w:jc w:val="left"/>
        <w:tblInd w:w="0" w:type="dxa"/>
        <w:tblLayout w:type="fixed"/>
        <w:tblCellMar>
          <w:top w:w="28" w:type="dxa"/>
          <w:left w:w="28" w:type="dxa"/>
          <w:bottom w:w="28" w:type="dxa"/>
          <w:right w:w="28" w:type="dxa"/>
        </w:tblCellMar>
      </w:tblPr>
      <w:tblGrid>
        <w:gridCol w:w="2418"/>
        <w:gridCol w:w="146"/>
        <w:gridCol w:w="211"/>
        <w:gridCol w:w="781"/>
        <w:gridCol w:w="146"/>
        <w:gridCol w:w="146"/>
        <w:gridCol w:w="268"/>
        <w:gridCol w:w="667"/>
        <w:gridCol w:w="271"/>
        <w:gridCol w:w="146"/>
        <w:gridCol w:w="211"/>
        <w:gridCol w:w="781"/>
        <w:gridCol w:w="146"/>
        <w:gridCol w:w="146"/>
        <w:gridCol w:w="268"/>
        <w:gridCol w:w="667"/>
        <w:gridCol w:w="271"/>
        <w:gridCol w:w="146"/>
        <w:gridCol w:w="211"/>
        <w:gridCol w:w="676"/>
        <w:gridCol w:w="146"/>
        <w:gridCol w:w="146"/>
        <w:gridCol w:w="207"/>
        <w:gridCol w:w="664"/>
        <w:gridCol w:w="319"/>
      </w:tblGrid>
      <w:tr>
        <w:trPr/>
        <w:tc>
          <w:tcPr>
            <w:tcW w:w="2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$12.1 million in Six Months 2026 compared to Six Months 2025 primarily due to higher employee related benefit costs and support for the revenue growth from our new contract awards.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Interest Income and Interest Expense</w:t>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1516"/>
        <w:gridCol w:w="146"/>
        <w:gridCol w:w="211"/>
        <w:gridCol w:w="676"/>
        <w:gridCol w:w="146"/>
        <w:gridCol w:w="146"/>
        <w:gridCol w:w="323"/>
        <w:gridCol w:w="802"/>
        <w:gridCol w:w="271"/>
        <w:gridCol w:w="146"/>
        <w:gridCol w:w="211"/>
        <w:gridCol w:w="676"/>
        <w:gridCol w:w="146"/>
        <w:gridCol w:w="146"/>
        <w:gridCol w:w="323"/>
        <w:gridCol w:w="802"/>
        <w:gridCol w:w="271"/>
        <w:gridCol w:w="146"/>
        <w:gridCol w:w="211"/>
        <w:gridCol w:w="631"/>
        <w:gridCol w:w="166"/>
        <w:gridCol w:w="146"/>
        <w:gridCol w:w="224"/>
        <w:gridCol w:w="647"/>
        <w:gridCol w:w="3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increased by $0.4 million in Six Months 2026 compared to Six Months 2025 primarily due to higher cash balances on hand internationally and the effect of foreign exchange rates.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expense decreased by $7.5 million in Six Months 2026 compared to Six Months 2025 primarily due to lower overall principal balances and lower interest rates. On July 14, 2025, we amended our Credit Agreement which increased our borrowing capacity and lowered the applicable interest rate. We also paid off our Term Loan under the credit agreement in July 2025. Refer to Note 10 - Debt of the Notes to Unaudited Consolidated Financial Statements in Part I, Item 1 of this Quarterly Report on Form 10-Q for further discussion.</w:t>
      </w:r>
    </w:p>
    <w:p>
      <w:pPr>
        <w:pStyle w:val="TextBody"/>
        <w:bidi w:val="0"/>
        <w:spacing w:before="270" w:after="283"/>
        <w:jc w:val="left"/>
        <w:rPr>
          <w:rFonts w:ascii="Times New Roman" w:hAnsi="Times New Roman"/>
          <w:sz w:val="20"/>
        </w:rPr>
      </w:pPr>
      <w:r>
        <w:rPr>
          <w:rFonts w:ascii="Times New Roman" w:hAnsi="Times New Roman"/>
          <w:color w:val="000000"/>
          <w:sz w:val="20"/>
        </w:rPr>
        <w:t>L</w:t>
      </w:r>
      <w:r>
        <w:rPr>
          <w:rFonts w:ascii="Times New Roman" w:hAnsi="Times New Roman"/>
          <w:b/>
          <w:i/>
          <w:color w:val="000000"/>
          <w:sz w:val="20"/>
        </w:rPr>
        <w:t>oss on Extinguishment of Debt</w:t>
      </w:r>
    </w:p>
    <w:tbl>
      <w:tblPr>
        <w:tblW w:w="10149" w:type="dxa"/>
        <w:jc w:val="left"/>
        <w:tblInd w:w="0" w:type="dxa"/>
        <w:tblLayout w:type="fixed"/>
        <w:tblCellMar>
          <w:top w:w="28" w:type="dxa"/>
          <w:left w:w="28" w:type="dxa"/>
          <w:bottom w:w="28" w:type="dxa"/>
          <w:right w:w="28" w:type="dxa"/>
        </w:tblCellMar>
      </w:tblPr>
      <w:tblGrid>
        <w:gridCol w:w="2791"/>
        <w:gridCol w:w="146"/>
        <w:gridCol w:w="211"/>
        <w:gridCol w:w="346"/>
        <w:gridCol w:w="146"/>
        <w:gridCol w:w="146"/>
        <w:gridCol w:w="323"/>
        <w:gridCol w:w="802"/>
        <w:gridCol w:w="271"/>
        <w:gridCol w:w="146"/>
        <w:gridCol w:w="211"/>
        <w:gridCol w:w="421"/>
        <w:gridCol w:w="146"/>
        <w:gridCol w:w="146"/>
        <w:gridCol w:w="323"/>
        <w:gridCol w:w="802"/>
        <w:gridCol w:w="271"/>
        <w:gridCol w:w="146"/>
        <w:gridCol w:w="242"/>
        <w:gridCol w:w="554"/>
        <w:gridCol w:w="166"/>
        <w:gridCol w:w="146"/>
        <w:gridCol w:w="163"/>
        <w:gridCol w:w="708"/>
        <w:gridCol w:w="37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Six Months 2025, we made a mandatory quarterly payment on our Term Loan. In connection with the repayment, we wrote off the related deferred loan costs.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Loss on Asset Divestitures/Impairment</w:t>
      </w:r>
    </w:p>
    <w:tbl>
      <w:tblPr>
        <w:tblW w:w="10205" w:type="dxa"/>
        <w:jc w:val="left"/>
        <w:tblInd w:w="0" w:type="dxa"/>
        <w:tblLayout w:type="fixed"/>
        <w:tblCellMar>
          <w:top w:w="28" w:type="dxa"/>
          <w:left w:w="28" w:type="dxa"/>
          <w:bottom w:w="28" w:type="dxa"/>
          <w:right w:w="28" w:type="dxa"/>
        </w:tblCellMar>
      </w:tblPr>
      <w:tblGrid>
        <w:gridCol w:w="3011"/>
        <w:gridCol w:w="146"/>
        <w:gridCol w:w="211"/>
        <w:gridCol w:w="421"/>
        <w:gridCol w:w="146"/>
        <w:gridCol w:w="146"/>
        <w:gridCol w:w="303"/>
        <w:gridCol w:w="754"/>
        <w:gridCol w:w="271"/>
        <w:gridCol w:w="146"/>
        <w:gridCol w:w="211"/>
        <w:gridCol w:w="346"/>
        <w:gridCol w:w="146"/>
        <w:gridCol w:w="146"/>
        <w:gridCol w:w="345"/>
        <w:gridCol w:w="712"/>
        <w:gridCol w:w="321"/>
        <w:gridCol w:w="146"/>
        <w:gridCol w:w="265"/>
        <w:gridCol w:w="531"/>
        <w:gridCol w:w="146"/>
        <w:gridCol w:w="146"/>
        <w:gridCol w:w="177"/>
        <w:gridCol w:w="694"/>
        <w:gridCol w:w="318"/>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Asset Divestitures/Impairment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70" w:after="283"/>
        <w:jc w:val="left"/>
        <w:rPr>
          <w:rFonts w:ascii="Times New Roman" w:hAnsi="Times New Roman"/>
          <w:color w:val="000000"/>
          <w:sz w:val="20"/>
        </w:rPr>
      </w:pPr>
      <w:r>
        <w:rPr>
          <w:rFonts w:ascii="Times New Roman" w:hAnsi="Times New Roman"/>
          <w:color w:val="000000"/>
          <w:sz w:val="20"/>
        </w:rPr>
        <w:t xml:space="preserve">In Six Months 2026, we received a sale contract for two buildings in Pennsylvania and a sale contract for a parcel of land located in Illinois that were less than their carrying values which resulted in an impairment charge. We also experienced a loss on assets divested in connection with certain closed day reporting centers.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Other Income</w:t>
      </w:r>
    </w:p>
    <w:tbl>
      <w:tblPr>
        <w:tblW w:w="8905" w:type="dxa"/>
        <w:jc w:val="left"/>
        <w:tblInd w:w="0" w:type="dxa"/>
        <w:tblLayout w:type="fixed"/>
        <w:tblCellMar>
          <w:top w:w="28" w:type="dxa"/>
          <w:left w:w="28" w:type="dxa"/>
          <w:bottom w:w="28" w:type="dxa"/>
          <w:right w:w="28" w:type="dxa"/>
        </w:tblCellMar>
      </w:tblPr>
      <w:tblGrid>
        <w:gridCol w:w="1291"/>
        <w:gridCol w:w="146"/>
        <w:gridCol w:w="211"/>
        <w:gridCol w:w="346"/>
        <w:gridCol w:w="146"/>
        <w:gridCol w:w="146"/>
        <w:gridCol w:w="367"/>
        <w:gridCol w:w="758"/>
        <w:gridCol w:w="331"/>
        <w:gridCol w:w="146"/>
        <w:gridCol w:w="211"/>
        <w:gridCol w:w="571"/>
        <w:gridCol w:w="146"/>
        <w:gridCol w:w="146"/>
        <w:gridCol w:w="323"/>
        <w:gridCol w:w="802"/>
        <w:gridCol w:w="271"/>
        <w:gridCol w:w="146"/>
        <w:gridCol w:w="211"/>
        <w:gridCol w:w="631"/>
        <w:gridCol w:w="166"/>
        <w:gridCol w:w="146"/>
        <w:gridCol w:w="163"/>
        <w:gridCol w:w="708"/>
        <w:gridCol w:w="37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70" w:after="283"/>
        <w:jc w:val="left"/>
        <w:rPr>
          <w:rFonts w:ascii="Times New Roman" w:hAnsi="Times New Roman"/>
          <w:color w:val="000000"/>
          <w:sz w:val="20"/>
        </w:rPr>
      </w:pPr>
      <w:r>
        <w:rPr>
          <w:rFonts w:ascii="Times New Roman" w:hAnsi="Times New Roman"/>
          <w:color w:val="000000"/>
          <w:sz w:val="20"/>
        </w:rPr>
        <w:t>In Six Months 2025, we received an aggregate of $5.5 million under the Employee Retention Tax Credit provisions of the CARES Act. This amount was recognized as other income in the consolidated financial statements.</w:t>
      </w:r>
    </w:p>
    <w:p>
      <w:pPr>
        <w:pStyle w:val="TextBody"/>
        <w:bidi w:val="0"/>
        <w:spacing w:before="270" w:after="283"/>
        <w:jc w:val="left"/>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06"/>
        <w:gridCol w:w="146"/>
        <w:gridCol w:w="211"/>
        <w:gridCol w:w="676"/>
        <w:gridCol w:w="146"/>
        <w:gridCol w:w="146"/>
        <w:gridCol w:w="260"/>
        <w:gridCol w:w="836"/>
        <w:gridCol w:w="271"/>
        <w:gridCol w:w="146"/>
        <w:gridCol w:w="211"/>
        <w:gridCol w:w="676"/>
        <w:gridCol w:w="146"/>
        <w:gridCol w:w="146"/>
        <w:gridCol w:w="260"/>
        <w:gridCol w:w="836"/>
        <w:gridCol w:w="271"/>
        <w:gridCol w:w="146"/>
        <w:gridCol w:w="211"/>
        <w:gridCol w:w="676"/>
        <w:gridCol w:w="146"/>
        <w:gridCol w:w="146"/>
        <w:gridCol w:w="177"/>
        <w:gridCol w:w="694"/>
        <w:gridCol w:w="319"/>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70" w:after="160"/>
        <w:jc w:val="left"/>
        <w:rPr>
          <w:rFonts w:ascii="Times New Roman" w:hAnsi="Times New Roman"/>
          <w:color w:val="000000"/>
          <w:sz w:val="20"/>
        </w:rPr>
      </w:pPr>
      <w:r>
        <w:rPr>
          <w:rFonts w:ascii="Times New Roman" w:hAnsi="Times New Roman"/>
          <w:color w:val="000000"/>
          <w:sz w:val="20"/>
        </w:rPr>
        <w:t xml:space="preserve">The provision for income taxes and the effective tax rate increased in Six Months 2026 compared to Six Months 2025 principally due to an increase in pre-tax income and a decrease in discrete tax benefits. In Six Months 2026, there was a $1.3 million as compared to a $4.5 million net discrete tax benefit in Six Months 2025. Included in the discrete tax benefit in Six Months 2026 was a $1.3 million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160"/>
        <w:jc w:val="left"/>
        <w:rPr>
          <w:rFonts w:ascii="Times New Roman" w:hAnsi="Times New Roman"/>
          <w:color w:val="000000"/>
          <w:sz w:val="20"/>
        </w:rPr>
      </w:pPr>
      <w:r>
        <w:rPr>
          <w:rFonts w:ascii="Times New Roman" w:hAnsi="Times New Roman"/>
          <w:color w:val="000000"/>
          <w:sz w:val="20"/>
        </w:rPr>
        <w:t xml:space="preserve">compared to a $4.5 million discrete tax benefit in Six Months 2025. We estimate our 2026 annual effective tax rate to be in the range of approximately 29% to 31%, exclusive of any discrete items.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Equity in Earnings of Affiliates, net of Income Tax Provision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8"/>
        <w:gridCol w:w="146"/>
        <w:gridCol w:w="211"/>
        <w:gridCol w:w="571"/>
        <w:gridCol w:w="146"/>
        <w:gridCol w:w="146"/>
        <w:gridCol w:w="259"/>
        <w:gridCol w:w="645"/>
        <w:gridCol w:w="271"/>
        <w:gridCol w:w="146"/>
        <w:gridCol w:w="211"/>
        <w:gridCol w:w="571"/>
        <w:gridCol w:w="146"/>
        <w:gridCol w:w="146"/>
        <w:gridCol w:w="259"/>
        <w:gridCol w:w="645"/>
        <w:gridCol w:w="271"/>
        <w:gridCol w:w="146"/>
        <w:gridCol w:w="211"/>
        <w:gridCol w:w="631"/>
        <w:gridCol w:w="166"/>
        <w:gridCol w:w="146"/>
        <w:gridCol w:w="189"/>
        <w:gridCol w:w="682"/>
        <w:gridCol w:w="346"/>
      </w:tblGrid>
      <w:tr>
        <w:trPr/>
        <w:tc>
          <w:tcPr>
            <w:tcW w:w="2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 Earnings of Affiliates, net of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affiliates, presented net of income tax provision, represents the earnings of SACS and GEOAmey in the aggregate. Equity in earnings of affiliates decreased slightly during Six Months 2026 compared to Six Months 2025 primarily due to less favorable performance at SACS.</w:t>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90" w:after="283"/>
        <w:jc w:val="left"/>
        <w:rPr/>
      </w:pPr>
      <w:r>
        <w:rPr/>
        <w:t> </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Capital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cash requirements consist of amounts needed for working capital, debt service, supply purchases, research and development costs related to new electronic monitoring products,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currently have contractual commitments for a number of projects using Company financing. We estimate that the cost of these existing active capital projects will be approximately $52.9 million of which $32.9 million was spent through June 30, 2026. We estimate that the remaining capital requirements related to these capital projects will be $20.0 million which will be spent through the remainder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plan to fund all of our capital needs, including capital expenditures, from cash on hand, cash from operations, borrowings under our Credit Agreement (as defined below) and any other financings which our management and Board, in their discretion, may consummate. Currently, our primary source of liquidity to meet these requirements is cash flow from operations and borrowings under our Credit Agreement. Our management believes that our financial resources and sources of liquidity will allow us to manage our business, financial condition, results of operations and cash flows. We completed our annual budgeting process, and for 2026, we will continue to strategically manage our capital expenditures to maintain both short and long term financial objectives. Additionally, we may from time to time pursue transactions for the potential sale or acquisition of assets and businesses and/or other strategic transactions. Taking into account the impact of the federal government shutdown, that ended on April 30, 2026, our management believes that cash on hand, cash flows from operations and availability under our Credit Agreement will be adequate to support our capital requirements for 2026 as disclosed under “Capital Requirements” above and the next twelve months.</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Indebtedness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Refer to Note 10 - Debt of the Notes to Unaudited Consolidated Financial Statements included in Part I, Item 1 of this Quarterly Report on Form 10-Q for further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opportunities for future business and/or asset acquisitions or dispositions as we deem appropriate when market conditions present opportunities. If we are successful in our pursuit of any new projects, our cash on hand, cash flows from operations and borrowings under the new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 governing the Secured Notes, the indenture governing the Unsecured Notes and our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and including the impact of the federal government shutdown, that ended on April 30, 2026, a number of state government agencies have been suffering from budget deficits and liquidity issues. While we were in compliance with our debt covenants as of June 30, 2026 and we expect to continue to be in compliance with our debt covenants, if these constraints were to intensify, our liquidity could be materially adversely impacted as could our ability to remain in compliance with these debt covenants.</w:t>
      </w:r>
    </w:p>
    <w:p>
      <w:pPr>
        <w:pStyle w:val="TextBody"/>
        <w:bidi w:val="0"/>
        <w:jc w:val="left"/>
        <w:rPr/>
      </w:pPr>
      <w:r>
        <w:rPr/>
        <w:t>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Guarantor Financial Information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Summarized financial information is provided for GEO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GEO and the Subsidiary Guarantor entities with non-guarantor entities have not been eliminated. Intercompany transactions between GEO and the Subsidiary Guarantors have been eliminated and equity in earnings from and investments in non-guarantor subsidiaries have not been presented.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Summarized statement of operations (in thousands):</w:t>
      </w:r>
    </w:p>
    <w:tbl>
      <w:tblPr>
        <w:tblW w:w="7440" w:type="dxa"/>
        <w:jc w:val="left"/>
        <w:tblInd w:w="0" w:type="dxa"/>
        <w:tblLayout w:type="fixed"/>
        <w:tblCellMar>
          <w:top w:w="28" w:type="dxa"/>
          <w:left w:w="28" w:type="dxa"/>
          <w:bottom w:w="28" w:type="dxa"/>
          <w:right w:w="28" w:type="dxa"/>
        </w:tblCellMar>
      </w:tblPr>
      <w:tblGrid>
        <w:gridCol w:w="3991"/>
        <w:gridCol w:w="146"/>
        <w:gridCol w:w="260"/>
        <w:gridCol w:w="1150"/>
        <w:gridCol w:w="146"/>
        <w:gridCol w:w="146"/>
        <w:gridCol w:w="260"/>
        <w:gridCol w:w="1150"/>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balance sheets (in thousands):</w:t>
      </w:r>
    </w:p>
    <w:p>
      <w:pPr>
        <w:pStyle w:val="TextBody"/>
        <w:bidi w:val="0"/>
        <w:jc w:val="left"/>
        <w:rPr/>
      </w:pPr>
      <w:r>
        <w:rPr/>
        <w:t> </w:t>
      </w:r>
    </w:p>
    <w:tbl>
      <w:tblPr>
        <w:tblW w:w="5402" w:type="dxa"/>
        <w:jc w:val="left"/>
        <w:tblInd w:w="0" w:type="dxa"/>
        <w:tblLayout w:type="fixed"/>
        <w:tblCellMar>
          <w:top w:w="28" w:type="dxa"/>
          <w:left w:w="28" w:type="dxa"/>
          <w:bottom w:w="28" w:type="dxa"/>
          <w:right w:w="28" w:type="dxa"/>
        </w:tblCellMar>
      </w:tblPr>
      <w:tblGrid>
        <w:gridCol w:w="2131"/>
        <w:gridCol w:w="146"/>
        <w:gridCol w:w="211"/>
        <w:gridCol w:w="931"/>
        <w:gridCol w:w="146"/>
        <w:gridCol w:w="146"/>
        <w:gridCol w:w="277"/>
        <w:gridCol w:w="122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2,021,019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Includes amounts due from non-guarantor subsidiaries of $54.2 million and $52.8 million as of June 30, 2026 and December 31,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Includes amounts due to non-guarantor subsidiaries of $41.8 million and $42.1 million as of June 30, 2026 and December 31, 2025, respectively.</w:t>
      </w:r>
    </w:p>
    <w:p>
      <w:pPr>
        <w:pStyle w:val="TextBody"/>
        <w:bidi w:val="0"/>
        <w:jc w:val="left"/>
        <w:rPr/>
      </w:pPr>
      <w:r>
        <w:rPr/>
        <w:t> </w:t>
      </w:r>
    </w:p>
    <w:p>
      <w:pPr>
        <w:pStyle w:val="TextBody"/>
        <w:bidi w:val="0"/>
        <w:spacing w:before="7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Except as discussed in the notes to our Unaudited Consolidated Financial Statements included in Part I, Item 1 of this Quarterly Report on Form 10-Q, we do not have any off-balance sheet arrangements.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Cash Flow</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Cash, cash equivalents and restricted cash and cash equivalents as of June 30, 2026 was $111.2 million compared to $120.6 million as of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provided by operating activities amounted to $236.5 million for the six months ended June 30, 2026 versus net cash provided by operating activities of $110.4 million for the six months ended June 30, 2025. Cash provided by operating activities during the six months ended June 30, 2026 was positively impacted by non-cash expenses such as depreciation and amortization, amortization of debt issuance costs, discount and/or premium and other non-cash interest, dividends received from unconsolidated joint ventures, loss on disposal of property and equipment, net and stock-based compensation expense. Equity in earnings of affiliates and realized/unrealized gain on investments negatively impacted cash. Accounts receivable, prepaid expenses and other assets decreased in total by $68.9 million, representing a positive impact on cash. The decrease was primarily driven by the timing of billings and collections. Accounts payable, accrued expenses and other liabilities decreased by $4.9 million which negatively impacted cash. The decrease was primarily driven by the timing of payments. </w:t>
      </w:r>
    </w:p>
    <w:p>
      <w:pPr>
        <w:pStyle w:val="TextBody"/>
        <w:bidi w:val="0"/>
        <w:spacing w:before="90" w:after="283"/>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provided by operating activities during the six months ended June 30, 2025 was positively impacted by non-cash expenses such as depreciation and amortization, amortization of debt issuance costs, discount and/or premium and other non-cash interest, dividends received from unconsolidated joint ventures and stock-based compensation expense. Equity in earnings of affiliates, net of tax, gain on sale/disposal of property and equipment, net, and realized/unrealized gain on investments negatively impacted cash. Accounts receivable, prepaid expenses and other assets increased in total by $4.5 million, representing a negative impact on cash. The increase was primarily driven by the timing of billings and collections. Accounts payable, accrued expenses and other liabilities decreased by $6.8 million which negatively impacted cash. The decrease was primarily driven by the timing of payments.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used in investing activities of $50.4 million during the six months ended June 30, 2026 was primarily the result of capital expenditures of $42.3 million, purchases of marketable securities of $40.7 million and proceeds from sales of marketable securities of $32.1 million. Net cash used in investing activities of $81.8 million during the six months ended June 30, 2025 was primarily the result of capital expenditures of $67.6 million, purchases of marketable securities of $16.9 million and proceeds from sales of marketable securities of $2.7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Net cash used in financing activities during the six months ended June 30, 2026 was approximately $200.2 million compared to net cash used in financing activities of $37.6 million during the six months ended June 30, 2025. Net cash used in financing activities during the six months ended June 30, 2026 was primarily the result of proceeds from the revolver of $117.0 million, payments on the revolver of $226.6 million, payments on long-term debt of $0.7 million, proceeds from the exercise of stock options of $3.0 million, payment for the repurchase of common stock of $86.7 million and taxes paid related to net share settlement of equity awards of $6.2 million. Net cash used in financing activities during the six months ended June 30, 2025 was primarily the result of payments on the revolver of $30.0 million, proceeds from the revolver of $35 million, payments on long-term debt of $24.7 million, proceeds from the exercise of stock options of $4.2 million and taxes paid related to net share settlement of equity awards of $22.2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Non-GAAP Measures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EBITDA is defined as net income adjusted by adding provision for income tax, interest expense, net of interest income and depreciation and amortization. Adjusted EBITDA is defined as EBITDA adjusted for net loss attributable to non-controlling interests, stock-based compensation expenses, pre-tax, transaction fees, pre-tax, start-up costs, pre-tax, litigation costs and settlements, pre-tax, employee restructuring expenses, pre-tax, close-out expenses, pre-tax, loss on asset divestitures/impairment, pre-tax and other non-cash revenues and expenses, pre-tax, and certain other adjustments as defined from time to time. </w:t>
      </w:r>
    </w:p>
    <w:p>
      <w:pPr>
        <w:pStyle w:val="TextBody"/>
        <w:bidi w:val="0"/>
        <w:jc w:val="both"/>
        <w:rPr>
          <w:rFonts w:ascii="Times New Roman" w:hAnsi="Times New Roman"/>
          <w:color w:val="000000"/>
          <w:sz w:val="20"/>
        </w:rPr>
      </w:pPr>
      <w:r>
        <w:rPr>
          <w:rFonts w:ascii="Times New Roman" w:hAnsi="Times New Roman"/>
          <w:color w:val="000000"/>
          <w:sz w:val="20"/>
        </w:rPr>
        <w:t xml:space="preserve">Given the nature of our business as a real estate owner and support services provider,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 </w:t>
      </w:r>
    </w:p>
    <w:p>
      <w:pPr>
        <w:pStyle w:val="TextBody"/>
        <w:bidi w:val="0"/>
        <w:jc w:val="both"/>
        <w:rPr>
          <w:rFonts w:ascii="Times New Roman" w:hAnsi="Times New Roman"/>
          <w:color w:val="000000"/>
          <w:sz w:val="20"/>
        </w:rPr>
      </w:pPr>
      <w:r>
        <w:rPr>
          <w:rFonts w:ascii="Times New Roman" w:hAnsi="Times New Roman"/>
          <w:color w:val="000000"/>
          <w:sz w:val="20"/>
        </w:rPr>
        <w:t xml:space="preserve">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reconciliation of net income to EBITDA and Adjusted EBITDA for the three and six months ended June 30, 2026 and 2025 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6"/>
        <w:gridCol w:w="146"/>
        <w:gridCol w:w="232"/>
        <w:gridCol w:w="863"/>
        <w:gridCol w:w="166"/>
        <w:gridCol w:w="146"/>
        <w:gridCol w:w="232"/>
        <w:gridCol w:w="863"/>
        <w:gridCol w:w="166"/>
        <w:gridCol w:w="146"/>
        <w:gridCol w:w="232"/>
        <w:gridCol w:w="863"/>
        <w:gridCol w:w="166"/>
        <w:gridCol w:w="146"/>
        <w:gridCol w:w="232"/>
        <w:gridCol w:w="863"/>
        <w:gridCol w:w="217"/>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of interest income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206,743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 (Subtract):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 and settlements,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asset divestitures/impairment,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fees,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restructuring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Start-up expenses,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Close-out expenses, pre-tax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revenues and expenses, pre-tax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218,363</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includes income tax provision on equity in earnings of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includes 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Outlook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contains statements that are not limited to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statements. Please refer to “Part I - Item 1A. Risk Factors” and the "Forward-Looking Statements - Safe Harbor" sections in our Annual Report on Form 10-K for the fiscal year ended December 31, 2025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pStyle w:val="TextBody"/>
        <w:bidi w:val="0"/>
        <w:spacing w:before="0" w:after="75"/>
        <w:jc w:val="left"/>
        <w:rPr/>
      </w:pPr>
      <w:r>
        <w:rPr/>
        <w:t> </w:t>
      </w:r>
    </w:p>
    <w:p>
      <w:pPr>
        <w:pStyle w:val="TextBody"/>
        <w:bidi w:val="0"/>
        <w:spacing w:before="45" w:after="283"/>
        <w:jc w:val="both"/>
        <w:rPr>
          <w:rFonts w:ascii="Times New Roman" w:hAnsi="Times New Roman"/>
          <w:color w:val="000000"/>
          <w:sz w:val="20"/>
        </w:rPr>
      </w:pPr>
      <w:r>
        <w:rPr>
          <w:rFonts w:ascii="Times New Roman" w:hAnsi="Times New Roman"/>
          <w:color w:val="000000"/>
          <w:sz w:val="20"/>
        </w:rPr>
        <w:t>We continue to be encouraged by the current landscape of growth opportunities. We are preparing for what we believe is an unprecedented opportunity to help the federal government meet its expanded immigration enforcement priorities. We are taking several important steps to meet this opportunity, including making a previously announced significant investment in capital expenditures to strengthen our capabilities to deliver expanded detention capacity, secure transportation, and electronic monitoring and related services to U.S. Immigration and Customs Enforcement and the federal government. We have also been in discussions with ICE regarding the potential sale of multiple facilities, subject to mutual agreement on price and our continued management of those facilities under long-term support services contracts. At this time, there is no definitive agreement in place with ICE and no precise timeline for the closing of any such transactions. Also, we can give no assurance that these transactions will take place at all.</w:t>
      </w:r>
    </w:p>
    <w:p>
      <w:pPr>
        <w:pStyle w:val="TextBody"/>
        <w:bidi w:val="0"/>
        <w:spacing w:before="120" w:after="283"/>
        <w:jc w:val="left"/>
        <w:rPr/>
      </w:pPr>
      <w:r>
        <w:rPr/>
        <w:t> </w:t>
      </w:r>
    </w:p>
    <w:p>
      <w:pPr>
        <w:pStyle w:val="TextBody"/>
        <w:bidi w:val="0"/>
        <w:spacing w:before="0" w:after="75"/>
        <w:jc w:val="left"/>
        <w:rPr>
          <w:rFonts w:ascii="Times New Roman" w:hAnsi="Times New Roman"/>
          <w:color w:val="000000"/>
          <w:sz w:val="20"/>
        </w:rPr>
      </w:pPr>
      <w:r>
        <w:rPr>
          <w:rFonts w:ascii="Times New Roman" w:hAnsi="Times New Roman"/>
          <w:color w:val="000000"/>
          <w:sz w:val="20"/>
        </w:rPr>
        <w:t>Any positive trends in the industry may be offset by several factors, including the impact of the federal government shutdown that ended on April 30, 2026 and any future federal government shutdown,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Operating expenses consist of those expenses incurred in the operation and management of our contracts to provide services to our governmental clients. Labor and related costs represented approximately 72% and 70% of our operating expenses during the six months ended June 30, 2026 and 2025, respectively. Additional operating expenses include food, utilities and medical costs. During the six months ended June 30, 2026 and 2025, operating expenses totaled approximately 73% and 75%, respectively, of our consolidated revenues. We expect our operating expenses as a percentage of revenues in 2026 will be impacted by the opening of any new or existing idle facilities as a result of the cost of transitioning and/or start-up operations related to a facility opening. We also expect that our operating expenses will be impacted by the effect of inflation on costs related to personnel, utilities, insurance, and medical and food, among other operational costs. During 2026, we will incur carrying costs for facilities that are currently vacant.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General and administrative expenses consist primarily of corporate management salaries and benefits, professional fees and other administrative expenses. During each of the six months ended June 30, 2026 and 2025, general and administrative expenses totaled approximately 9% of our consolidated revenues. We expect general and administrative expenses as a percentage of revenues in 2026 to remain consistent or decrease as a result of cost savings initiatives.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Idle Facilities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currently marketing (or awaiting activation) 6,646 vacant beds at six U.S. Secure Services and at two of our Reentry Services idle facilities to potential customers. One of our U.S. Secure Services idle facilities, the 700-bed Cheyenne Mountain Recovery Center, is currently under a contract that has not yet been activated. The annual net carrying cost of our idle facilities in 2026 is estimated to be $26.7 million, including depreciation expense of $15.2 million. As of June 30, 2026, these eight facilities had a combined net book value of $188.1 million. We currently do not have any firm commitment or agreement in place to activate the idle facilities (except for the Cheyenne Mountain Recovery Center). Historically, some facilities have been idle for multiple years before they received a new contract award. These idle facilities are included in the U.S. Secure Services and Reentry Services segments. The per diem rates that we charge our clients often vary by contract across our portfolio. However, if the remaining idle facilities were to be activated using our U.S. Secure Services and Reentry Services average per diem rates in 2026 (calculated as the U.S. Secure Services and Reentry Services revenue divided by the number of U.S. Secure Services and Reentry Services mandays) and based on the average occupancy rate in our facilities through June 30, 2026, we would expect to receive incremental annualized revenue of approximately $264 million and an annualized increase in earnings per share of approximately $0.25 to $0.30 per share based on our average operating margins.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exposed to market risks related to changes in interest rates with respect to our Credit Agreement. Payments under the Credit Agreement are indexed to a variable interest rate. Based on borrowings outstanding under the Credit Agreement of approximately $248.9 million and approximately $56.9 million in outstanding letters of credit, as of June 30, 2026, for every one percent increase in the average interest rate applicable to the Credit Agreement, our total annual interest expense would have increased by approximately $3.1 million.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Foreign Currency Exchange Rate Risk</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are also exposed to market risks related to fluctuations in foreign currency exchange rates between the U.S. dollar, and the Australian dollar, the South African Rand and the British Pound currency exchange rates. Based upon our foreign currency exchange rate exposure as of June 30, 2026, every 10 percent change in historical currency rates would have approximately a $9.3 million effect on our financial position and approximately a $1.2 million impact on our results of operations during the six months ended June 30, 2026.</w:t>
      </w:r>
    </w:p>
    <w:p>
      <w:pPr>
        <w:pStyle w:val="TextBody"/>
        <w:bidi w:val="0"/>
        <w:spacing w:before="27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9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management is responsible to report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There were no material changes to our internal control over financial reporting during the quarter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18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270" w:after="283"/>
        <w:jc w:val="left"/>
        <w:rPr>
          <w:rFonts w:ascii="Times New Roman" w:hAnsi="Times New Roman"/>
          <w:sz w:val="20"/>
        </w:rPr>
      </w:pPr>
      <w:r>
        <w:rPr>
          <w:rFonts w:ascii="Times New Roman" w:hAnsi="Times New Roman"/>
          <w:b/>
          <w:i/>
          <w:color w:val="000000"/>
          <w:sz w:val="20"/>
        </w:rPr>
        <w:t>Litigation,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Oral argument before the Supreme Court was held on November 10, 2025. On February 25, 2026, the Supreme Court issued a decision affirming the decision of the Tenth Circuit and finding that there is no immediate right to appellate review of a ruling on GEO’s Yearsley defense. The Supreme Court further stated that the holding still allows immediate appellate review of a ruling on a Yearsley defense via a separate appellate certification process. On April 6, 2026, GEO filed a motion seeking certification of the appeal of its Yearsley defense, a motion to stay any further proceedings pending resolution of GEO’s Petition for Writ of Certiorari to the Supreme Court in Nwauzor v. GEO (discussed below), and a separate motion for summary judgment under qualified immunity. Briefing on those motions was completed on May 25, 2026.</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January 16, 2025, the Ninth Circuit issued an Opinion by a 2-1 vote affirming the lower court’s decision. That Opinion includes a 24-page dissenting opinion.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2025, the Ninth Circuit issued an order denying GEO’s Petition for Rehearing En Banc. That order included six dissenting opinions. On September 2, 2025, the Ninth Circuit granted GEO’s motion to stay the issuance of the Court’s mandate pending GEO’s Petition for Writ of Certiorari to the Supreme Court.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final mandate has not been issued by the Ninth Circuit, and the appeal remains pending until resolution of GEO's Petition for Writ of Certiorari to the Supreme Court. On January 9, 2026, GEO filed its Petition for Writ of Certiorari to the Supreme Court. Briefing on GEO’s Petition was completed on April 24, 2026. On May 18, 2026, the Supreme Court requested the views of the United States Solicitor General. Although the Company strongly disputes this claim and continues to vigorously defend itself, the Company accrued a reserve of approximately $37.6 million, which is included in Other Non-Current Liabilities in the accompanying consolidated balance sheets, in accordance with Accounting Standards Codification No. 450 - Contingencies during the third quarter of 2025.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 which is stayed pending resolution of GEO’s Petition in Nwauzor v. GEO Group for Writ of Certiorari to the United States Supreme Court. </w:t>
      </w:r>
    </w:p>
    <w:p>
      <w:pPr>
        <w:pStyle w:val="TextBody"/>
        <w:bidi w:val="0"/>
        <w:jc w:val="left"/>
        <w:rPr>
          <w:rFonts w:ascii="Times New Roman" w:hAnsi="Times New Roman"/>
          <w:color w:val="000000"/>
          <w:sz w:val="20"/>
        </w:rPr>
      </w:pPr>
      <w:r>
        <w:rPr>
          <w:rFonts w:ascii="Times New Roman" w:hAnsi="Times New Roman"/>
          <w:color w:val="000000"/>
          <w:sz w:val="20"/>
        </w:rPr>
        <w:t>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Nwauzor and a motion to dismiss the action in its entirety. On July 10, 2023, the court entered a stay until the Ninth Circuit rules on Nwauzor. On February 10, 2025, the Court denied plaintiffs’ request to lift the stay. On September 2, 2025, the Ninth Circuit granted GEO's Unopposed Motion to Stay the Nwauzor Mandate Pending Disposition of a Petition for Certiorari. The Ninth Circuit ordered that "the mandate is stayed for a period not to exceed 90 days pending the filing of the petition for writ of certiorari in the Supreme Court. Should Appellants file for a writ of certiorari, the stay shall continue until final disposition by the Supreme Court." On January 9, 2026, GEO filed its Petition for Writ of Certiorari to the Supreme Court. Briefing on GEO’s Petition was completed on April 24, 2026. On May 18, 2026, the Supreme Court requested the views of the United States Solicitor General. GEO’s Petition in the Nwauzor lawsuits remains pending, and this case remains stayed pending resolution of that Petition.</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other than in connection with the Nwauzor case discussed above, at this time as losses are not considered probable nor reasonably estimable. If GEO were not to prevail in these cases, it could have an adverse effect on GEO's business and results of operations.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 On May 23, 2025, GEO filed a motion to dismiss the appeal as moot based on a newly enacted statute that amended portions of HB 1470. On August 18, 2025, the Ninth Circuit denied GEO’s motion to dismiss the appeal, vacated the District Court’s grant of a preliminary injunction, and remanded the case to the District Court for further proceedings. On September 16, 2025, GEO filed a Petition for Rehearing En Banc. On February 11, 2026, the Ninth Circuit denied GEO’s Petition for Rehearing En Banc, with eight justices of the Ninth Circuit joining a harshly worded dissent from that decision. On February 16, 2026, GEO filed a Rule 41 motion with the Ninth Circuit seeking a stay of the mandate pending GEO’s Petition for Writ of Certiorari to the Supreme Court of the United States. On May 4, 2026, the District Court denied GEO’s request to stay the proceedings pending the Supreme Court petition, and the parties briefed motions for preliminary injunction. On July 9, 2026, the district court granted the State of Washington’s motions for an injunction allowing the state access to certain portions of the Center. However, the district court stayed the injunction for 14 days pending GEO’s appeal of the orders. GEO filed timely notices of appeal from those orders on July 13, 2026, and on July 10, 2026, GEO filed a Petition for Writ of Certiorari with the United States Supreme Court seeking review of the Ninth Circuit's decision in this case. </w:t>
      </w:r>
    </w:p>
    <w:p>
      <w:pPr>
        <w:pStyle w:val="TextBody"/>
        <w:bidi w:val="0"/>
        <w:jc w:val="left"/>
        <w:rPr>
          <w:rFonts w:ascii="Times New Roman" w:hAnsi="Times New Roman"/>
          <w:color w:val="000000"/>
          <w:sz w:val="20"/>
        </w:rPr>
      </w:pPr>
      <w:r>
        <w:rPr>
          <w:rFonts w:ascii="Times New Roman" w:hAnsi="Times New Roman"/>
          <w:color w:val="000000"/>
          <w:sz w:val="20"/>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 On August 22, 2025, the District Court entered an order permanently enjoining the Defendants from enforcing Assembly Bill 5207 against GEO with respect to GEO negotiating or contracting with the United States government to operate immigration detention facilities in New Jersey.</w:t>
      </w:r>
    </w:p>
    <w:p>
      <w:pPr>
        <w:pStyle w:val="TextBody"/>
        <w:bidi w:val="0"/>
        <w:jc w:val="left"/>
        <w:rPr>
          <w:rFonts w:ascii="Times New Roman" w:hAnsi="Times New Roman"/>
          <w:color w:val="000000"/>
          <w:sz w:val="20"/>
        </w:rPr>
      </w:pPr>
      <w:r>
        <w:rPr>
          <w:rFonts w:ascii="Times New Roman" w:hAnsi="Times New Roman"/>
          <w:color w:val="000000"/>
          <w:sz w:val="20"/>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8, 2026, the Company filed a lawsuit in the U.S. District Court for the District of Colorado against the State of Colorado for declaratory and injunctive relief challenging the State of Colorado’s newly enacted law – House Bill 1276 which purports to empower Colorado state agencies with new inspection and investigation powers over GEO’s Colorado facilities providing contracted services to ICE. Briefing on those motions was completed in early July 2026, and GEO is awaiting a decision from the District Court.</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Assessment</w:t>
      </w:r>
    </w:p>
    <w:p>
      <w:pPr>
        <w:pStyle w:val="TextBody"/>
        <w:bidi w:val="0"/>
        <w:jc w:val="left"/>
        <w:rPr>
          <w:rFonts w:ascii="Times New Roman" w:hAnsi="Times New Roman"/>
          <w:color w:val="000000"/>
          <w:sz w:val="20"/>
        </w:rPr>
      </w:pPr>
      <w:r>
        <w:rPr>
          <w:rFonts w:ascii="Times New Roman" w:hAnsi="Times New Roman"/>
          <w:color w:val="000000"/>
          <w:sz w:val="20"/>
        </w:rPr>
        <w:t xml:space="preserve">A New Mexico non-income tax audit completed in 2016 included tax periods for which the state tax authority had previously processed a substantial tax refund. At the completion of the audit fieldwork, the Company received a notice of audit findings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disallowing deductions that were previously claimed by the Company that were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was finalized and on May 12, 2026, the Company received a notice of assessment for $14.9 million, which is due by the end of October 2026. The Company intends to pay this amount and has recognized a tax benefit of approximately $1.1 million.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pPr>
      <w:r>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Item 1A of Part I of our Annual Report on Form 10-K for the year ended December 31, 2025 includes a detailed discussion of the risk factors that could materially affect our business, financial condition or future prospects. We encourage you to read these risk factors in their entirety.</w:t>
      </w:r>
    </w:p>
    <w:p>
      <w:pPr>
        <w:pStyle w:val="TextBody"/>
        <w:bidi w:val="0"/>
        <w:spacing w:before="12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tbl>
      <w:tblPr>
        <w:tblW w:w="7856" w:type="dxa"/>
        <w:jc w:val="left"/>
        <w:tblInd w:w="0" w:type="dxa"/>
        <w:tblLayout w:type="fixed"/>
        <w:tblCellMar>
          <w:top w:w="28" w:type="dxa"/>
          <w:left w:w="28" w:type="dxa"/>
          <w:bottom w:w="28" w:type="dxa"/>
          <w:right w:w="28" w:type="dxa"/>
        </w:tblCellMar>
      </w:tblPr>
      <w:tblGrid>
        <w:gridCol w:w="2641"/>
        <w:gridCol w:w="146"/>
        <w:gridCol w:w="146"/>
        <w:gridCol w:w="931"/>
        <w:gridCol w:w="146"/>
        <w:gridCol w:w="146"/>
        <w:gridCol w:w="211"/>
        <w:gridCol w:w="571"/>
        <w:gridCol w:w="146"/>
        <w:gridCol w:w="146"/>
        <w:gridCol w:w="146"/>
        <w:gridCol w:w="931"/>
        <w:gridCol w:w="146"/>
        <w:gridCol w:w="146"/>
        <w:gridCol w:w="287"/>
        <w:gridCol w:w="779"/>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w:t>
              <w:br/>
              <w:t>Value of</w:t>
              <w:br/>
              <w:t>Shares that</w:t>
              <w:br/>
              <w:t>May Yet Be</w:t>
              <w:br/>
              <w:t>Purchased</w:t>
              <w:br/>
              <w:t>Under the</w:t>
              <w:br/>
              <w:t>Plans or</w:t>
              <w:br/>
              <w:t>Programs</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90" w:after="283"/>
        <w:jc w:val="left"/>
        <w:rPr>
          <w:rFonts w:ascii="Times New Roman" w:hAnsi="Times New Roman"/>
          <w:color w:val="000000"/>
          <w:sz w:val="20"/>
        </w:rPr>
      </w:pPr>
      <w:r>
        <w:rPr>
          <w:rFonts w:ascii="Times New Roman" w:hAnsi="Times New Roman"/>
          <w:color w:val="000000"/>
          <w:sz w:val="20"/>
        </w:rPr>
        <w:t>(1) On August 4, 2025, our Board of Directors authorized a stock buyback program authorizing us to repurchase up to $300 million of our shares of common stock effective through June 30, 2028. As of June 30, 2026, we have repurchased 10,097,801 of our common shares at an aggregate cost of $177.8 million, or an average price of $17.57. On November 4, 2025, our Board of Directors increased the authorization under our share buyback program to $500 million shares of common stock and extended the expiration date to December 31, 2029.</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7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June 30, 2026, no director or officer of the Company adopted or terminated a “Rule 10b5-1 trading arrangement” or a “non-Rule 10b5-1 trading arrangement” (in each case, as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Exhibits</w:t>
      </w:r>
    </w:p>
    <w:tbl>
      <w:tblPr>
        <w:tblW w:w="10205" w:type="dxa"/>
        <w:jc w:val="left"/>
        <w:tblInd w:w="0" w:type="dxa"/>
        <w:tblLayout w:type="fixed"/>
        <w:tblCellMar>
          <w:top w:w="28" w:type="dxa"/>
          <w:left w:w="28" w:type="dxa"/>
          <w:bottom w:w="28" w:type="dxa"/>
          <w:right w:w="28" w:type="dxa"/>
        </w:tblCellMar>
      </w:tblPr>
      <w:tblGrid>
        <w:gridCol w:w="746"/>
        <w:gridCol w:w="176"/>
        <w:gridCol w:w="9283"/>
      </w:tblGrid>
      <w:tr>
        <w:trPr/>
        <w:tc>
          <w:tcPr>
            <w:tcW w:w="7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geo-ex31_1.htm">
              <w:r>
                <w:rPr>
                  <w:rStyle w:val="InternetLink"/>
                  <w:rFonts w:ascii="Times New Roman" w:hAnsi="Times New Roman"/>
                  <w:color w:val="0000FF"/>
                  <w:sz w:val="20"/>
                  <w:u w:val="single"/>
                </w:rPr>
                <w:t>SECTION 302 CEO Certification.</w:t>
              </w:r>
            </w:hyperlink>
            <w:hyperlink w:anchor="geo-ex31_1.htm">
              <w:r>
                <w:rPr>
                  <w:rStyle w:val="InternetLink"/>
                  <w:rFonts w:ascii="Times New Roman" w:hAnsi="Times New Roman"/>
                  <w:color w:val="0000FF"/>
                  <w:sz w:val="20"/>
                </w:rPr>
                <w:t xml:space="preserve"> </w:t>
              </w:r>
            </w:hyperlink>
            <w:r>
              <w:rPr>
                <w:rFonts w:ascii="Times New Roman" w:hAnsi="Times New Roman"/>
                <w:color w:val="000000"/>
                <w:sz w:val="20"/>
              </w:rPr>
              <w:t>*</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geo-ex31_2.htm">
              <w:r>
                <w:rPr>
                  <w:rStyle w:val="InternetLink"/>
                  <w:rFonts w:ascii="Times New Roman" w:hAnsi="Times New Roman"/>
                  <w:color w:val="0000FF"/>
                  <w:sz w:val="20"/>
                  <w:u w:val="single"/>
                </w:rPr>
                <w:t>SECTION 302 CFO Certification.</w:t>
              </w:r>
            </w:hyperlink>
            <w:r>
              <w:rPr>
                <w:rFonts w:ascii="Times New Roman" w:hAnsi="Times New Roman"/>
                <w:color w:val="000000"/>
                <w:sz w:val="20"/>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geo-ex32_1.htm">
              <w:r>
                <w:rPr>
                  <w:rStyle w:val="InternetLink"/>
                  <w:rFonts w:ascii="Times New Roman" w:hAnsi="Times New Roman"/>
                  <w:color w:val="0000FF"/>
                  <w:sz w:val="20"/>
                  <w:u w:val="single"/>
                </w:rPr>
                <w:t>SECTION 906 CEO Certification.</w:t>
              </w:r>
            </w:hyperlink>
            <w:r>
              <w:rPr>
                <w:rFonts w:ascii="Times New Roman" w:hAnsi="Times New Roman"/>
                <w:color w:val="000000"/>
                <w:sz w:val="20"/>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geo-ex32_2.htm">
              <w:r>
                <w:rPr>
                  <w:rStyle w:val="InternetLink"/>
                  <w:rFonts w:ascii="Times New Roman" w:hAnsi="Times New Roman"/>
                  <w:color w:val="0000FF"/>
                  <w:sz w:val="20"/>
                  <w:u w:val="single"/>
                </w:rPr>
                <w:t>SECTION 906 CFO Certification.</w:t>
              </w:r>
            </w:hyperlink>
            <w:r>
              <w:rPr>
                <w:rFonts w:ascii="Times New Roman" w:hAnsi="Times New Roman"/>
                <w:color w:val="000000"/>
                <w:sz w:val="20"/>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period ended June 30, 2026, has been formatted in Inline XBRL (included with the Exhibit 101 attachments).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being furnished and shall not be deemed “filed” with the SEC for purposes of Section 18 of the Exchange </w:t>
      </w:r>
    </w:p>
    <w:p>
      <w:pPr>
        <w:pStyle w:val="TextBody"/>
        <w:bidi w:val="0"/>
        <w:jc w:val="left"/>
        <w:rPr>
          <w:rFonts w:ascii="Times New Roman" w:hAnsi="Times New Roman"/>
          <w:color w:val="000000"/>
          <w:sz w:val="20"/>
        </w:rPr>
      </w:pPr>
      <w:r>
        <w:rPr>
          <w:rFonts w:ascii="Times New Roman" w:hAnsi="Times New Roman"/>
          <w:color w:val="000000"/>
          <w:sz w:val="20"/>
        </w:rPr>
        <w:t xml:space="preserve">Act, or otherwise subject to the liability of that section, and shall not be deemed to be incorporated by reference into any filing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Securities Act or the Exchange Act, except to the extent that the Registrant specifically incorporates it by </w:t>
      </w:r>
    </w:p>
    <w:p>
      <w:pPr>
        <w:pStyle w:val="TextBody"/>
        <w:bidi w:val="0"/>
        <w:jc w:val="left"/>
        <w:rPr>
          <w:rFonts w:ascii="Times New Roman" w:hAnsi="Times New Roman"/>
          <w:color w:val="000000"/>
          <w:sz w:val="20"/>
        </w:rPr>
      </w:pPr>
      <w:r>
        <w:rPr>
          <w:rFonts w:ascii="Times New Roman" w:hAnsi="Times New Roman"/>
          <w:color w:val="000000"/>
          <w:sz w:val="20"/>
        </w:rPr>
        <w:t xml:space="preserve">reference.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44" w:type="dxa"/>
        <w:jc w:val="left"/>
        <w:tblInd w:w="0" w:type="dxa"/>
        <w:tblLayout w:type="fixed"/>
        <w:tblCellMar>
          <w:top w:w="28" w:type="dxa"/>
          <w:left w:w="28" w:type="dxa"/>
          <w:bottom w:w="28" w:type="dxa"/>
          <w:right w:w="28" w:type="dxa"/>
        </w:tblCellMar>
      </w:tblPr>
      <w:tblGrid>
        <w:gridCol w:w="556"/>
        <w:gridCol w:w="1351"/>
        <w:gridCol w:w="146"/>
        <w:gridCol w:w="459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GEO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Shayn P. March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Shayn P. March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and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geo-ex31_1.htm"/>
      <w:bookmarkStart w:id="23" w:name="ksgeo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C. Zoley,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35" w:type="dxa"/>
        <w:jc w:val="left"/>
        <w:tblInd w:w="0" w:type="dxa"/>
        <w:tblLayout w:type="fixed"/>
        <w:tblCellMar>
          <w:top w:w="28" w:type="dxa"/>
          <w:left w:w="28" w:type="dxa"/>
          <w:bottom w:w="28" w:type="dxa"/>
          <w:right w:w="28" w:type="dxa"/>
        </w:tblCellMar>
      </w:tblPr>
      <w:tblGrid>
        <w:gridCol w:w="1846"/>
        <w:gridCol w:w="109"/>
        <w:gridCol w:w="109"/>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C. Zoley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C. Zoley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geo-ex31_2.htm"/>
      <w:bookmarkStart w:id="25" w:name="ksgeo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Shayn P. March,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75" w:type="dxa"/>
        <w:jc w:val="left"/>
        <w:tblInd w:w="0" w:type="dxa"/>
        <w:tblLayout w:type="fixed"/>
        <w:tblCellMar>
          <w:top w:w="28" w:type="dxa"/>
          <w:left w:w="28" w:type="dxa"/>
          <w:bottom w:w="28" w:type="dxa"/>
          <w:right w:w="28" w:type="dxa"/>
        </w:tblCellMar>
      </w:tblPr>
      <w:tblGrid>
        <w:gridCol w:w="1846"/>
        <w:gridCol w:w="109"/>
        <w:gridCol w:w="109"/>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Shayn P. March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Shayn P. March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geo-ex32_1.htm"/>
      <w:bookmarkStart w:id="27" w:name="ksgeo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The GEO Group, Inc. (the “Company”) for the period ended June 30, 2026 as filed with the Securities and Exchange Commission on the date hereof (the “Report”), I, George C. Zoley, Chief Executive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C. Zoley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C. Zoley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geo-ex32_2.htm"/>
      <w:bookmarkStart w:id="29" w:name="ksgeo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The GEO Group, Inc. (the “Company”) for the period ended June 30, 2026 as filed with the Securities and Exchange Commission on the date hereof (the “Report”), I, Shayn P. March, Chief Financial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Shayn P. March</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Shayn P. March</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32837</Words>
  <Characters>178944</Characters>
  <CharactersWithSpaces>214666</CharactersWithSpaces>
  <Paragraphs>10042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