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246793d8k.htm"/>
      <w:bookmarkStart w:id="1" w:name="ksd246793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00" w:after="0"/>
        <w:jc w:val="center"/>
        <w:rPr>
          <w:rFonts w:ascii="Times New Roman" w:hAnsi="Times New Roman"/>
          <w:b/>
          <w:sz w:val="24"/>
        </w:rPr>
      </w:pPr>
      <w:r>
        <w:rPr>
          <w:rFonts w:ascii="Times New Roman" w:hAnsi="Times New Roman"/>
          <w:b/>
          <w:sz w:val="24"/>
        </w:rPr>
        <w:t>Date of Report (Date of earliest event reported): October 5,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48"/>
        </w:rPr>
      </w:pPr>
      <w:r>
        <w:rPr>
          <w:rFonts w:ascii="Times New Roman" w:hAnsi="Times New Roman"/>
          <w:b/>
          <w:sz w:val="48"/>
        </w:rPr>
        <w:t xml:space="preserve">THE GEO GROUP,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2060"/>
        <w:gridCol w:w="60"/>
        <w:gridCol w:w="980"/>
        <w:gridCol w:w="60"/>
        <w:gridCol w:w="1370"/>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83"/>
              <w:jc w:val="center"/>
              <w:rPr>
                <w:b/>
              </w:rPr>
            </w:pPr>
            <w:r>
              <w:rPr>
                <w:b/>
              </w:rPr>
              <w:t>Florida</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b/>
              </w:rPr>
            </w:pPr>
            <w:r>
              <w:rPr>
                <w:b/>
              </w:rPr>
              <w:t>1-14260</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65-0043078</w:t>
            </w:r>
          </w:p>
        </w:tc>
      </w:tr>
      <w:tr>
        <w:trPr/>
        <w:tc>
          <w:tcPr>
            <w:tcW w:w="20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695" w:type="dxa"/>
        <w:jc w:val="left"/>
        <w:tblInd w:w="0" w:type="dxa"/>
        <w:tblLayout w:type="fixed"/>
        <w:tblCellMar>
          <w:top w:w="0" w:type="dxa"/>
          <w:left w:w="0" w:type="dxa"/>
          <w:bottom w:w="0" w:type="dxa"/>
          <w:right w:w="0" w:type="dxa"/>
        </w:tblCellMar>
      </w:tblPr>
      <w:tblGrid>
        <w:gridCol w:w="4490"/>
        <w:gridCol w:w="60"/>
        <w:gridCol w:w="1145"/>
      </w:tblGrid>
      <w:tr>
        <w:trPr/>
        <w:tc>
          <w:tcPr>
            <w:tcW w:w="44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4490" w:type="dxa"/>
            <w:tcBorders/>
            <w:vAlign w:val="center"/>
          </w:tcPr>
          <w:p>
            <w:pPr>
              <w:pStyle w:val="TableContents"/>
              <w:bidi w:val="0"/>
              <w:spacing w:before="0" w:after="283"/>
              <w:jc w:val="center"/>
              <w:rPr>
                <w:b/>
              </w:rPr>
            </w:pPr>
            <w:r>
              <w:rPr>
                <w:b/>
              </w:rPr>
              <w:t>4955 Technology Way, Boca Raton, Florida</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33431</w:t>
            </w:r>
          </w:p>
        </w:tc>
      </w:tr>
      <w:tr>
        <w:trPr/>
        <w:tc>
          <w:tcPr>
            <w:tcW w:w="449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00" w:after="0"/>
        <w:jc w:val="center"/>
        <w:rPr>
          <w:rFonts w:ascii="Times New Roman" w:hAnsi="Times New Roman"/>
          <w:b/>
          <w:sz w:val="20"/>
        </w:rPr>
      </w:pPr>
      <w:r>
        <w:rPr>
          <w:rFonts w:ascii="Times New Roman" w:hAnsi="Times New Roman"/>
          <w:b/>
          <w:sz w:val="20"/>
        </w:rPr>
        <w:t>Registrant’s telephone number, including area code (561) 893-0101</w:t>
      </w:r>
    </w:p>
    <w:p>
      <w:pPr>
        <w:pStyle w:val="TextBody"/>
        <w:bidi w:val="0"/>
        <w:spacing w:before="200" w:after="0"/>
        <w:jc w:val="center"/>
        <w:rPr>
          <w:rFonts w:ascii="Times New Roman" w:hAnsi="Times New Roman"/>
          <w:b/>
          <w:sz w:val="20"/>
        </w:rPr>
      </w:pPr>
      <w:r>
        <w:rPr>
          <w:rFonts w:ascii="Times New Roman" w:hAnsi="Times New Roman"/>
          <w:b/>
          <w:sz w:val="20"/>
        </w:rPr>
        <w:t>N/A</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w:t>
      </w:r>
      <w:r>
        <w:rPr>
          <w:rFonts w:ascii="Times New Roman" w:hAnsi="Times New Roman"/>
          <w:i/>
          <w:sz w:val="20"/>
        </w:rPr>
        <w:t xml:space="preserve">see </w:t>
      </w:r>
      <w:r>
        <w:rPr>
          <w:rFonts w:ascii="Times New Roman" w:hAnsi="Times New Roman"/>
          <w:sz w:val="20"/>
        </w:rPr>
        <w:t>General Instructions A.2. below):</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0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6570" w:type="dxa"/>
        <w:jc w:val="left"/>
        <w:tblInd w:w="0" w:type="dxa"/>
        <w:tblLayout w:type="fixed"/>
        <w:tblCellMar>
          <w:top w:w="0" w:type="dxa"/>
          <w:left w:w="0" w:type="dxa"/>
          <w:bottom w:w="0" w:type="dxa"/>
          <w:right w:w="0" w:type="dxa"/>
        </w:tblCellMar>
      </w:tblPr>
      <w:tblGrid>
        <w:gridCol w:w="3185"/>
        <w:gridCol w:w="60"/>
        <w:gridCol w:w="605"/>
        <w:gridCol w:w="60"/>
        <w:gridCol w:w="2660"/>
      </w:tblGrid>
      <w:tr>
        <w:trPr/>
        <w:tc>
          <w:tcPr>
            <w:tcW w:w="3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318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60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w:t>
            </w:r>
          </w:p>
        </w:tc>
        <w:tc>
          <w:tcPr>
            <w:tcW w:w="60" w:type="dxa"/>
            <w:tcBorders/>
            <w:vAlign w:val="center"/>
          </w:tcPr>
          <w:p>
            <w:pPr>
              <w:pStyle w:val="TableContents"/>
              <w:bidi w:val="0"/>
              <w:spacing w:before="0" w:after="283"/>
              <w:jc w:val="left"/>
              <w:rPr/>
            </w:pPr>
            <w:r>
              <w:rPr/>
              <w:t> </w:t>
            </w:r>
          </w:p>
        </w:tc>
        <w:tc>
          <w:tcPr>
            <w:tcW w:w="266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3185" w:type="dxa"/>
            <w:tcBorders/>
            <w:vAlign w:val="center"/>
          </w:tcPr>
          <w:p>
            <w:pPr>
              <w:pStyle w:val="TableContents"/>
              <w:bidi w:val="0"/>
              <w:spacing w:before="0" w:after="283"/>
              <w:jc w:val="center"/>
              <w:rPr/>
            </w:pPr>
            <w:r>
              <w:rPr/>
              <w:t>Common Stock, $0.01 Par Value</w:t>
            </w:r>
          </w:p>
        </w:tc>
        <w:tc>
          <w:tcPr>
            <w:tcW w:w="6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center"/>
              <w:rPr/>
            </w:pPr>
            <w:r>
              <w:rPr/>
              <w:t>GEO</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bl>
    <w:p>
      <w:pPr>
        <w:pStyle w:val="TextBody"/>
        <w:bidi w:val="0"/>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00" w:after="0"/>
        <w:jc w:val="right"/>
        <w:rPr>
          <w:rFonts w:ascii="Times New Roman" w:hAnsi="Times New Roman"/>
          <w:sz w:val="20"/>
        </w:rPr>
      </w:pPr>
      <w:r>
        <w:rPr>
          <w:rFonts w:ascii="Times New Roman" w:hAnsi="Times New Roman"/>
          <w:sz w:val="20"/>
        </w:rPr>
        <w:t>Emerging growth company ☐</w:t>
      </w:r>
    </w:p>
    <w:p>
      <w:pPr>
        <w:pStyle w:val="TextBody"/>
        <w:bidi w:val="0"/>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4750" w:type="dxa"/>
        <w:jc w:val="left"/>
        <w:tblInd w:w="0" w:type="dxa"/>
        <w:tblLayout w:type="fixed"/>
        <w:tblCellMar>
          <w:top w:w="0" w:type="dxa"/>
          <w:left w:w="0" w:type="dxa"/>
          <w:bottom w:w="0" w:type="dxa"/>
          <w:right w:w="0" w:type="dxa"/>
        </w:tblCellMar>
      </w:tblPr>
      <w:tblGrid>
        <w:gridCol w:w="965"/>
        <w:gridCol w:w="3785"/>
      </w:tblGrid>
      <w:tr>
        <w:trPr/>
        <w:tc>
          <w:tcPr>
            <w:tcW w:w="965" w:type="dxa"/>
            <w:tcBorders/>
            <w:vAlign w:val="center"/>
          </w:tcPr>
          <w:p>
            <w:pPr>
              <w:pStyle w:val="TableContents"/>
              <w:bidi w:val="0"/>
              <w:spacing w:before="0" w:after="283"/>
              <w:jc w:val="left"/>
              <w:rPr>
                <w:b/>
              </w:rPr>
            </w:pPr>
            <w:r>
              <w:rPr>
                <w:b/>
              </w:rPr>
              <w:t>Item 1.01</w:t>
            </w:r>
          </w:p>
        </w:tc>
        <w:tc>
          <w:tcPr>
            <w:tcW w:w="37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Entry into a Material Definitive Agreement.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October 5, 2026, The GEO Group, Inc. (“GEO” or the “Company”) entered into an Amended and Restated Credit Agreement (the “A&amp;R Credit Agreement”), by and among GEO and GEO Corrections Holdings, Inc., as the Borrowers, Bank OZK, as administrative agent, and the lenders party thereto. The A&amp;R Credit Agreement amends and restates in its entirety the prior Credit Agreement, dated as of April 18, 2024 (as previously amended). The A&amp;R Credit Agreement maintains the revolving credit facility commitments at $550.0 million and extends the maturity of the revolving credit facility to July 14, 2031. The A&amp;R Credit Agreement increased to $750.0 million the Incremental Amount (as defined therein) of additional term loans, incremental equivalent debt or increases to the revolving credit facility commitments that the Company may request, subject to the satisfaction of the applicable conditions in the A&amp;R Credit Agreement. The A&amp;R Credit Agreement also increased the Company’s restricted payments capacity so as to permit the Company to make unlimited restricted payments, including share repurchases, under the A&amp;R Credit Agreement, to the extent the Company’s total leverage ratio (as defined therein) calculated on a pro forma basis after giving effect to such restricted payment would be equal to or less than 2.25 to 1.00 and no default exists thereunder. The foregoing summary is qualified in its entirety by reference to the full text of the A&amp;R Credit Agreement, a copy of which is filed as Exhibit 10.1 hereto to this Current Report on Form 8-K (the “Form 8-K”) and incorporated by reference herein.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934"/>
        <w:gridCol w:w="9271"/>
      </w:tblGrid>
      <w:tr>
        <w:trPr/>
        <w:tc>
          <w:tcPr>
            <w:tcW w:w="934" w:type="dxa"/>
            <w:tcBorders/>
            <w:vAlign w:val="center"/>
          </w:tcPr>
          <w:p>
            <w:pPr>
              <w:pStyle w:val="TableContents"/>
              <w:bidi w:val="0"/>
              <w:spacing w:before="0" w:after="283"/>
              <w:jc w:val="left"/>
              <w:rPr>
                <w:b/>
              </w:rPr>
            </w:pPr>
            <w:r>
              <w:rPr>
                <w:b/>
              </w:rPr>
              <w:t>Item 2.03</w:t>
            </w:r>
          </w:p>
        </w:tc>
        <w:tc>
          <w:tcPr>
            <w:tcW w:w="9271"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Creation of a Direct Financial Obligation or an Obligation under an Off-Balance Sheet Arrangement of a Registrant.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information set forth in Item 1.01 of this Form 8-K is incorporated herein by reference. </w:t>
      </w:r>
    </w:p>
    <w:p>
      <w:pPr>
        <w:pStyle w:val="TextBody"/>
        <w:bidi w:val="0"/>
        <w:spacing w:before="0" w:after="0"/>
        <w:jc w:val="left"/>
        <w:rPr/>
      </w:pPr>
      <w:r>
        <w:rPr/>
        <w:t> </w:t>
      </w:r>
    </w:p>
    <w:tbl>
      <w:tblPr>
        <w:tblW w:w="3250" w:type="dxa"/>
        <w:jc w:val="left"/>
        <w:tblInd w:w="0" w:type="dxa"/>
        <w:tblLayout w:type="fixed"/>
        <w:tblCellMar>
          <w:top w:w="0" w:type="dxa"/>
          <w:left w:w="0" w:type="dxa"/>
          <w:bottom w:w="0" w:type="dxa"/>
          <w:right w:w="0" w:type="dxa"/>
        </w:tblCellMar>
      </w:tblPr>
      <w:tblGrid>
        <w:gridCol w:w="965"/>
        <w:gridCol w:w="2285"/>
      </w:tblGrid>
      <w:tr>
        <w:trPr/>
        <w:tc>
          <w:tcPr>
            <w:tcW w:w="965" w:type="dxa"/>
            <w:tcBorders/>
            <w:vAlign w:val="center"/>
          </w:tcPr>
          <w:p>
            <w:pPr>
              <w:pStyle w:val="TableContents"/>
              <w:bidi w:val="0"/>
              <w:spacing w:before="0" w:after="283"/>
              <w:jc w:val="left"/>
              <w:rPr>
                <w:b/>
              </w:rPr>
            </w:pPr>
            <w:r>
              <w:rPr>
                <w:b/>
              </w:rPr>
              <w:t>Item 7.01</w:t>
            </w:r>
          </w:p>
        </w:tc>
        <w:tc>
          <w:tcPr>
            <w:tcW w:w="22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Regulation FD Disclosure.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October 6, 2026, the Company issued a press release announcing the delivery of the notice of redemption for the 2029 Senior Secured Notes discussed in Item 8.01 below and the closing of the A&amp;R Credit Agreement discussed in Item 1.01 above, which is furnished as Exhibit 99.1 to this Form 8-K.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furnished in this Item 7.01, including Exhibit 99.1 hereto, shall not be deemed “filed” for purposes of Section 18 of the Securities Exchange Act of 1934, as amended (the “Exchange Act”) or otherwise subject to the liabilities of that section, nor shall such information be deemed incorporated by reference in any filings under the Securities Act of 1933, as amended, or the Exchange Act, except as shall be expressly set forth by specific reference in such filing. The filing of this Item 7.01 of this Current Report on Form 8-K shall not be deemed an admission as to the materiality of any information herein. </w:t>
      </w:r>
    </w:p>
    <w:p>
      <w:pPr>
        <w:pStyle w:val="TextBody"/>
        <w:bidi w:val="0"/>
        <w:spacing w:before="0" w:after="0"/>
        <w:jc w:val="left"/>
        <w:rPr/>
      </w:pPr>
      <w:r>
        <w:rPr/>
        <w:t> </w:t>
      </w:r>
    </w:p>
    <w:tbl>
      <w:tblPr>
        <w:tblW w:w="2200" w:type="dxa"/>
        <w:jc w:val="left"/>
        <w:tblInd w:w="0" w:type="dxa"/>
        <w:tblLayout w:type="fixed"/>
        <w:tblCellMar>
          <w:top w:w="0" w:type="dxa"/>
          <w:left w:w="0" w:type="dxa"/>
          <w:bottom w:w="0" w:type="dxa"/>
          <w:right w:w="0" w:type="dxa"/>
        </w:tblCellMar>
      </w:tblPr>
      <w:tblGrid>
        <w:gridCol w:w="965"/>
        <w:gridCol w:w="1235"/>
      </w:tblGrid>
      <w:tr>
        <w:trPr/>
        <w:tc>
          <w:tcPr>
            <w:tcW w:w="965" w:type="dxa"/>
            <w:tcBorders/>
            <w:vAlign w:val="center"/>
          </w:tcPr>
          <w:p>
            <w:pPr>
              <w:pStyle w:val="TableContents"/>
              <w:bidi w:val="0"/>
              <w:spacing w:before="0" w:after="283"/>
              <w:jc w:val="left"/>
              <w:rPr>
                <w:b/>
              </w:rPr>
            </w:pPr>
            <w:r>
              <w:rPr>
                <w:b/>
              </w:rPr>
              <w:t>Item 8.01</w:t>
            </w:r>
          </w:p>
        </w:tc>
        <w:tc>
          <w:tcPr>
            <w:tcW w:w="12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October 5, 2026, concurrently with the closing of the A&amp;R Credit Agreement described in Item 1.01 above, GEO delivered a notice of redemption to the holders of all $650.0 million in outstanding aggregate principal amount of its 8.625% Senior Secured Notes due 2029 (CUSIP Nos. 36162JAG1 and U32352AF0) (the “2029 Senior Secured Notes”), to redeem all of the 2029 Senior Secured Notes at a redemption price of $1,043.13 per $1,000.00 original principal amount, or approximately $678 million, plus accrued and unpaid interest to, but excluding, October 15, 2026 (the “Redemption Date”), in accordance with the Indenture, dated as of April 18, 2024 (the “Indenture”), among the Company, the guarantors party thereto and Ankura Trust Company, LLC, as trustee (the “Trustee”).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Company will deposit with the Trustee, by October 14, 2026, funds in an amount sufficient to pay and discharge the outstanding principal amount of the 2029 Senior Secured Notes, plus accrued and unpaid interest to, but excluding, the Redemption Date, using the net proceeds from the Company’s recently announced asset sales. Upon the funding of the redemption price, the Indenture will be discharged in accordance with its terms. Payment of the redemption price for the 2029 Senior Secured Notes will be made through the Depository Trust Company. </w:t>
      </w:r>
    </w:p>
    <w:p>
      <w:pPr>
        <w:pStyle w:val="TextBody"/>
        <w:bidi w:val="0"/>
        <w:spacing w:before="240" w:after="0"/>
        <w:jc w:val="left"/>
        <w:rPr>
          <w:rFonts w:ascii="Times New Roman" w:hAnsi="Times New Roman"/>
          <w:sz w:val="20"/>
        </w:rPr>
      </w:pPr>
      <w:r>
        <w:rPr>
          <w:rFonts w:ascii="Times New Roman" w:hAnsi="Times New Roman"/>
          <w:sz w:val="20"/>
        </w:rPr>
        <w:t xml:space="preserve">This Current Report on Form 8-K is not a notice of redemption with respect to the 2029 Senior Secured Notes. The redemption of the 2029 Senior Secured Notes will be made solely pursuant to the notice of redemption delivered pursuant to the Indenture. </w:t>
      </w:r>
    </w:p>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Exhibits</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08"/>
        <w:gridCol w:w="120"/>
        <w:gridCol w:w="9277"/>
      </w:tblGrid>
      <w:tr>
        <w:trPr/>
        <w:tc>
          <w:tcPr>
            <w:tcW w:w="80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277" w:type="dxa"/>
            <w:tcBorders/>
            <w:vAlign w:val="center"/>
          </w:tcPr>
          <w:p>
            <w:pPr>
              <w:pStyle w:val="TableContents"/>
              <w:bidi w:val="0"/>
              <w:spacing w:before="0" w:after="283"/>
              <w:jc w:val="left"/>
              <w:rPr>
                <w:sz w:val="4"/>
                <w:szCs w:val="4"/>
              </w:rPr>
            </w:pPr>
            <w:r>
              <w:rPr>
                <w:sz w:val="4"/>
                <w:szCs w:val="4"/>
              </w:rPr>
            </w:r>
          </w:p>
        </w:tc>
      </w:tr>
      <w:tr>
        <w:trPr/>
        <w:tc>
          <w:tcPr>
            <w:tcW w:w="808" w:type="dxa"/>
            <w:tcBorders>
              <w:bottom w:val="single" w:sz="8" w:space="0" w:color="000000"/>
            </w:tcBorders>
            <w:tcMar>
              <w:bottom w:w="28" w:type="dxa"/>
            </w:tcMar>
            <w:vAlign w:val="center"/>
          </w:tcPr>
          <w:p>
            <w:pPr>
              <w:pStyle w:val="TableContents"/>
              <w:bidi w:val="0"/>
              <w:jc w:val="left"/>
              <w:rPr/>
            </w:pPr>
            <w:r>
              <w:rPr>
                <w:b/>
              </w:rPr>
              <w:t>Exhibit</w:t>
            </w:r>
            <w:r>
              <w:rPr/>
              <w:t xml:space="preserve"> </w:t>
            </w:r>
          </w:p>
          <w:p>
            <w:pPr>
              <w:pStyle w:val="TableContents"/>
              <w:bidi w:val="0"/>
              <w:spacing w:before="0" w:after="0"/>
              <w:jc w:val="center"/>
              <w:rPr>
                <w:rFonts w:ascii="Times New Roman" w:hAnsi="Times New Roman"/>
                <w:b/>
                <w:sz w:val="16"/>
              </w:rPr>
            </w:pPr>
            <w:r>
              <w:rPr>
                <w:rFonts w:ascii="Times New Roman" w:hAnsi="Times New Roman"/>
                <w:b/>
                <w:sz w:val="16"/>
              </w:rPr>
              <w:t>No.</w:t>
            </w:r>
          </w:p>
        </w:tc>
        <w:tc>
          <w:tcPr>
            <w:tcW w:w="120" w:type="dxa"/>
            <w:tcBorders/>
            <w:vAlign w:val="center"/>
          </w:tcPr>
          <w:p>
            <w:pPr>
              <w:pStyle w:val="TableContents"/>
              <w:bidi w:val="0"/>
              <w:spacing w:before="0" w:after="283"/>
              <w:jc w:val="left"/>
              <w:rPr/>
            </w:pPr>
            <w:r>
              <w:rPr/>
              <w:t>  </w:t>
            </w:r>
          </w:p>
        </w:tc>
        <w:tc>
          <w:tcPr>
            <w:tcW w:w="9277"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r>
      <w:tr>
        <w:trPr/>
        <w:tc>
          <w:tcPr>
            <w:tcW w:w="808" w:type="dxa"/>
            <w:tcBorders/>
            <w:vAlign w:val="center"/>
          </w:tcPr>
          <w:p>
            <w:pPr>
              <w:pStyle w:val="TableContents"/>
              <w:bidi w:val="0"/>
              <w:spacing w:before="0" w:after="283"/>
              <w:jc w:val="left"/>
              <w:rPr>
                <w:sz w:val="4"/>
                <w:szCs w:val="4"/>
              </w:rPr>
            </w:pPr>
            <w:r>
              <w:rPr>
                <w:sz w:val="4"/>
                <w:szCs w:val="4"/>
              </w:rPr>
            </w:r>
          </w:p>
        </w:tc>
        <w:tc>
          <w:tcPr>
            <w:tcW w:w="9397" w:type="dxa"/>
            <w:gridSpan w:val="2"/>
            <w:tcBorders/>
            <w:vAlign w:val="center"/>
          </w:tcPr>
          <w:p>
            <w:pPr>
              <w:pStyle w:val="TableContents"/>
              <w:bidi w:val="0"/>
              <w:spacing w:before="0" w:after="283"/>
              <w:jc w:val="left"/>
              <w:rPr>
                <w:sz w:val="4"/>
                <w:szCs w:val="4"/>
              </w:rPr>
            </w:pPr>
            <w:r>
              <w:rPr>
                <w:sz w:val="4"/>
                <w:szCs w:val="4"/>
              </w:rPr>
            </w:r>
          </w:p>
        </w:tc>
      </w:tr>
      <w:tr>
        <w:trPr/>
        <w:tc>
          <w:tcPr>
            <w:tcW w:w="808" w:type="dxa"/>
            <w:tcBorders/>
            <w:vAlign w:val="center"/>
          </w:tcPr>
          <w:p>
            <w:pPr>
              <w:pStyle w:val="TableContents"/>
              <w:bidi w:val="0"/>
              <w:spacing w:before="0" w:after="283"/>
              <w:jc w:val="left"/>
              <w:rPr/>
            </w:pPr>
            <w:r>
              <w:rPr/>
              <w:t>10.1</w:t>
            </w:r>
          </w:p>
        </w:tc>
        <w:tc>
          <w:tcPr>
            <w:tcW w:w="120" w:type="dxa"/>
            <w:tcBorders/>
            <w:vAlign w:val="center"/>
          </w:tcPr>
          <w:p>
            <w:pPr>
              <w:pStyle w:val="TableContents"/>
              <w:bidi w:val="0"/>
              <w:spacing w:before="0" w:after="283"/>
              <w:jc w:val="left"/>
              <w:rPr/>
            </w:pPr>
            <w:r>
              <w:rPr/>
              <w:t>  </w:t>
            </w:r>
          </w:p>
        </w:tc>
        <w:tc>
          <w:tcPr>
            <w:tcW w:w="9277" w:type="dxa"/>
            <w:tcBorders/>
            <w:vAlign w:val="center"/>
          </w:tcPr>
          <w:p>
            <w:pPr>
              <w:pStyle w:val="TableContents"/>
              <w:bidi w:val="0"/>
              <w:spacing w:before="0" w:after="283"/>
              <w:jc w:val="left"/>
              <w:rPr/>
            </w:pPr>
            <w:hyperlink w:anchor="d246793dex101.htm">
              <w:r>
                <w:rPr>
                  <w:rStyle w:val="InternetLink"/>
                </w:rPr>
                <w:t xml:space="preserve">Amended and Restated Credit Agreement, dated as of October 5, 2026, among The GEO Group, Inc. and GEO Corrections Holdings, Inc., as borrowers, Bank OZK as Administrative Agent, and the other lender parties thereto.* </w:t>
              </w:r>
            </w:hyperlink>
          </w:p>
        </w:tc>
      </w:tr>
      <w:tr>
        <w:trPr/>
        <w:tc>
          <w:tcPr>
            <w:tcW w:w="808" w:type="dxa"/>
            <w:tcBorders/>
            <w:vAlign w:val="center"/>
          </w:tcPr>
          <w:p>
            <w:pPr>
              <w:pStyle w:val="TableContents"/>
              <w:bidi w:val="0"/>
              <w:spacing w:before="0" w:after="283"/>
              <w:jc w:val="left"/>
              <w:rPr>
                <w:sz w:val="4"/>
                <w:szCs w:val="4"/>
              </w:rPr>
            </w:pPr>
            <w:r>
              <w:rPr>
                <w:sz w:val="4"/>
                <w:szCs w:val="4"/>
              </w:rPr>
            </w:r>
          </w:p>
        </w:tc>
        <w:tc>
          <w:tcPr>
            <w:tcW w:w="9397" w:type="dxa"/>
            <w:gridSpan w:val="2"/>
            <w:tcBorders/>
            <w:vAlign w:val="center"/>
          </w:tcPr>
          <w:p>
            <w:pPr>
              <w:pStyle w:val="TableContents"/>
              <w:bidi w:val="0"/>
              <w:spacing w:before="0" w:after="283"/>
              <w:jc w:val="left"/>
              <w:rPr>
                <w:sz w:val="4"/>
                <w:szCs w:val="4"/>
              </w:rPr>
            </w:pPr>
            <w:r>
              <w:rPr>
                <w:sz w:val="4"/>
                <w:szCs w:val="4"/>
              </w:rPr>
            </w:r>
          </w:p>
        </w:tc>
      </w:tr>
      <w:tr>
        <w:trPr/>
        <w:tc>
          <w:tcPr>
            <w:tcW w:w="808"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9277" w:type="dxa"/>
            <w:tcBorders/>
            <w:vAlign w:val="center"/>
          </w:tcPr>
          <w:p>
            <w:pPr>
              <w:pStyle w:val="TableContents"/>
              <w:bidi w:val="0"/>
              <w:spacing w:before="0" w:after="283"/>
              <w:jc w:val="left"/>
              <w:rPr/>
            </w:pPr>
            <w:hyperlink w:anchor="d246793dex991.htm">
              <w:r>
                <w:rPr>
                  <w:rStyle w:val="InternetLink"/>
                </w:rPr>
                <w:t xml:space="preserve">Press release issued by The GEO Group, Inc. on October 6, 2026. </w:t>
              </w:r>
            </w:hyperlink>
          </w:p>
        </w:tc>
      </w:tr>
      <w:tr>
        <w:trPr/>
        <w:tc>
          <w:tcPr>
            <w:tcW w:w="808" w:type="dxa"/>
            <w:tcBorders/>
            <w:vAlign w:val="center"/>
          </w:tcPr>
          <w:p>
            <w:pPr>
              <w:pStyle w:val="TableContents"/>
              <w:bidi w:val="0"/>
              <w:spacing w:before="0" w:after="283"/>
              <w:jc w:val="left"/>
              <w:rPr>
                <w:sz w:val="4"/>
                <w:szCs w:val="4"/>
              </w:rPr>
            </w:pPr>
            <w:r>
              <w:rPr>
                <w:sz w:val="4"/>
                <w:szCs w:val="4"/>
              </w:rPr>
            </w:r>
          </w:p>
        </w:tc>
        <w:tc>
          <w:tcPr>
            <w:tcW w:w="9397" w:type="dxa"/>
            <w:gridSpan w:val="2"/>
            <w:tcBorders/>
            <w:vAlign w:val="center"/>
          </w:tcPr>
          <w:p>
            <w:pPr>
              <w:pStyle w:val="TableContents"/>
              <w:bidi w:val="0"/>
              <w:spacing w:before="0" w:after="283"/>
              <w:jc w:val="left"/>
              <w:rPr>
                <w:sz w:val="4"/>
                <w:szCs w:val="4"/>
              </w:rPr>
            </w:pPr>
            <w:r>
              <w:rPr>
                <w:sz w:val="4"/>
                <w:szCs w:val="4"/>
              </w:rPr>
            </w:r>
          </w:p>
        </w:tc>
      </w:tr>
      <w:tr>
        <w:trPr/>
        <w:tc>
          <w:tcPr>
            <w:tcW w:w="808"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277"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b/>
              </w:rPr>
            </w:pPr>
            <w:r>
              <w:rPr>
                <w:b/>
              </w:rPr>
              <w:t>*</w:t>
            </w:r>
          </w:p>
        </w:tc>
        <w:tc>
          <w:tcPr>
            <w:tcW w:w="10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Certain portions of this Exhibit have been omitted in accordance with Regulation S-K Item 601 because they are both (i) not material to investors and (ii) the type of information that the Registrant customarily and actually treats as private or confidential and have been marked with “[***]” to indicate where omissions have been made. The Registrant agrees to furnish supplementally an unredacted copy of the Exhibit to the Securities and Exchange Commission or its staff upon request. Additionally, certain schedules and similar attachments have been omitted in reliance on Instruction 4 of Item 1.01 of Form 8-K and Item 601(a)(5) of Regulation S-K. The Company will provide, on a supplemental basis, a copy of any omitted schedule or similar attachment to the Securities and Exchange Commission or its staff upon request.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6653" w:type="dxa"/>
        <w:jc w:val="left"/>
        <w:tblInd w:w="0" w:type="dxa"/>
        <w:tblLayout w:type="fixed"/>
        <w:tblCellMar>
          <w:top w:w="0" w:type="dxa"/>
          <w:left w:w="0" w:type="dxa"/>
          <w:bottom w:w="0" w:type="dxa"/>
          <w:right w:w="0" w:type="dxa"/>
        </w:tblCellMar>
      </w:tblPr>
      <w:tblGrid>
        <w:gridCol w:w="1340"/>
        <w:gridCol w:w="60"/>
        <w:gridCol w:w="23"/>
        <w:gridCol w:w="60"/>
        <w:gridCol w:w="365"/>
        <w:gridCol w:w="60"/>
        <w:gridCol w:w="4745"/>
      </w:tblGrid>
      <w:tr>
        <w:trPr/>
        <w:tc>
          <w:tcPr>
            <w:tcW w:w="13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45" w:type="dxa"/>
            <w:tcBorders/>
            <w:vAlign w:val="center"/>
          </w:tcPr>
          <w:p>
            <w:pPr>
              <w:pStyle w:val="TableContents"/>
              <w:bidi w:val="0"/>
              <w:spacing w:before="0" w:after="283"/>
              <w:jc w:val="left"/>
              <w:rPr>
                <w:sz w:val="4"/>
                <w:szCs w:val="4"/>
              </w:rPr>
            </w:pPr>
            <w:r>
              <w:rPr>
                <w:sz w:val="4"/>
                <w:szCs w:val="4"/>
              </w:rPr>
            </w:r>
          </w:p>
        </w:tc>
      </w:tr>
      <w:tr>
        <w:trPr/>
        <w:tc>
          <w:tcPr>
            <w:tcW w:w="134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4805" w:type="dxa"/>
            <w:gridSpan w:val="2"/>
            <w:tcBorders/>
            <w:vAlign w:val="center"/>
          </w:tcPr>
          <w:p>
            <w:pPr>
              <w:pStyle w:val="TableContents"/>
              <w:bidi w:val="0"/>
              <w:spacing w:before="0" w:after="283"/>
              <w:jc w:val="left"/>
              <w:rPr>
                <w:sz w:val="4"/>
                <w:szCs w:val="4"/>
              </w:rPr>
            </w:pPr>
            <w:r>
              <w:rPr>
                <w:sz w:val="4"/>
                <w:szCs w:val="4"/>
              </w:rPr>
            </w:r>
          </w:p>
        </w:tc>
      </w:tr>
      <w:tr>
        <w:trPr/>
        <w:tc>
          <w:tcPr>
            <w:tcW w:w="134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October 8,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474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Shayn P. March</w:t>
            </w:r>
          </w:p>
        </w:tc>
      </w:tr>
      <w:tr>
        <w:trPr/>
        <w:tc>
          <w:tcPr>
            <w:tcW w:w="1340" w:type="dxa"/>
            <w:tcBorders/>
            <w:vAlign w:val="center"/>
          </w:tcPr>
          <w:p>
            <w:pPr>
              <w:pStyle w:val="TableContents"/>
              <w:bidi w:val="0"/>
              <w:spacing w:before="0" w:after="283"/>
              <w:jc w:val="left"/>
              <w:rPr/>
            </w:pPr>
            <w:r>
              <w:rPr/>
              <w:t>Date</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745" w:type="dxa"/>
            <w:tcBorders/>
            <w:vAlign w:val="center"/>
          </w:tcPr>
          <w:p>
            <w:pPr>
              <w:pStyle w:val="TableContents"/>
              <w:bidi w:val="0"/>
              <w:spacing w:before="0" w:after="283"/>
              <w:jc w:val="left"/>
              <w:rPr/>
            </w:pPr>
            <w:r>
              <w:rPr/>
              <w:t>Shayn P. March</w:t>
            </w:r>
          </w:p>
        </w:tc>
      </w:tr>
      <w:tr>
        <w:trPr/>
        <w:tc>
          <w:tcPr>
            <w:tcW w:w="13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745" w:type="dxa"/>
            <w:tcBorders/>
            <w:vAlign w:val="center"/>
          </w:tcPr>
          <w:p>
            <w:pPr>
              <w:pStyle w:val="TableContents"/>
              <w:bidi w:val="0"/>
              <w:spacing w:before="0" w:after="283"/>
              <w:jc w:val="left"/>
              <w:rPr/>
            </w:pPr>
            <w:r>
              <w:rPr/>
              <w:t>Senior Vice President and Chief Financial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p>
    <w:p>
      <w:pPr>
        <w:pStyle w:val="TextBody"/>
        <w:bidi w:val="0"/>
        <w:spacing w:before="0" w:after="0"/>
        <w:jc w:val="right"/>
        <w:rPr>
          <w:rFonts w:ascii="Times New Roman" w:hAnsi="Times New Roman"/>
          <w:b/>
          <w:sz w:val="20"/>
        </w:rPr>
      </w:pPr>
      <w:bookmarkStart w:id="2" w:name="d246793dex101.htm"/>
      <w:bookmarkStart w:id="3" w:name="ksd246793dex101"/>
      <w:bookmarkEnd w:id="2"/>
      <w:bookmarkEnd w:id="3"/>
      <w:r>
        <w:rPr>
          <w:rFonts w:ascii="Times New Roman" w:hAnsi="Times New Roman"/>
          <w:b/>
          <w:sz w:val="20"/>
        </w:rPr>
        <w:t xml:space="preserve">Exhibit 10.1 </w:t>
      </w:r>
      <w:r>
        <w:br w:type="page"/>
      </w:r>
    </w:p>
    <w:p>
      <w:pPr>
        <w:pStyle w:val="TextBody"/>
        <w:bidi w:val="0"/>
        <w:spacing w:before="120" w:after="0"/>
        <w:jc w:val="right"/>
        <w:rPr>
          <w:rFonts w:ascii="Times New Roman" w:hAnsi="Times New Roman"/>
          <w:sz w:val="20"/>
        </w:rPr>
      </w:pPr>
      <w:r>
        <w:rPr>
          <w:rFonts w:ascii="Times New Roman" w:hAnsi="Times New Roman"/>
          <w:b/>
          <w:i/>
          <w:sz w:val="20"/>
        </w:rPr>
        <w:t>Execution Version</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 w:hAnsi="Times New Roman"/>
          <w:sz w:val="20"/>
        </w:rPr>
        <w:t xml:space="preserve">AMENDED AND RESTATED CREDIT AGREEMENT* </w:t>
      </w:r>
    </w:p>
    <w:p>
      <w:pPr>
        <w:pStyle w:val="TextBody"/>
        <w:bidi w:val="0"/>
        <w:spacing w:before="240" w:after="0"/>
        <w:jc w:val="center"/>
        <w:rPr>
          <w:rFonts w:ascii="Times New Roman" w:hAnsi="Times New Roman"/>
          <w:sz w:val="20"/>
        </w:rPr>
      </w:pPr>
      <w:r>
        <w:rPr>
          <w:rFonts w:ascii="Times New Roman" w:hAnsi="Times New Roman"/>
          <w:sz w:val="20"/>
        </w:rPr>
        <w:t xml:space="preserve">dated as of </w:t>
      </w:r>
    </w:p>
    <w:p>
      <w:pPr>
        <w:pStyle w:val="TextBody"/>
        <w:bidi w:val="0"/>
        <w:spacing w:before="240" w:after="0"/>
        <w:jc w:val="center"/>
        <w:rPr>
          <w:rFonts w:ascii="Times New Roman" w:hAnsi="Times New Roman"/>
          <w:sz w:val="20"/>
        </w:rPr>
      </w:pPr>
      <w:r>
        <w:rPr>
          <w:rFonts w:ascii="Times New Roman" w:hAnsi="Times New Roman"/>
          <w:sz w:val="20"/>
        </w:rPr>
        <w:t xml:space="preserve">October 5, 2026, </w:t>
      </w:r>
    </w:p>
    <w:p>
      <w:pPr>
        <w:pStyle w:val="TextBody"/>
        <w:bidi w:val="0"/>
        <w:spacing w:before="240" w:after="0"/>
        <w:jc w:val="center"/>
        <w:rPr>
          <w:rFonts w:ascii="Times New Roman" w:hAnsi="Times New Roman"/>
          <w:sz w:val="20"/>
        </w:rPr>
      </w:pPr>
      <w:r>
        <w:rPr>
          <w:rFonts w:ascii="Times New Roman" w:hAnsi="Times New Roman"/>
          <w:sz w:val="20"/>
        </w:rPr>
        <w:t xml:space="preserve">among </w:t>
      </w:r>
    </w:p>
    <w:p>
      <w:pPr>
        <w:pStyle w:val="TextBody"/>
        <w:bidi w:val="0"/>
        <w:spacing w:before="240" w:after="0"/>
        <w:jc w:val="center"/>
        <w:rPr>
          <w:rFonts w:ascii="Times New Roman" w:hAnsi="Times New Roman"/>
          <w:sz w:val="20"/>
        </w:rPr>
      </w:pPr>
      <w:r>
        <w:rPr>
          <w:rFonts w:ascii="Times New Roman" w:hAnsi="Times New Roman"/>
          <w:sz w:val="20"/>
        </w:rPr>
        <w:t xml:space="preserve">THE GEO GROUP, INC. </w:t>
      </w:r>
    </w:p>
    <w:p>
      <w:pPr>
        <w:pStyle w:val="TextBody"/>
        <w:bidi w:val="0"/>
        <w:spacing w:before="240" w:after="0"/>
        <w:jc w:val="center"/>
        <w:rPr>
          <w:rFonts w:ascii="Times New Roman" w:hAnsi="Times New Roman"/>
          <w:sz w:val="20"/>
        </w:rPr>
      </w:pPr>
      <w:r>
        <w:rPr>
          <w:rFonts w:ascii="Times New Roman" w:hAnsi="Times New Roman"/>
          <w:sz w:val="20"/>
        </w:rPr>
        <w:t xml:space="preserve">and </w:t>
      </w:r>
    </w:p>
    <w:p>
      <w:pPr>
        <w:pStyle w:val="TextBody"/>
        <w:bidi w:val="0"/>
        <w:spacing w:before="240" w:after="0"/>
        <w:jc w:val="center"/>
        <w:rPr>
          <w:rFonts w:ascii="Times New Roman" w:hAnsi="Times New Roman"/>
          <w:sz w:val="20"/>
        </w:rPr>
      </w:pPr>
      <w:r>
        <w:rPr>
          <w:rFonts w:ascii="Times New Roman" w:hAnsi="Times New Roman"/>
          <w:sz w:val="20"/>
        </w:rPr>
        <w:t xml:space="preserve">GEO CORRECTIONS HOLDINGS, INC., </w:t>
      </w:r>
    </w:p>
    <w:p>
      <w:pPr>
        <w:pStyle w:val="TextBody"/>
        <w:bidi w:val="0"/>
        <w:spacing w:before="0" w:after="0"/>
        <w:jc w:val="center"/>
        <w:rPr>
          <w:rFonts w:ascii="Times New Roman" w:hAnsi="Times New Roman"/>
          <w:sz w:val="20"/>
        </w:rPr>
      </w:pPr>
      <w:r>
        <w:rPr>
          <w:rFonts w:ascii="Times New Roman" w:hAnsi="Times New Roman"/>
          <w:sz w:val="20"/>
        </w:rPr>
        <w:t xml:space="preserve">as Borrowers, </w:t>
      </w:r>
    </w:p>
    <w:p>
      <w:pPr>
        <w:pStyle w:val="TextBody"/>
        <w:bidi w:val="0"/>
        <w:spacing w:before="240" w:after="0"/>
        <w:jc w:val="center"/>
        <w:rPr>
          <w:rFonts w:ascii="Times New Roman" w:hAnsi="Times New Roman"/>
          <w:sz w:val="20"/>
        </w:rPr>
      </w:pPr>
      <w:r>
        <w:rPr>
          <w:rFonts w:ascii="Times New Roman" w:hAnsi="Times New Roman"/>
          <w:sz w:val="20"/>
        </w:rPr>
        <w:t xml:space="preserve">the Lenders referred to herein </w:t>
      </w:r>
    </w:p>
    <w:p>
      <w:pPr>
        <w:pStyle w:val="TextBody"/>
        <w:bidi w:val="0"/>
        <w:spacing w:before="240" w:after="0"/>
        <w:jc w:val="center"/>
        <w:rPr>
          <w:rFonts w:ascii="Times New Roman" w:hAnsi="Times New Roman"/>
          <w:sz w:val="20"/>
        </w:rPr>
      </w:pPr>
      <w:r>
        <w:rPr>
          <w:rFonts w:ascii="Times New Roman" w:hAnsi="Times New Roman"/>
          <w:sz w:val="20"/>
        </w:rPr>
        <w:t xml:space="preserve">and </w:t>
      </w:r>
    </w:p>
    <w:p>
      <w:pPr>
        <w:pStyle w:val="TextBody"/>
        <w:bidi w:val="0"/>
        <w:spacing w:before="240" w:after="0"/>
        <w:jc w:val="center"/>
        <w:rPr>
          <w:rFonts w:ascii="Times New Roman" w:hAnsi="Times New Roman"/>
          <w:sz w:val="20"/>
        </w:rPr>
      </w:pPr>
      <w:r>
        <w:rPr>
          <w:rFonts w:ascii="Times New Roman" w:hAnsi="Times New Roman"/>
          <w:sz w:val="20"/>
        </w:rPr>
        <w:t xml:space="preserve">BANK OZK, </w:t>
      </w:r>
    </w:p>
    <w:p>
      <w:pPr>
        <w:pStyle w:val="TextBody"/>
        <w:bidi w:val="0"/>
        <w:spacing w:before="0" w:after="0"/>
        <w:jc w:val="center"/>
        <w:rPr>
          <w:rFonts w:ascii="Times New Roman" w:hAnsi="Times New Roman"/>
          <w:sz w:val="20"/>
        </w:rPr>
      </w:pPr>
      <w:r>
        <w:rPr>
          <w:rFonts w:ascii="Times New Roman" w:hAnsi="Times New Roman"/>
          <w:sz w:val="20"/>
        </w:rPr>
        <w:t xml:space="preserve">as Administrative Agent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sz w:val="20"/>
        </w:rPr>
      </w:pP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 w:hAnsi="Times New Roman"/>
          <w:sz w:val="20"/>
        </w:rPr>
        <w:t xml:space="preserve">as Joint Lead Arrangers and Joint Bookrunners </w:t>
      </w:r>
    </w:p>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identified information has been excluded from the exhibit because it is both (i) not material and (ii) the Registrant treats such information as private or confidential.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10275" w:type="dxa"/>
        <w:jc w:val="center"/>
        <w:tblInd w:w="0" w:type="dxa"/>
        <w:tblLayout w:type="fixed"/>
        <w:tblCellMar>
          <w:top w:w="0" w:type="dxa"/>
          <w:left w:w="0" w:type="dxa"/>
          <w:bottom w:w="0" w:type="dxa"/>
          <w:right w:w="0" w:type="dxa"/>
        </w:tblCellMar>
      </w:tblPr>
      <w:tblGrid>
        <w:gridCol w:w="1040"/>
        <w:gridCol w:w="60"/>
        <w:gridCol w:w="8480"/>
        <w:gridCol w:w="120"/>
        <w:gridCol w:w="96"/>
        <w:gridCol w:w="419"/>
        <w:gridCol w:w="60"/>
      </w:tblGrid>
      <w:tr>
        <w:trPr/>
        <w:tc>
          <w:tcPr>
            <w:tcW w:w="104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48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0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8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15" w:type="dxa"/>
            <w:gridSpan w:val="2"/>
            <w:tcBorders/>
            <w:vAlign w:val="bottom"/>
          </w:tcPr>
          <w:p>
            <w:pPr>
              <w:pStyle w:val="TableContents"/>
              <w:bidi w:val="0"/>
              <w:spacing w:before="0" w:after="283"/>
              <w:jc w:val="center"/>
              <w:rPr>
                <w:b/>
              </w:rPr>
            </w:pPr>
            <w:r>
              <w:rPr>
                <w:b/>
              </w:rPr>
              <w:t>Page</w:t>
            </w:r>
          </w:p>
        </w:tc>
        <w:tc>
          <w:tcPr>
            <w:tcW w:w="60" w:type="dxa"/>
            <w:tcBorders/>
            <w:vAlign w:val="bottom"/>
          </w:tcPr>
          <w:p>
            <w:pPr>
              <w:pStyle w:val="TableContents"/>
              <w:bidi w:val="0"/>
              <w:spacing w:before="0" w:after="283"/>
              <w:jc w:val="left"/>
              <w:rPr/>
            </w:pPr>
            <w:r>
              <w:rPr/>
              <w:t> </w:t>
            </w:r>
          </w:p>
        </w:tc>
      </w:tr>
      <w:tr>
        <w:trPr>
          <w:trHeight w:val="120" w:hRule="atLeast"/>
        </w:trPr>
        <w:tc>
          <w:tcPr>
            <w:tcW w:w="9580" w:type="dxa"/>
            <w:gridSpan w:val="3"/>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9580"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 DEFINITIONS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854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1.01</w:t>
            </w:r>
          </w:p>
        </w:tc>
        <w:tc>
          <w:tcPr>
            <w:tcW w:w="60" w:type="dxa"/>
            <w:tcBorders/>
            <w:vAlign w:val="bottom"/>
          </w:tcPr>
          <w:p>
            <w:pPr>
              <w:pStyle w:val="TableContents"/>
              <w:bidi w:val="0"/>
              <w:spacing w:before="0" w:after="283"/>
              <w:jc w:val="left"/>
              <w:rPr/>
            </w:pPr>
            <w:r>
              <w:rPr/>
              <w:t> </w:t>
            </w:r>
          </w:p>
        </w:tc>
        <w:tc>
          <w:tcPr>
            <w:tcW w:w="8480" w:type="dxa"/>
            <w:tcBorders/>
            <w:vAlign w:val="bottom"/>
          </w:tcPr>
          <w:p>
            <w:pPr>
              <w:pStyle w:val="TableContents"/>
              <w:bidi w:val="0"/>
              <w:spacing w:before="0" w:after="283"/>
              <w:jc w:val="left"/>
              <w:rPr/>
            </w:pPr>
            <w:r>
              <w:rPr/>
              <w:t>Defined Terms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1.02</w:t>
            </w:r>
          </w:p>
        </w:tc>
        <w:tc>
          <w:tcPr>
            <w:tcW w:w="60" w:type="dxa"/>
            <w:tcBorders/>
            <w:vAlign w:val="bottom"/>
          </w:tcPr>
          <w:p>
            <w:pPr>
              <w:pStyle w:val="TableContents"/>
              <w:bidi w:val="0"/>
              <w:spacing w:before="0" w:after="283"/>
              <w:jc w:val="left"/>
              <w:rPr/>
            </w:pPr>
            <w:r>
              <w:rPr/>
              <w:t> </w:t>
            </w:r>
          </w:p>
        </w:tc>
        <w:tc>
          <w:tcPr>
            <w:tcW w:w="8480" w:type="dxa"/>
            <w:tcBorders/>
            <w:vAlign w:val="bottom"/>
          </w:tcPr>
          <w:p>
            <w:pPr>
              <w:pStyle w:val="TableContents"/>
              <w:bidi w:val="0"/>
              <w:spacing w:before="0" w:after="283"/>
              <w:jc w:val="left"/>
              <w:rPr/>
            </w:pPr>
            <w:r>
              <w:rPr/>
              <w:t>Classification of Loans and Borrowings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47</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1.03</w:t>
            </w:r>
          </w:p>
        </w:tc>
        <w:tc>
          <w:tcPr>
            <w:tcW w:w="60" w:type="dxa"/>
            <w:tcBorders/>
            <w:vAlign w:val="bottom"/>
          </w:tcPr>
          <w:p>
            <w:pPr>
              <w:pStyle w:val="TableContents"/>
              <w:bidi w:val="0"/>
              <w:spacing w:before="0" w:after="283"/>
              <w:jc w:val="left"/>
              <w:rPr/>
            </w:pPr>
            <w:r>
              <w:rPr/>
              <w:t> </w:t>
            </w:r>
          </w:p>
        </w:tc>
        <w:tc>
          <w:tcPr>
            <w:tcW w:w="8480" w:type="dxa"/>
            <w:tcBorders/>
            <w:vAlign w:val="bottom"/>
          </w:tcPr>
          <w:p>
            <w:pPr>
              <w:pStyle w:val="TableContents"/>
              <w:bidi w:val="0"/>
              <w:spacing w:before="0" w:after="283"/>
              <w:jc w:val="left"/>
              <w:rPr/>
            </w:pPr>
            <w:r>
              <w:rPr/>
              <w:t>Terms Generally</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47</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1.04</w:t>
            </w:r>
          </w:p>
        </w:tc>
        <w:tc>
          <w:tcPr>
            <w:tcW w:w="60" w:type="dxa"/>
            <w:tcBorders/>
            <w:vAlign w:val="bottom"/>
          </w:tcPr>
          <w:p>
            <w:pPr>
              <w:pStyle w:val="TableContents"/>
              <w:bidi w:val="0"/>
              <w:spacing w:before="0" w:after="283"/>
              <w:jc w:val="left"/>
              <w:rPr/>
            </w:pPr>
            <w:r>
              <w:rPr/>
              <w:t> </w:t>
            </w:r>
          </w:p>
        </w:tc>
        <w:tc>
          <w:tcPr>
            <w:tcW w:w="8480" w:type="dxa"/>
            <w:tcBorders/>
            <w:vAlign w:val="bottom"/>
          </w:tcPr>
          <w:p>
            <w:pPr>
              <w:pStyle w:val="TableContents"/>
              <w:bidi w:val="0"/>
              <w:spacing w:before="0" w:after="283"/>
              <w:jc w:val="left"/>
              <w:rPr/>
            </w:pPr>
            <w:r>
              <w:rPr/>
              <w:t>Accounting Terms; GAAP</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48</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1.05</w:t>
            </w:r>
          </w:p>
        </w:tc>
        <w:tc>
          <w:tcPr>
            <w:tcW w:w="60" w:type="dxa"/>
            <w:tcBorders/>
            <w:vAlign w:val="bottom"/>
          </w:tcPr>
          <w:p>
            <w:pPr>
              <w:pStyle w:val="TableContents"/>
              <w:bidi w:val="0"/>
              <w:spacing w:before="0" w:after="283"/>
              <w:jc w:val="left"/>
              <w:rPr/>
            </w:pPr>
            <w:r>
              <w:rPr/>
              <w:t> </w:t>
            </w:r>
          </w:p>
        </w:tc>
        <w:tc>
          <w:tcPr>
            <w:tcW w:w="8480" w:type="dxa"/>
            <w:tcBorders/>
            <w:vAlign w:val="bottom"/>
          </w:tcPr>
          <w:p>
            <w:pPr>
              <w:pStyle w:val="TableContents"/>
              <w:bidi w:val="0"/>
              <w:spacing w:before="0" w:after="283"/>
              <w:jc w:val="left"/>
              <w:rPr/>
            </w:pPr>
            <w:r>
              <w:rPr/>
              <w:t>Currencies; Currency Equivalents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48</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1.06</w:t>
            </w:r>
          </w:p>
        </w:tc>
        <w:tc>
          <w:tcPr>
            <w:tcW w:w="60" w:type="dxa"/>
            <w:tcBorders/>
            <w:vAlign w:val="bottom"/>
          </w:tcPr>
          <w:p>
            <w:pPr>
              <w:pStyle w:val="TableContents"/>
              <w:bidi w:val="0"/>
              <w:spacing w:before="0" w:after="283"/>
              <w:jc w:val="left"/>
              <w:rPr/>
            </w:pPr>
            <w:r>
              <w:rPr/>
              <w:t> </w:t>
            </w:r>
          </w:p>
        </w:tc>
        <w:tc>
          <w:tcPr>
            <w:tcW w:w="8480" w:type="dxa"/>
            <w:tcBorders/>
            <w:vAlign w:val="bottom"/>
          </w:tcPr>
          <w:p>
            <w:pPr>
              <w:pStyle w:val="TableContents"/>
              <w:bidi w:val="0"/>
              <w:spacing w:before="0" w:after="283"/>
              <w:jc w:val="left"/>
              <w:rPr/>
            </w:pPr>
            <w:r>
              <w:rPr/>
              <w:t>Rates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49</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1.07</w:t>
            </w:r>
          </w:p>
        </w:tc>
        <w:tc>
          <w:tcPr>
            <w:tcW w:w="60" w:type="dxa"/>
            <w:tcBorders/>
            <w:vAlign w:val="bottom"/>
          </w:tcPr>
          <w:p>
            <w:pPr>
              <w:pStyle w:val="TableContents"/>
              <w:bidi w:val="0"/>
              <w:spacing w:before="0" w:after="283"/>
              <w:jc w:val="left"/>
              <w:rPr/>
            </w:pPr>
            <w:r>
              <w:rPr/>
              <w:t> </w:t>
            </w:r>
          </w:p>
        </w:tc>
        <w:tc>
          <w:tcPr>
            <w:tcW w:w="8480" w:type="dxa"/>
            <w:tcBorders/>
            <w:vAlign w:val="bottom"/>
          </w:tcPr>
          <w:p>
            <w:pPr>
              <w:pStyle w:val="TableContents"/>
              <w:bidi w:val="0"/>
              <w:spacing w:before="0" w:after="283"/>
              <w:jc w:val="left"/>
              <w:rPr/>
            </w:pPr>
            <w:r>
              <w:rPr/>
              <w:t>Letter of Credit Amounts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49</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1.08</w:t>
            </w:r>
          </w:p>
        </w:tc>
        <w:tc>
          <w:tcPr>
            <w:tcW w:w="60" w:type="dxa"/>
            <w:tcBorders/>
            <w:vAlign w:val="bottom"/>
          </w:tcPr>
          <w:p>
            <w:pPr>
              <w:pStyle w:val="TableContents"/>
              <w:bidi w:val="0"/>
              <w:spacing w:before="0" w:after="283"/>
              <w:jc w:val="left"/>
              <w:rPr/>
            </w:pPr>
            <w:r>
              <w:rPr/>
              <w:t> </w:t>
            </w:r>
          </w:p>
        </w:tc>
        <w:tc>
          <w:tcPr>
            <w:tcW w:w="8480" w:type="dxa"/>
            <w:tcBorders/>
            <w:vAlign w:val="bottom"/>
          </w:tcPr>
          <w:p>
            <w:pPr>
              <w:pStyle w:val="TableContents"/>
              <w:bidi w:val="0"/>
              <w:spacing w:before="0" w:after="283"/>
              <w:jc w:val="left"/>
              <w:rPr/>
            </w:pPr>
            <w:r>
              <w:rPr/>
              <w:t>Divisions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49</w:t>
            </w:r>
          </w:p>
        </w:tc>
        <w:tc>
          <w:tcPr>
            <w:tcW w:w="60" w:type="dxa"/>
            <w:tcBorders/>
            <w:vAlign w:val="bottom"/>
          </w:tcPr>
          <w:p>
            <w:pPr>
              <w:pStyle w:val="TableContents"/>
              <w:bidi w:val="0"/>
              <w:spacing w:before="0" w:after="283"/>
              <w:jc w:val="left"/>
              <w:rPr/>
            </w:pPr>
            <w:r>
              <w:rPr/>
              <w:t> </w:t>
            </w:r>
          </w:p>
        </w:tc>
      </w:tr>
      <w:tr>
        <w:trPr>
          <w:trHeight w:val="120" w:hRule="atLeast"/>
        </w:trPr>
        <w:tc>
          <w:tcPr>
            <w:tcW w:w="9580" w:type="dxa"/>
            <w:gridSpan w:val="3"/>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9580"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II THE CREDITS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50</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854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2.01</w:t>
            </w:r>
          </w:p>
        </w:tc>
        <w:tc>
          <w:tcPr>
            <w:tcW w:w="60" w:type="dxa"/>
            <w:tcBorders/>
            <w:vAlign w:val="bottom"/>
          </w:tcPr>
          <w:p>
            <w:pPr>
              <w:pStyle w:val="TableContents"/>
              <w:bidi w:val="0"/>
              <w:spacing w:before="0" w:after="283"/>
              <w:jc w:val="left"/>
              <w:rPr/>
            </w:pPr>
            <w:r>
              <w:rPr/>
              <w:t> </w:t>
            </w:r>
          </w:p>
        </w:tc>
        <w:tc>
          <w:tcPr>
            <w:tcW w:w="8480" w:type="dxa"/>
            <w:tcBorders/>
            <w:vAlign w:val="bottom"/>
          </w:tcPr>
          <w:p>
            <w:pPr>
              <w:pStyle w:val="TableContents"/>
              <w:bidi w:val="0"/>
              <w:spacing w:before="0" w:after="283"/>
              <w:jc w:val="left"/>
              <w:rPr/>
            </w:pPr>
            <w:r>
              <w:rPr/>
              <w:t>The Commitments; Revolving Credit Loans; Term Loans; Incremental Term Loans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50</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2.02</w:t>
            </w:r>
          </w:p>
        </w:tc>
        <w:tc>
          <w:tcPr>
            <w:tcW w:w="60" w:type="dxa"/>
            <w:tcBorders/>
            <w:vAlign w:val="bottom"/>
          </w:tcPr>
          <w:p>
            <w:pPr>
              <w:pStyle w:val="TableContents"/>
              <w:bidi w:val="0"/>
              <w:spacing w:before="0" w:after="283"/>
              <w:jc w:val="left"/>
              <w:rPr/>
            </w:pPr>
            <w:r>
              <w:rPr/>
              <w:t> </w:t>
            </w:r>
          </w:p>
        </w:tc>
        <w:tc>
          <w:tcPr>
            <w:tcW w:w="8480" w:type="dxa"/>
            <w:tcBorders/>
            <w:vAlign w:val="bottom"/>
          </w:tcPr>
          <w:p>
            <w:pPr>
              <w:pStyle w:val="TableContents"/>
              <w:bidi w:val="0"/>
              <w:spacing w:before="0" w:after="283"/>
              <w:jc w:val="left"/>
              <w:rPr/>
            </w:pPr>
            <w:r>
              <w:rPr/>
              <w:t>Loans and Borrowings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53</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2.03</w:t>
            </w:r>
          </w:p>
        </w:tc>
        <w:tc>
          <w:tcPr>
            <w:tcW w:w="60" w:type="dxa"/>
            <w:tcBorders/>
            <w:vAlign w:val="bottom"/>
          </w:tcPr>
          <w:p>
            <w:pPr>
              <w:pStyle w:val="TableContents"/>
              <w:bidi w:val="0"/>
              <w:spacing w:before="0" w:after="283"/>
              <w:jc w:val="left"/>
              <w:rPr/>
            </w:pPr>
            <w:r>
              <w:rPr/>
              <w:t> </w:t>
            </w:r>
          </w:p>
        </w:tc>
        <w:tc>
          <w:tcPr>
            <w:tcW w:w="8480" w:type="dxa"/>
            <w:tcBorders/>
            <w:vAlign w:val="bottom"/>
          </w:tcPr>
          <w:p>
            <w:pPr>
              <w:pStyle w:val="TableContents"/>
              <w:bidi w:val="0"/>
              <w:spacing w:before="0" w:after="283"/>
              <w:jc w:val="left"/>
              <w:rPr/>
            </w:pPr>
            <w:r>
              <w:rPr/>
              <w:t>Requests for Borrowings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54</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2.04</w:t>
            </w:r>
          </w:p>
        </w:tc>
        <w:tc>
          <w:tcPr>
            <w:tcW w:w="60" w:type="dxa"/>
            <w:tcBorders/>
            <w:vAlign w:val="bottom"/>
          </w:tcPr>
          <w:p>
            <w:pPr>
              <w:pStyle w:val="TableContents"/>
              <w:bidi w:val="0"/>
              <w:spacing w:before="0" w:after="283"/>
              <w:jc w:val="left"/>
              <w:rPr/>
            </w:pPr>
            <w:r>
              <w:rPr/>
              <w:t> </w:t>
            </w:r>
          </w:p>
        </w:tc>
        <w:tc>
          <w:tcPr>
            <w:tcW w:w="8480" w:type="dxa"/>
            <w:tcBorders/>
            <w:vAlign w:val="bottom"/>
          </w:tcPr>
          <w:p>
            <w:pPr>
              <w:pStyle w:val="TableContents"/>
              <w:bidi w:val="0"/>
              <w:spacing w:before="0" w:after="283"/>
              <w:jc w:val="left"/>
              <w:rPr/>
            </w:pPr>
            <w:r>
              <w:rPr/>
              <w:t>Swingline Loans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55</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2.05</w:t>
            </w:r>
          </w:p>
        </w:tc>
        <w:tc>
          <w:tcPr>
            <w:tcW w:w="60" w:type="dxa"/>
            <w:tcBorders/>
            <w:vAlign w:val="bottom"/>
          </w:tcPr>
          <w:p>
            <w:pPr>
              <w:pStyle w:val="TableContents"/>
              <w:bidi w:val="0"/>
              <w:spacing w:before="0" w:after="283"/>
              <w:jc w:val="left"/>
              <w:rPr/>
            </w:pPr>
            <w:r>
              <w:rPr/>
              <w:t> </w:t>
            </w:r>
          </w:p>
        </w:tc>
        <w:tc>
          <w:tcPr>
            <w:tcW w:w="8480" w:type="dxa"/>
            <w:tcBorders/>
            <w:vAlign w:val="bottom"/>
          </w:tcPr>
          <w:p>
            <w:pPr>
              <w:pStyle w:val="TableContents"/>
              <w:bidi w:val="0"/>
              <w:spacing w:before="0" w:after="283"/>
              <w:jc w:val="left"/>
              <w:rPr/>
            </w:pPr>
            <w:r>
              <w:rPr/>
              <w:t>Letters of Credit</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56</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2.06</w:t>
            </w:r>
          </w:p>
        </w:tc>
        <w:tc>
          <w:tcPr>
            <w:tcW w:w="60" w:type="dxa"/>
            <w:tcBorders/>
            <w:vAlign w:val="bottom"/>
          </w:tcPr>
          <w:p>
            <w:pPr>
              <w:pStyle w:val="TableContents"/>
              <w:bidi w:val="0"/>
              <w:spacing w:before="0" w:after="283"/>
              <w:jc w:val="left"/>
              <w:rPr/>
            </w:pPr>
            <w:r>
              <w:rPr/>
              <w:t> </w:t>
            </w:r>
          </w:p>
        </w:tc>
        <w:tc>
          <w:tcPr>
            <w:tcW w:w="8480" w:type="dxa"/>
            <w:tcBorders/>
            <w:vAlign w:val="bottom"/>
          </w:tcPr>
          <w:p>
            <w:pPr>
              <w:pStyle w:val="TableContents"/>
              <w:bidi w:val="0"/>
              <w:spacing w:before="0" w:after="283"/>
              <w:jc w:val="left"/>
              <w:rPr/>
            </w:pPr>
            <w:r>
              <w:rPr/>
              <w:t>Funding of Borrowings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63</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2.07</w:t>
            </w:r>
          </w:p>
        </w:tc>
        <w:tc>
          <w:tcPr>
            <w:tcW w:w="60" w:type="dxa"/>
            <w:tcBorders/>
            <w:vAlign w:val="bottom"/>
          </w:tcPr>
          <w:p>
            <w:pPr>
              <w:pStyle w:val="TableContents"/>
              <w:bidi w:val="0"/>
              <w:spacing w:before="0" w:after="283"/>
              <w:jc w:val="left"/>
              <w:rPr/>
            </w:pPr>
            <w:r>
              <w:rPr/>
              <w:t> </w:t>
            </w:r>
          </w:p>
        </w:tc>
        <w:tc>
          <w:tcPr>
            <w:tcW w:w="8480" w:type="dxa"/>
            <w:tcBorders/>
            <w:vAlign w:val="bottom"/>
          </w:tcPr>
          <w:p>
            <w:pPr>
              <w:pStyle w:val="TableContents"/>
              <w:bidi w:val="0"/>
              <w:spacing w:before="0" w:after="283"/>
              <w:jc w:val="left"/>
              <w:rPr/>
            </w:pPr>
            <w:r>
              <w:rPr/>
              <w:t>Interest Elections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64</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2.08</w:t>
            </w:r>
          </w:p>
        </w:tc>
        <w:tc>
          <w:tcPr>
            <w:tcW w:w="60" w:type="dxa"/>
            <w:tcBorders/>
            <w:vAlign w:val="bottom"/>
          </w:tcPr>
          <w:p>
            <w:pPr>
              <w:pStyle w:val="TableContents"/>
              <w:bidi w:val="0"/>
              <w:spacing w:before="0" w:after="283"/>
              <w:jc w:val="left"/>
              <w:rPr/>
            </w:pPr>
            <w:r>
              <w:rPr/>
              <w:t> </w:t>
            </w:r>
          </w:p>
        </w:tc>
        <w:tc>
          <w:tcPr>
            <w:tcW w:w="8480" w:type="dxa"/>
            <w:tcBorders/>
            <w:vAlign w:val="bottom"/>
          </w:tcPr>
          <w:p>
            <w:pPr>
              <w:pStyle w:val="TableContents"/>
              <w:bidi w:val="0"/>
              <w:spacing w:before="0" w:after="283"/>
              <w:jc w:val="left"/>
              <w:rPr/>
            </w:pPr>
            <w:r>
              <w:rPr/>
              <w:t>Termination and Reduction of Commitments; Increase of Revolving Credit Commitments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65</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2.09</w:t>
            </w:r>
          </w:p>
        </w:tc>
        <w:tc>
          <w:tcPr>
            <w:tcW w:w="60" w:type="dxa"/>
            <w:tcBorders/>
            <w:vAlign w:val="bottom"/>
          </w:tcPr>
          <w:p>
            <w:pPr>
              <w:pStyle w:val="TableContents"/>
              <w:bidi w:val="0"/>
              <w:spacing w:before="0" w:after="283"/>
              <w:jc w:val="left"/>
              <w:rPr/>
            </w:pPr>
            <w:r>
              <w:rPr/>
              <w:t> </w:t>
            </w:r>
          </w:p>
        </w:tc>
        <w:tc>
          <w:tcPr>
            <w:tcW w:w="8480" w:type="dxa"/>
            <w:tcBorders/>
            <w:vAlign w:val="bottom"/>
          </w:tcPr>
          <w:p>
            <w:pPr>
              <w:pStyle w:val="TableContents"/>
              <w:bidi w:val="0"/>
              <w:spacing w:before="0" w:after="283"/>
              <w:jc w:val="left"/>
              <w:rPr/>
            </w:pPr>
            <w:r>
              <w:rPr/>
              <w:t>Repayment of Loans; Evidence of Debt</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68</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2.10</w:t>
            </w:r>
          </w:p>
        </w:tc>
        <w:tc>
          <w:tcPr>
            <w:tcW w:w="60" w:type="dxa"/>
            <w:tcBorders/>
            <w:vAlign w:val="bottom"/>
          </w:tcPr>
          <w:p>
            <w:pPr>
              <w:pStyle w:val="TableContents"/>
              <w:bidi w:val="0"/>
              <w:spacing w:before="0" w:after="283"/>
              <w:jc w:val="left"/>
              <w:rPr/>
            </w:pPr>
            <w:r>
              <w:rPr/>
              <w:t> </w:t>
            </w:r>
          </w:p>
        </w:tc>
        <w:tc>
          <w:tcPr>
            <w:tcW w:w="8480" w:type="dxa"/>
            <w:tcBorders/>
            <w:vAlign w:val="bottom"/>
          </w:tcPr>
          <w:p>
            <w:pPr>
              <w:pStyle w:val="TableContents"/>
              <w:bidi w:val="0"/>
              <w:spacing w:before="0" w:after="283"/>
              <w:jc w:val="left"/>
              <w:rPr/>
            </w:pPr>
            <w:r>
              <w:rPr/>
              <w:t>Prepayment of Loans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69</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2.11</w:t>
            </w:r>
          </w:p>
        </w:tc>
        <w:tc>
          <w:tcPr>
            <w:tcW w:w="60" w:type="dxa"/>
            <w:tcBorders/>
            <w:vAlign w:val="bottom"/>
          </w:tcPr>
          <w:p>
            <w:pPr>
              <w:pStyle w:val="TableContents"/>
              <w:bidi w:val="0"/>
              <w:spacing w:before="0" w:after="283"/>
              <w:jc w:val="left"/>
              <w:rPr/>
            </w:pPr>
            <w:r>
              <w:rPr/>
              <w:t> </w:t>
            </w:r>
          </w:p>
        </w:tc>
        <w:tc>
          <w:tcPr>
            <w:tcW w:w="8480" w:type="dxa"/>
            <w:tcBorders/>
            <w:vAlign w:val="bottom"/>
          </w:tcPr>
          <w:p>
            <w:pPr>
              <w:pStyle w:val="TableContents"/>
              <w:bidi w:val="0"/>
              <w:spacing w:before="0" w:after="283"/>
              <w:jc w:val="left"/>
              <w:rPr/>
            </w:pPr>
            <w:r>
              <w:rPr/>
              <w:t>Fees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73</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2.12</w:t>
            </w:r>
          </w:p>
        </w:tc>
        <w:tc>
          <w:tcPr>
            <w:tcW w:w="60" w:type="dxa"/>
            <w:tcBorders/>
            <w:vAlign w:val="bottom"/>
          </w:tcPr>
          <w:p>
            <w:pPr>
              <w:pStyle w:val="TableContents"/>
              <w:bidi w:val="0"/>
              <w:spacing w:before="0" w:after="283"/>
              <w:jc w:val="left"/>
              <w:rPr/>
            </w:pPr>
            <w:r>
              <w:rPr/>
              <w:t> </w:t>
            </w:r>
          </w:p>
        </w:tc>
        <w:tc>
          <w:tcPr>
            <w:tcW w:w="8480" w:type="dxa"/>
            <w:tcBorders/>
            <w:vAlign w:val="bottom"/>
          </w:tcPr>
          <w:p>
            <w:pPr>
              <w:pStyle w:val="TableContents"/>
              <w:bidi w:val="0"/>
              <w:spacing w:before="0" w:after="283"/>
              <w:jc w:val="left"/>
              <w:rPr/>
            </w:pPr>
            <w:r>
              <w:rPr/>
              <w:t>Interest</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74</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2.13</w:t>
            </w:r>
          </w:p>
        </w:tc>
        <w:tc>
          <w:tcPr>
            <w:tcW w:w="60" w:type="dxa"/>
            <w:tcBorders/>
            <w:vAlign w:val="bottom"/>
          </w:tcPr>
          <w:p>
            <w:pPr>
              <w:pStyle w:val="TableContents"/>
              <w:bidi w:val="0"/>
              <w:spacing w:before="0" w:after="283"/>
              <w:jc w:val="left"/>
              <w:rPr/>
            </w:pPr>
            <w:r>
              <w:rPr/>
              <w:t> </w:t>
            </w:r>
          </w:p>
        </w:tc>
        <w:tc>
          <w:tcPr>
            <w:tcW w:w="8480" w:type="dxa"/>
            <w:tcBorders/>
            <w:vAlign w:val="bottom"/>
          </w:tcPr>
          <w:p>
            <w:pPr>
              <w:pStyle w:val="TableContents"/>
              <w:bidi w:val="0"/>
              <w:spacing w:before="0" w:after="283"/>
              <w:jc w:val="left"/>
              <w:rPr/>
            </w:pPr>
            <w:r>
              <w:rPr/>
              <w:t>Increased Costs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77</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2.14</w:t>
            </w:r>
          </w:p>
        </w:tc>
        <w:tc>
          <w:tcPr>
            <w:tcW w:w="60" w:type="dxa"/>
            <w:tcBorders/>
            <w:vAlign w:val="bottom"/>
          </w:tcPr>
          <w:p>
            <w:pPr>
              <w:pStyle w:val="TableContents"/>
              <w:bidi w:val="0"/>
              <w:spacing w:before="0" w:after="283"/>
              <w:jc w:val="left"/>
              <w:rPr/>
            </w:pPr>
            <w:r>
              <w:rPr/>
              <w:t> </w:t>
            </w:r>
          </w:p>
        </w:tc>
        <w:tc>
          <w:tcPr>
            <w:tcW w:w="8480" w:type="dxa"/>
            <w:tcBorders/>
            <w:vAlign w:val="bottom"/>
          </w:tcPr>
          <w:p>
            <w:pPr>
              <w:pStyle w:val="TableContents"/>
              <w:bidi w:val="0"/>
              <w:spacing w:before="0" w:after="283"/>
              <w:jc w:val="left"/>
              <w:rPr/>
            </w:pPr>
            <w:r>
              <w:rPr/>
              <w:t>Break Funding Payments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78</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2.15</w:t>
            </w:r>
          </w:p>
        </w:tc>
        <w:tc>
          <w:tcPr>
            <w:tcW w:w="60" w:type="dxa"/>
            <w:tcBorders/>
            <w:vAlign w:val="bottom"/>
          </w:tcPr>
          <w:p>
            <w:pPr>
              <w:pStyle w:val="TableContents"/>
              <w:bidi w:val="0"/>
              <w:spacing w:before="0" w:after="283"/>
              <w:jc w:val="left"/>
              <w:rPr/>
            </w:pPr>
            <w:r>
              <w:rPr/>
              <w:t> </w:t>
            </w:r>
          </w:p>
        </w:tc>
        <w:tc>
          <w:tcPr>
            <w:tcW w:w="8480" w:type="dxa"/>
            <w:tcBorders/>
            <w:vAlign w:val="bottom"/>
          </w:tcPr>
          <w:p>
            <w:pPr>
              <w:pStyle w:val="TableContents"/>
              <w:bidi w:val="0"/>
              <w:spacing w:before="0" w:after="283"/>
              <w:jc w:val="left"/>
              <w:rPr/>
            </w:pPr>
            <w:r>
              <w:rPr/>
              <w:t>Taxes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78</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2.16</w:t>
            </w:r>
          </w:p>
        </w:tc>
        <w:tc>
          <w:tcPr>
            <w:tcW w:w="60" w:type="dxa"/>
            <w:tcBorders/>
            <w:vAlign w:val="bottom"/>
          </w:tcPr>
          <w:p>
            <w:pPr>
              <w:pStyle w:val="TableContents"/>
              <w:bidi w:val="0"/>
              <w:spacing w:before="0" w:after="283"/>
              <w:jc w:val="left"/>
              <w:rPr/>
            </w:pPr>
            <w:r>
              <w:rPr/>
              <w:t> </w:t>
            </w:r>
          </w:p>
        </w:tc>
        <w:tc>
          <w:tcPr>
            <w:tcW w:w="8480" w:type="dxa"/>
            <w:tcBorders/>
            <w:vAlign w:val="bottom"/>
          </w:tcPr>
          <w:p>
            <w:pPr>
              <w:pStyle w:val="TableContents"/>
              <w:bidi w:val="0"/>
              <w:spacing w:before="0" w:after="283"/>
              <w:jc w:val="left"/>
              <w:rPr/>
            </w:pPr>
            <w:r>
              <w:rPr/>
              <w:t>Payments Generally; Pro Rata Treatment; Sharing of Setoffs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82</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2.17</w:t>
            </w:r>
          </w:p>
        </w:tc>
        <w:tc>
          <w:tcPr>
            <w:tcW w:w="60" w:type="dxa"/>
            <w:tcBorders/>
            <w:vAlign w:val="bottom"/>
          </w:tcPr>
          <w:p>
            <w:pPr>
              <w:pStyle w:val="TableContents"/>
              <w:bidi w:val="0"/>
              <w:spacing w:before="0" w:after="283"/>
              <w:jc w:val="left"/>
              <w:rPr/>
            </w:pPr>
            <w:r>
              <w:rPr/>
              <w:t> </w:t>
            </w:r>
          </w:p>
        </w:tc>
        <w:tc>
          <w:tcPr>
            <w:tcW w:w="8480" w:type="dxa"/>
            <w:tcBorders/>
            <w:vAlign w:val="bottom"/>
          </w:tcPr>
          <w:p>
            <w:pPr>
              <w:pStyle w:val="TableContents"/>
              <w:bidi w:val="0"/>
              <w:spacing w:before="0" w:after="283"/>
              <w:jc w:val="left"/>
              <w:rPr/>
            </w:pPr>
            <w:r>
              <w:rPr/>
              <w:t>Mitigation Obligations; Replacement of Lenders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84</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2.18</w:t>
            </w:r>
          </w:p>
        </w:tc>
        <w:tc>
          <w:tcPr>
            <w:tcW w:w="60" w:type="dxa"/>
            <w:tcBorders/>
            <w:vAlign w:val="bottom"/>
          </w:tcPr>
          <w:p>
            <w:pPr>
              <w:pStyle w:val="TableContents"/>
              <w:bidi w:val="0"/>
              <w:spacing w:before="0" w:after="283"/>
              <w:jc w:val="left"/>
              <w:rPr/>
            </w:pPr>
            <w:r>
              <w:rPr/>
              <w:t> </w:t>
            </w:r>
          </w:p>
        </w:tc>
        <w:tc>
          <w:tcPr>
            <w:tcW w:w="8480" w:type="dxa"/>
            <w:tcBorders/>
            <w:vAlign w:val="bottom"/>
          </w:tcPr>
          <w:p>
            <w:pPr>
              <w:pStyle w:val="TableContents"/>
              <w:bidi w:val="0"/>
              <w:spacing w:before="0" w:after="283"/>
              <w:jc w:val="left"/>
              <w:rPr/>
            </w:pPr>
            <w:r>
              <w:rPr/>
              <w:t>Defaulting Lenders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86</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2.19</w:t>
            </w:r>
          </w:p>
        </w:tc>
        <w:tc>
          <w:tcPr>
            <w:tcW w:w="60" w:type="dxa"/>
            <w:tcBorders/>
            <w:vAlign w:val="bottom"/>
          </w:tcPr>
          <w:p>
            <w:pPr>
              <w:pStyle w:val="TableContents"/>
              <w:bidi w:val="0"/>
              <w:spacing w:before="0" w:after="283"/>
              <w:jc w:val="left"/>
              <w:rPr/>
            </w:pPr>
            <w:r>
              <w:rPr/>
              <w:t> </w:t>
            </w:r>
          </w:p>
        </w:tc>
        <w:tc>
          <w:tcPr>
            <w:tcW w:w="8480" w:type="dxa"/>
            <w:tcBorders/>
            <w:vAlign w:val="bottom"/>
          </w:tcPr>
          <w:p>
            <w:pPr>
              <w:pStyle w:val="TableContents"/>
              <w:bidi w:val="0"/>
              <w:spacing w:before="0" w:after="283"/>
              <w:jc w:val="left"/>
              <w:rPr/>
            </w:pPr>
            <w:r>
              <w:rPr/>
              <w:t>Illegality</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88</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center"/>
        <w:rPr>
          <w:rFonts w:ascii="Times New Roman" w:hAnsi="Times New Roman"/>
          <w:sz w:val="20"/>
        </w:rPr>
      </w:pPr>
      <w:r>
        <w:rPr>
          <w:rFonts w:ascii="Times New Roman" w:hAnsi="Times New Roman"/>
          <w:sz w:val="20"/>
        </w:rPr>
        <w:t xml:space="preserve">(continued)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323"/>
        <w:gridCol w:w="78"/>
        <w:gridCol w:w="8095"/>
        <w:gridCol w:w="131"/>
        <w:gridCol w:w="70"/>
        <w:gridCol w:w="445"/>
        <w:gridCol w:w="63"/>
      </w:tblGrid>
      <w:tr>
        <w:trPr/>
        <w:tc>
          <w:tcPr>
            <w:tcW w:w="1323" w:type="dxa"/>
            <w:tcBorders/>
            <w:vAlign w:val="center"/>
          </w:tcPr>
          <w:p>
            <w:pPr>
              <w:pStyle w:val="TableContents"/>
              <w:bidi w:val="0"/>
              <w:spacing w:before="0" w:after="283"/>
              <w:jc w:val="left"/>
              <w:rPr>
                <w:sz w:val="4"/>
                <w:szCs w:val="4"/>
              </w:rPr>
            </w:pPr>
            <w:r>
              <w:rPr>
                <w:sz w:val="4"/>
                <w:szCs w:val="4"/>
              </w:rPr>
            </w:r>
          </w:p>
        </w:tc>
        <w:tc>
          <w:tcPr>
            <w:tcW w:w="78" w:type="dxa"/>
            <w:tcBorders/>
            <w:vAlign w:val="bottom"/>
          </w:tcPr>
          <w:p>
            <w:pPr>
              <w:pStyle w:val="TableContents"/>
              <w:bidi w:val="0"/>
              <w:spacing w:before="0" w:after="283"/>
              <w:jc w:val="left"/>
              <w:rPr>
                <w:sz w:val="4"/>
                <w:szCs w:val="4"/>
              </w:rPr>
            </w:pPr>
            <w:r>
              <w:rPr>
                <w:sz w:val="4"/>
                <w:szCs w:val="4"/>
              </w:rPr>
            </w:r>
          </w:p>
        </w:tc>
        <w:tc>
          <w:tcPr>
            <w:tcW w:w="8095"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323"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809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515" w:type="dxa"/>
            <w:gridSpan w:val="2"/>
            <w:tcBorders/>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rHeight w:val="120" w:hRule="atLeast"/>
        </w:trPr>
        <w:tc>
          <w:tcPr>
            <w:tcW w:w="1323" w:type="dxa"/>
            <w:tcBorders/>
            <w:vAlign w:val="center"/>
          </w:tcPr>
          <w:p>
            <w:pPr>
              <w:pStyle w:val="TableContents"/>
              <w:bidi w:val="0"/>
              <w:spacing w:before="0" w:after="283"/>
              <w:jc w:val="left"/>
              <w:rPr>
                <w:sz w:val="4"/>
                <w:szCs w:val="4"/>
              </w:rPr>
            </w:pPr>
            <w:r>
              <w:rPr>
                <w:sz w:val="4"/>
                <w:szCs w:val="4"/>
              </w:rPr>
            </w:r>
          </w:p>
        </w:tc>
        <w:tc>
          <w:tcPr>
            <w:tcW w:w="8173" w:type="dxa"/>
            <w:gridSpan w:val="2"/>
            <w:tcBorders/>
            <w:vAlign w:val="center"/>
          </w:tcPr>
          <w:p>
            <w:pPr>
              <w:pStyle w:val="TableContents"/>
              <w:bidi w:val="0"/>
              <w:spacing w:before="0" w:after="283"/>
              <w:jc w:val="left"/>
              <w:rPr>
                <w:sz w:val="4"/>
                <w:szCs w:val="4"/>
              </w:rPr>
            </w:pPr>
            <w:r>
              <w:rPr>
                <w:sz w:val="4"/>
                <w:szCs w:val="4"/>
              </w:rPr>
            </w:r>
          </w:p>
        </w:tc>
        <w:tc>
          <w:tcPr>
            <w:tcW w:w="709" w:type="dxa"/>
            <w:gridSpan w:val="4"/>
            <w:tcBorders/>
            <w:vAlign w:val="center"/>
          </w:tcPr>
          <w:p>
            <w:pPr>
              <w:pStyle w:val="TableContents"/>
              <w:bidi w:val="0"/>
              <w:spacing w:before="0" w:after="283"/>
              <w:jc w:val="left"/>
              <w:rPr>
                <w:sz w:val="4"/>
                <w:szCs w:val="4"/>
              </w:rPr>
            </w:pPr>
            <w:r>
              <w:rPr>
                <w:sz w:val="4"/>
                <w:szCs w:val="4"/>
              </w:rPr>
            </w:r>
          </w:p>
        </w:tc>
      </w:tr>
      <w:tr>
        <w:trPr/>
        <w:tc>
          <w:tcPr>
            <w:tcW w:w="1323" w:type="dxa"/>
            <w:tcBorders/>
          </w:tcPr>
          <w:p>
            <w:pPr>
              <w:pStyle w:val="TableContents"/>
              <w:bidi w:val="0"/>
              <w:spacing w:before="0" w:after="0"/>
              <w:jc w:val="left"/>
              <w:rPr>
                <w:rFonts w:ascii="Times New Roman" w:hAnsi="Times New Roman"/>
                <w:sz w:val="20"/>
              </w:rPr>
            </w:pPr>
            <w:r>
              <w:rPr>
                <w:rFonts w:ascii="Times New Roman" w:hAnsi="Times New Roman"/>
                <w:sz w:val="20"/>
              </w:rPr>
              <w:t>Section 2.20</w:t>
            </w:r>
          </w:p>
        </w:tc>
        <w:tc>
          <w:tcPr>
            <w:tcW w:w="78" w:type="dxa"/>
            <w:tcBorders/>
            <w:vAlign w:val="bottom"/>
          </w:tcPr>
          <w:p>
            <w:pPr>
              <w:pStyle w:val="TableContents"/>
              <w:bidi w:val="0"/>
              <w:spacing w:before="0" w:after="283"/>
              <w:jc w:val="left"/>
              <w:rPr/>
            </w:pPr>
            <w:r>
              <w:rPr/>
              <w:t> </w:t>
            </w:r>
          </w:p>
        </w:tc>
        <w:tc>
          <w:tcPr>
            <w:tcW w:w="8095" w:type="dxa"/>
            <w:tcBorders/>
            <w:vAlign w:val="bottom"/>
          </w:tcPr>
          <w:p>
            <w:pPr>
              <w:pStyle w:val="TableContents"/>
              <w:bidi w:val="0"/>
              <w:spacing w:before="0" w:after="283"/>
              <w:jc w:val="left"/>
              <w:rPr/>
            </w:pPr>
            <w:r>
              <w:rPr/>
              <w:t>GEO as Borrowers’ Representative</w:t>
            </w:r>
          </w:p>
        </w:tc>
        <w:tc>
          <w:tcPr>
            <w:tcW w:w="13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89</w:t>
            </w:r>
          </w:p>
        </w:tc>
        <w:tc>
          <w:tcPr>
            <w:tcW w:w="63" w:type="dxa"/>
            <w:tcBorders/>
            <w:vAlign w:val="bottom"/>
          </w:tcPr>
          <w:p>
            <w:pPr>
              <w:pStyle w:val="TableContents"/>
              <w:bidi w:val="0"/>
              <w:spacing w:before="0" w:after="283"/>
              <w:jc w:val="left"/>
              <w:rPr/>
            </w:pPr>
            <w:r>
              <w:rPr/>
              <w:t> </w:t>
            </w:r>
          </w:p>
        </w:tc>
      </w:tr>
      <w:tr>
        <w:trPr/>
        <w:tc>
          <w:tcPr>
            <w:tcW w:w="1323" w:type="dxa"/>
            <w:tcBorders/>
          </w:tcPr>
          <w:p>
            <w:pPr>
              <w:pStyle w:val="TableContents"/>
              <w:bidi w:val="0"/>
              <w:spacing w:before="0" w:after="0"/>
              <w:jc w:val="left"/>
              <w:rPr>
                <w:rFonts w:ascii="Times New Roman" w:hAnsi="Times New Roman"/>
                <w:sz w:val="20"/>
              </w:rPr>
            </w:pPr>
            <w:r>
              <w:rPr>
                <w:rFonts w:ascii="Times New Roman" w:hAnsi="Times New Roman"/>
                <w:sz w:val="20"/>
              </w:rPr>
              <w:t>Section 2.21</w:t>
            </w:r>
          </w:p>
        </w:tc>
        <w:tc>
          <w:tcPr>
            <w:tcW w:w="78" w:type="dxa"/>
            <w:tcBorders/>
            <w:vAlign w:val="bottom"/>
          </w:tcPr>
          <w:p>
            <w:pPr>
              <w:pStyle w:val="TableContents"/>
              <w:bidi w:val="0"/>
              <w:spacing w:before="0" w:after="283"/>
              <w:jc w:val="left"/>
              <w:rPr/>
            </w:pPr>
            <w:r>
              <w:rPr/>
              <w:t> </w:t>
            </w:r>
          </w:p>
        </w:tc>
        <w:tc>
          <w:tcPr>
            <w:tcW w:w="8095" w:type="dxa"/>
            <w:tcBorders/>
            <w:vAlign w:val="bottom"/>
          </w:tcPr>
          <w:p>
            <w:pPr>
              <w:pStyle w:val="TableContents"/>
              <w:bidi w:val="0"/>
              <w:spacing w:before="0" w:after="283"/>
              <w:jc w:val="left"/>
              <w:rPr/>
            </w:pPr>
            <w:r>
              <w:rPr/>
              <w:t>Joint and Several Obligations</w:t>
            </w:r>
          </w:p>
        </w:tc>
        <w:tc>
          <w:tcPr>
            <w:tcW w:w="13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89</w:t>
            </w:r>
          </w:p>
        </w:tc>
        <w:tc>
          <w:tcPr>
            <w:tcW w:w="63" w:type="dxa"/>
            <w:tcBorders/>
            <w:vAlign w:val="bottom"/>
          </w:tcPr>
          <w:p>
            <w:pPr>
              <w:pStyle w:val="TableContents"/>
              <w:bidi w:val="0"/>
              <w:spacing w:before="0" w:after="283"/>
              <w:jc w:val="left"/>
              <w:rPr/>
            </w:pPr>
            <w:r>
              <w:rPr/>
              <w:t> </w:t>
            </w:r>
          </w:p>
        </w:tc>
      </w:tr>
      <w:tr>
        <w:trPr/>
        <w:tc>
          <w:tcPr>
            <w:tcW w:w="1323" w:type="dxa"/>
            <w:tcBorders/>
          </w:tcPr>
          <w:p>
            <w:pPr>
              <w:pStyle w:val="TableContents"/>
              <w:bidi w:val="0"/>
              <w:spacing w:before="0" w:after="0"/>
              <w:jc w:val="left"/>
              <w:rPr>
                <w:rFonts w:ascii="Times New Roman" w:hAnsi="Times New Roman"/>
                <w:sz w:val="20"/>
              </w:rPr>
            </w:pPr>
            <w:r>
              <w:rPr>
                <w:rFonts w:ascii="Times New Roman" w:hAnsi="Times New Roman"/>
                <w:sz w:val="20"/>
              </w:rPr>
              <w:t>Section 2.22</w:t>
            </w:r>
          </w:p>
        </w:tc>
        <w:tc>
          <w:tcPr>
            <w:tcW w:w="78" w:type="dxa"/>
            <w:tcBorders/>
            <w:vAlign w:val="bottom"/>
          </w:tcPr>
          <w:p>
            <w:pPr>
              <w:pStyle w:val="TableContents"/>
              <w:bidi w:val="0"/>
              <w:spacing w:before="0" w:after="283"/>
              <w:jc w:val="left"/>
              <w:rPr/>
            </w:pPr>
            <w:r>
              <w:rPr/>
              <w:t> </w:t>
            </w:r>
          </w:p>
        </w:tc>
        <w:tc>
          <w:tcPr>
            <w:tcW w:w="8095" w:type="dxa"/>
            <w:tcBorders/>
            <w:vAlign w:val="bottom"/>
          </w:tcPr>
          <w:p>
            <w:pPr>
              <w:pStyle w:val="TableContents"/>
              <w:bidi w:val="0"/>
              <w:spacing w:before="0" w:after="283"/>
              <w:jc w:val="left"/>
              <w:rPr/>
            </w:pPr>
            <w:r>
              <w:rPr/>
              <w:t>Refinancing Facilities</w:t>
            </w:r>
          </w:p>
        </w:tc>
        <w:tc>
          <w:tcPr>
            <w:tcW w:w="13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91</w:t>
            </w:r>
          </w:p>
        </w:tc>
        <w:tc>
          <w:tcPr>
            <w:tcW w:w="63" w:type="dxa"/>
            <w:tcBorders/>
            <w:vAlign w:val="bottom"/>
          </w:tcPr>
          <w:p>
            <w:pPr>
              <w:pStyle w:val="TableContents"/>
              <w:bidi w:val="0"/>
              <w:spacing w:before="0" w:after="283"/>
              <w:jc w:val="left"/>
              <w:rPr/>
            </w:pPr>
            <w:r>
              <w:rPr/>
              <w:t> </w:t>
            </w:r>
          </w:p>
        </w:tc>
      </w:tr>
      <w:tr>
        <w:trPr/>
        <w:tc>
          <w:tcPr>
            <w:tcW w:w="1323" w:type="dxa"/>
            <w:tcBorders/>
          </w:tcPr>
          <w:p>
            <w:pPr>
              <w:pStyle w:val="TableContents"/>
              <w:bidi w:val="0"/>
              <w:spacing w:before="0" w:after="0"/>
              <w:jc w:val="left"/>
              <w:rPr>
                <w:rFonts w:ascii="Times New Roman" w:hAnsi="Times New Roman"/>
                <w:sz w:val="20"/>
              </w:rPr>
            </w:pPr>
            <w:r>
              <w:rPr>
                <w:rFonts w:ascii="Times New Roman" w:hAnsi="Times New Roman"/>
                <w:sz w:val="20"/>
              </w:rPr>
              <w:t>Section 2.23</w:t>
            </w:r>
          </w:p>
        </w:tc>
        <w:tc>
          <w:tcPr>
            <w:tcW w:w="78" w:type="dxa"/>
            <w:tcBorders/>
            <w:vAlign w:val="bottom"/>
          </w:tcPr>
          <w:p>
            <w:pPr>
              <w:pStyle w:val="TableContents"/>
              <w:bidi w:val="0"/>
              <w:spacing w:before="0" w:after="283"/>
              <w:jc w:val="left"/>
              <w:rPr/>
            </w:pPr>
            <w:r>
              <w:rPr/>
              <w:t> </w:t>
            </w:r>
          </w:p>
        </w:tc>
        <w:tc>
          <w:tcPr>
            <w:tcW w:w="8095" w:type="dxa"/>
            <w:tcBorders/>
            <w:vAlign w:val="bottom"/>
          </w:tcPr>
          <w:p>
            <w:pPr>
              <w:pStyle w:val="TableContents"/>
              <w:bidi w:val="0"/>
              <w:spacing w:before="0" w:after="283"/>
              <w:jc w:val="left"/>
              <w:rPr/>
            </w:pPr>
            <w:r>
              <w:rPr/>
              <w:t>Cashless Settlement</w:t>
            </w:r>
          </w:p>
        </w:tc>
        <w:tc>
          <w:tcPr>
            <w:tcW w:w="13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94</w:t>
            </w:r>
          </w:p>
        </w:tc>
        <w:tc>
          <w:tcPr>
            <w:tcW w:w="63" w:type="dxa"/>
            <w:tcBorders/>
            <w:vAlign w:val="bottom"/>
          </w:tcPr>
          <w:p>
            <w:pPr>
              <w:pStyle w:val="TableContents"/>
              <w:bidi w:val="0"/>
              <w:spacing w:before="0" w:after="283"/>
              <w:jc w:val="left"/>
              <w:rPr/>
            </w:pPr>
            <w:r>
              <w:rPr/>
              <w:t> </w:t>
            </w:r>
          </w:p>
        </w:tc>
      </w:tr>
      <w:tr>
        <w:trPr/>
        <w:tc>
          <w:tcPr>
            <w:tcW w:w="1323" w:type="dxa"/>
            <w:tcBorders/>
          </w:tcPr>
          <w:p>
            <w:pPr>
              <w:pStyle w:val="TableContents"/>
              <w:bidi w:val="0"/>
              <w:spacing w:before="0" w:after="0"/>
              <w:jc w:val="left"/>
              <w:rPr>
                <w:rFonts w:ascii="Times New Roman" w:hAnsi="Times New Roman"/>
                <w:sz w:val="20"/>
              </w:rPr>
            </w:pPr>
            <w:r>
              <w:rPr>
                <w:rFonts w:ascii="Times New Roman" w:hAnsi="Times New Roman"/>
                <w:sz w:val="20"/>
              </w:rPr>
              <w:t>Section 2.24</w:t>
            </w:r>
          </w:p>
        </w:tc>
        <w:tc>
          <w:tcPr>
            <w:tcW w:w="78" w:type="dxa"/>
            <w:tcBorders/>
            <w:vAlign w:val="bottom"/>
          </w:tcPr>
          <w:p>
            <w:pPr>
              <w:pStyle w:val="TableContents"/>
              <w:bidi w:val="0"/>
              <w:spacing w:before="0" w:after="283"/>
              <w:jc w:val="left"/>
              <w:rPr/>
            </w:pPr>
            <w:r>
              <w:rPr/>
              <w:t> </w:t>
            </w:r>
          </w:p>
        </w:tc>
        <w:tc>
          <w:tcPr>
            <w:tcW w:w="8095" w:type="dxa"/>
            <w:tcBorders/>
            <w:vAlign w:val="bottom"/>
          </w:tcPr>
          <w:p>
            <w:pPr>
              <w:pStyle w:val="TableContents"/>
              <w:bidi w:val="0"/>
              <w:spacing w:before="0" w:after="283"/>
              <w:jc w:val="left"/>
              <w:rPr/>
            </w:pPr>
            <w:r>
              <w:rPr/>
              <w:t>Benchmark Replacement Setting</w:t>
            </w:r>
          </w:p>
        </w:tc>
        <w:tc>
          <w:tcPr>
            <w:tcW w:w="13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95</w:t>
            </w:r>
          </w:p>
        </w:tc>
        <w:tc>
          <w:tcPr>
            <w:tcW w:w="63" w:type="dxa"/>
            <w:tcBorders/>
            <w:vAlign w:val="bottom"/>
          </w:tcPr>
          <w:p>
            <w:pPr>
              <w:pStyle w:val="TableContents"/>
              <w:bidi w:val="0"/>
              <w:spacing w:before="0" w:after="283"/>
              <w:jc w:val="left"/>
              <w:rPr/>
            </w:pPr>
            <w:r>
              <w:rPr/>
              <w:t> </w:t>
            </w:r>
          </w:p>
        </w:tc>
      </w:tr>
      <w:tr>
        <w:trPr>
          <w:trHeight w:val="120" w:hRule="atLeast"/>
        </w:trPr>
        <w:tc>
          <w:tcPr>
            <w:tcW w:w="9496" w:type="dxa"/>
            <w:gridSpan w:val="3"/>
            <w:tcBorders/>
            <w:vAlign w:val="center"/>
          </w:tcPr>
          <w:p>
            <w:pPr>
              <w:pStyle w:val="TableContents"/>
              <w:bidi w:val="0"/>
              <w:spacing w:before="0" w:after="283"/>
              <w:jc w:val="left"/>
              <w:rPr>
                <w:sz w:val="4"/>
                <w:szCs w:val="4"/>
              </w:rPr>
            </w:pPr>
            <w:r>
              <w:rPr>
                <w:sz w:val="4"/>
                <w:szCs w:val="4"/>
              </w:rPr>
            </w:r>
          </w:p>
        </w:tc>
        <w:tc>
          <w:tcPr>
            <w:tcW w:w="709" w:type="dxa"/>
            <w:gridSpan w:val="4"/>
            <w:tcBorders/>
            <w:vAlign w:val="center"/>
          </w:tcPr>
          <w:p>
            <w:pPr>
              <w:pStyle w:val="TableContents"/>
              <w:bidi w:val="0"/>
              <w:spacing w:before="0" w:after="283"/>
              <w:jc w:val="left"/>
              <w:rPr>
                <w:sz w:val="4"/>
                <w:szCs w:val="4"/>
              </w:rPr>
            </w:pPr>
            <w:r>
              <w:rPr>
                <w:sz w:val="4"/>
                <w:szCs w:val="4"/>
              </w:rPr>
            </w:r>
          </w:p>
        </w:tc>
      </w:tr>
      <w:tr>
        <w:trPr/>
        <w:tc>
          <w:tcPr>
            <w:tcW w:w="9496"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III REPRESENTATIONS AND WARRANTIES</w:t>
            </w:r>
          </w:p>
        </w:tc>
        <w:tc>
          <w:tcPr>
            <w:tcW w:w="13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96</w:t>
            </w:r>
          </w:p>
        </w:tc>
        <w:tc>
          <w:tcPr>
            <w:tcW w:w="63" w:type="dxa"/>
            <w:tcBorders/>
            <w:vAlign w:val="bottom"/>
          </w:tcPr>
          <w:p>
            <w:pPr>
              <w:pStyle w:val="TableContents"/>
              <w:bidi w:val="0"/>
              <w:spacing w:before="0" w:after="283"/>
              <w:jc w:val="left"/>
              <w:rPr/>
            </w:pPr>
            <w:r>
              <w:rPr/>
              <w:t> </w:t>
            </w:r>
          </w:p>
        </w:tc>
      </w:tr>
      <w:tr>
        <w:trPr>
          <w:trHeight w:val="120" w:hRule="atLeast"/>
        </w:trPr>
        <w:tc>
          <w:tcPr>
            <w:tcW w:w="1323" w:type="dxa"/>
            <w:tcBorders/>
            <w:vAlign w:val="center"/>
          </w:tcPr>
          <w:p>
            <w:pPr>
              <w:pStyle w:val="TableContents"/>
              <w:bidi w:val="0"/>
              <w:spacing w:before="0" w:after="283"/>
              <w:jc w:val="left"/>
              <w:rPr>
                <w:sz w:val="4"/>
                <w:szCs w:val="4"/>
              </w:rPr>
            </w:pPr>
            <w:r>
              <w:rPr>
                <w:sz w:val="4"/>
                <w:szCs w:val="4"/>
              </w:rPr>
            </w:r>
          </w:p>
        </w:tc>
        <w:tc>
          <w:tcPr>
            <w:tcW w:w="8173" w:type="dxa"/>
            <w:gridSpan w:val="2"/>
            <w:tcBorders/>
            <w:vAlign w:val="center"/>
          </w:tcPr>
          <w:p>
            <w:pPr>
              <w:pStyle w:val="TableContents"/>
              <w:bidi w:val="0"/>
              <w:spacing w:before="0" w:after="283"/>
              <w:jc w:val="left"/>
              <w:rPr>
                <w:sz w:val="4"/>
                <w:szCs w:val="4"/>
              </w:rPr>
            </w:pPr>
            <w:r>
              <w:rPr>
                <w:sz w:val="4"/>
                <w:szCs w:val="4"/>
              </w:rPr>
            </w:r>
          </w:p>
        </w:tc>
        <w:tc>
          <w:tcPr>
            <w:tcW w:w="709" w:type="dxa"/>
            <w:gridSpan w:val="4"/>
            <w:tcBorders/>
            <w:vAlign w:val="center"/>
          </w:tcPr>
          <w:p>
            <w:pPr>
              <w:pStyle w:val="TableContents"/>
              <w:bidi w:val="0"/>
              <w:spacing w:before="0" w:after="283"/>
              <w:jc w:val="left"/>
              <w:rPr>
                <w:sz w:val="4"/>
                <w:szCs w:val="4"/>
              </w:rPr>
            </w:pPr>
            <w:r>
              <w:rPr>
                <w:sz w:val="4"/>
                <w:szCs w:val="4"/>
              </w:rPr>
            </w:r>
          </w:p>
        </w:tc>
      </w:tr>
      <w:tr>
        <w:trPr/>
        <w:tc>
          <w:tcPr>
            <w:tcW w:w="1323" w:type="dxa"/>
            <w:tcBorders/>
          </w:tcPr>
          <w:p>
            <w:pPr>
              <w:pStyle w:val="TableContents"/>
              <w:bidi w:val="0"/>
              <w:spacing w:before="0" w:after="0"/>
              <w:jc w:val="left"/>
              <w:rPr>
                <w:rFonts w:ascii="Times New Roman" w:hAnsi="Times New Roman"/>
                <w:sz w:val="20"/>
              </w:rPr>
            </w:pPr>
            <w:r>
              <w:rPr>
                <w:rFonts w:ascii="Times New Roman" w:hAnsi="Times New Roman"/>
                <w:sz w:val="20"/>
              </w:rPr>
              <w:t>Section 3.01</w:t>
            </w:r>
          </w:p>
        </w:tc>
        <w:tc>
          <w:tcPr>
            <w:tcW w:w="78" w:type="dxa"/>
            <w:tcBorders/>
            <w:vAlign w:val="bottom"/>
          </w:tcPr>
          <w:p>
            <w:pPr>
              <w:pStyle w:val="TableContents"/>
              <w:bidi w:val="0"/>
              <w:spacing w:before="0" w:after="283"/>
              <w:jc w:val="left"/>
              <w:rPr/>
            </w:pPr>
            <w:r>
              <w:rPr/>
              <w:t> </w:t>
            </w:r>
          </w:p>
        </w:tc>
        <w:tc>
          <w:tcPr>
            <w:tcW w:w="8095" w:type="dxa"/>
            <w:tcBorders/>
            <w:vAlign w:val="bottom"/>
          </w:tcPr>
          <w:p>
            <w:pPr>
              <w:pStyle w:val="TableContents"/>
              <w:bidi w:val="0"/>
              <w:spacing w:before="0" w:after="283"/>
              <w:jc w:val="left"/>
              <w:rPr/>
            </w:pPr>
            <w:r>
              <w:rPr/>
              <w:t>Organization; Powers and Qualifications</w:t>
            </w:r>
          </w:p>
        </w:tc>
        <w:tc>
          <w:tcPr>
            <w:tcW w:w="13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96</w:t>
            </w:r>
          </w:p>
        </w:tc>
        <w:tc>
          <w:tcPr>
            <w:tcW w:w="63" w:type="dxa"/>
            <w:tcBorders/>
            <w:vAlign w:val="bottom"/>
          </w:tcPr>
          <w:p>
            <w:pPr>
              <w:pStyle w:val="TableContents"/>
              <w:bidi w:val="0"/>
              <w:spacing w:before="0" w:after="283"/>
              <w:jc w:val="left"/>
              <w:rPr/>
            </w:pPr>
            <w:r>
              <w:rPr/>
              <w:t> </w:t>
            </w:r>
          </w:p>
        </w:tc>
      </w:tr>
      <w:tr>
        <w:trPr/>
        <w:tc>
          <w:tcPr>
            <w:tcW w:w="1323" w:type="dxa"/>
            <w:tcBorders/>
          </w:tcPr>
          <w:p>
            <w:pPr>
              <w:pStyle w:val="TableContents"/>
              <w:bidi w:val="0"/>
              <w:spacing w:before="0" w:after="0"/>
              <w:jc w:val="left"/>
              <w:rPr>
                <w:rFonts w:ascii="Times New Roman" w:hAnsi="Times New Roman"/>
                <w:sz w:val="20"/>
              </w:rPr>
            </w:pPr>
            <w:r>
              <w:rPr>
                <w:rFonts w:ascii="Times New Roman" w:hAnsi="Times New Roman"/>
                <w:sz w:val="20"/>
              </w:rPr>
              <w:t>Section 3.02</w:t>
            </w:r>
          </w:p>
        </w:tc>
        <w:tc>
          <w:tcPr>
            <w:tcW w:w="78" w:type="dxa"/>
            <w:tcBorders/>
            <w:vAlign w:val="bottom"/>
          </w:tcPr>
          <w:p>
            <w:pPr>
              <w:pStyle w:val="TableContents"/>
              <w:bidi w:val="0"/>
              <w:spacing w:before="0" w:after="283"/>
              <w:jc w:val="left"/>
              <w:rPr/>
            </w:pPr>
            <w:r>
              <w:rPr/>
              <w:t> </w:t>
            </w:r>
          </w:p>
        </w:tc>
        <w:tc>
          <w:tcPr>
            <w:tcW w:w="8095" w:type="dxa"/>
            <w:tcBorders/>
            <w:vAlign w:val="bottom"/>
          </w:tcPr>
          <w:p>
            <w:pPr>
              <w:pStyle w:val="TableContents"/>
              <w:bidi w:val="0"/>
              <w:spacing w:before="0" w:after="283"/>
              <w:jc w:val="left"/>
              <w:rPr/>
            </w:pPr>
            <w:r>
              <w:rPr/>
              <w:t>Authorization; Enforceability</w:t>
            </w:r>
          </w:p>
        </w:tc>
        <w:tc>
          <w:tcPr>
            <w:tcW w:w="13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97</w:t>
            </w:r>
          </w:p>
        </w:tc>
        <w:tc>
          <w:tcPr>
            <w:tcW w:w="63" w:type="dxa"/>
            <w:tcBorders/>
            <w:vAlign w:val="bottom"/>
          </w:tcPr>
          <w:p>
            <w:pPr>
              <w:pStyle w:val="TableContents"/>
              <w:bidi w:val="0"/>
              <w:spacing w:before="0" w:after="283"/>
              <w:jc w:val="left"/>
              <w:rPr/>
            </w:pPr>
            <w:r>
              <w:rPr/>
              <w:t> </w:t>
            </w:r>
          </w:p>
        </w:tc>
      </w:tr>
      <w:tr>
        <w:trPr/>
        <w:tc>
          <w:tcPr>
            <w:tcW w:w="1323" w:type="dxa"/>
            <w:tcBorders/>
          </w:tcPr>
          <w:p>
            <w:pPr>
              <w:pStyle w:val="TableContents"/>
              <w:bidi w:val="0"/>
              <w:spacing w:before="0" w:after="0"/>
              <w:jc w:val="left"/>
              <w:rPr>
                <w:rFonts w:ascii="Times New Roman" w:hAnsi="Times New Roman"/>
                <w:sz w:val="20"/>
              </w:rPr>
            </w:pPr>
            <w:r>
              <w:rPr>
                <w:rFonts w:ascii="Times New Roman" w:hAnsi="Times New Roman"/>
                <w:sz w:val="20"/>
              </w:rPr>
              <w:t>Section 3.03</w:t>
            </w:r>
          </w:p>
        </w:tc>
        <w:tc>
          <w:tcPr>
            <w:tcW w:w="78" w:type="dxa"/>
            <w:tcBorders/>
            <w:vAlign w:val="bottom"/>
          </w:tcPr>
          <w:p>
            <w:pPr>
              <w:pStyle w:val="TableContents"/>
              <w:bidi w:val="0"/>
              <w:spacing w:before="0" w:after="283"/>
              <w:jc w:val="left"/>
              <w:rPr/>
            </w:pPr>
            <w:r>
              <w:rPr/>
              <w:t> </w:t>
            </w:r>
          </w:p>
        </w:tc>
        <w:tc>
          <w:tcPr>
            <w:tcW w:w="8095" w:type="dxa"/>
            <w:tcBorders/>
            <w:vAlign w:val="bottom"/>
          </w:tcPr>
          <w:p>
            <w:pPr>
              <w:pStyle w:val="TableContents"/>
              <w:bidi w:val="0"/>
              <w:spacing w:before="0" w:after="283"/>
              <w:jc w:val="left"/>
              <w:rPr/>
            </w:pPr>
            <w:r>
              <w:rPr/>
              <w:t>Governmental Approvals; No Conflicts</w:t>
            </w:r>
          </w:p>
        </w:tc>
        <w:tc>
          <w:tcPr>
            <w:tcW w:w="13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97</w:t>
            </w:r>
          </w:p>
        </w:tc>
        <w:tc>
          <w:tcPr>
            <w:tcW w:w="63" w:type="dxa"/>
            <w:tcBorders/>
            <w:vAlign w:val="bottom"/>
          </w:tcPr>
          <w:p>
            <w:pPr>
              <w:pStyle w:val="TableContents"/>
              <w:bidi w:val="0"/>
              <w:spacing w:before="0" w:after="283"/>
              <w:jc w:val="left"/>
              <w:rPr/>
            </w:pPr>
            <w:r>
              <w:rPr/>
              <w:t> </w:t>
            </w:r>
          </w:p>
        </w:tc>
      </w:tr>
      <w:tr>
        <w:trPr/>
        <w:tc>
          <w:tcPr>
            <w:tcW w:w="1323" w:type="dxa"/>
            <w:tcBorders/>
          </w:tcPr>
          <w:p>
            <w:pPr>
              <w:pStyle w:val="TableContents"/>
              <w:bidi w:val="0"/>
              <w:spacing w:before="0" w:after="0"/>
              <w:jc w:val="left"/>
              <w:rPr>
                <w:rFonts w:ascii="Times New Roman" w:hAnsi="Times New Roman"/>
                <w:sz w:val="20"/>
              </w:rPr>
            </w:pPr>
            <w:r>
              <w:rPr>
                <w:rFonts w:ascii="Times New Roman" w:hAnsi="Times New Roman"/>
                <w:sz w:val="20"/>
              </w:rPr>
              <w:t>Section 3.04</w:t>
            </w:r>
          </w:p>
        </w:tc>
        <w:tc>
          <w:tcPr>
            <w:tcW w:w="78" w:type="dxa"/>
            <w:tcBorders/>
            <w:vAlign w:val="bottom"/>
          </w:tcPr>
          <w:p>
            <w:pPr>
              <w:pStyle w:val="TableContents"/>
              <w:bidi w:val="0"/>
              <w:spacing w:before="0" w:after="283"/>
              <w:jc w:val="left"/>
              <w:rPr/>
            </w:pPr>
            <w:r>
              <w:rPr/>
              <w:t> </w:t>
            </w:r>
          </w:p>
        </w:tc>
        <w:tc>
          <w:tcPr>
            <w:tcW w:w="8095" w:type="dxa"/>
            <w:tcBorders/>
            <w:vAlign w:val="bottom"/>
          </w:tcPr>
          <w:p>
            <w:pPr>
              <w:pStyle w:val="TableContents"/>
              <w:bidi w:val="0"/>
              <w:spacing w:before="0" w:after="283"/>
              <w:jc w:val="left"/>
              <w:rPr/>
            </w:pPr>
            <w:r>
              <w:rPr/>
              <w:t>Financial Condition; No Material Adverse Change</w:t>
            </w:r>
          </w:p>
        </w:tc>
        <w:tc>
          <w:tcPr>
            <w:tcW w:w="13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97</w:t>
            </w:r>
          </w:p>
        </w:tc>
        <w:tc>
          <w:tcPr>
            <w:tcW w:w="63" w:type="dxa"/>
            <w:tcBorders/>
            <w:vAlign w:val="bottom"/>
          </w:tcPr>
          <w:p>
            <w:pPr>
              <w:pStyle w:val="TableContents"/>
              <w:bidi w:val="0"/>
              <w:spacing w:before="0" w:after="283"/>
              <w:jc w:val="left"/>
              <w:rPr/>
            </w:pPr>
            <w:r>
              <w:rPr/>
              <w:t> </w:t>
            </w:r>
          </w:p>
        </w:tc>
      </w:tr>
      <w:tr>
        <w:trPr/>
        <w:tc>
          <w:tcPr>
            <w:tcW w:w="1323" w:type="dxa"/>
            <w:tcBorders/>
          </w:tcPr>
          <w:p>
            <w:pPr>
              <w:pStyle w:val="TableContents"/>
              <w:bidi w:val="0"/>
              <w:spacing w:before="0" w:after="0"/>
              <w:jc w:val="left"/>
              <w:rPr>
                <w:rFonts w:ascii="Times New Roman" w:hAnsi="Times New Roman"/>
                <w:sz w:val="20"/>
              </w:rPr>
            </w:pPr>
            <w:r>
              <w:rPr>
                <w:rFonts w:ascii="Times New Roman" w:hAnsi="Times New Roman"/>
                <w:sz w:val="20"/>
              </w:rPr>
              <w:t>Section 3.05</w:t>
            </w:r>
          </w:p>
        </w:tc>
        <w:tc>
          <w:tcPr>
            <w:tcW w:w="78" w:type="dxa"/>
            <w:tcBorders/>
            <w:vAlign w:val="bottom"/>
          </w:tcPr>
          <w:p>
            <w:pPr>
              <w:pStyle w:val="TableContents"/>
              <w:bidi w:val="0"/>
              <w:spacing w:before="0" w:after="283"/>
              <w:jc w:val="left"/>
              <w:rPr/>
            </w:pPr>
            <w:r>
              <w:rPr/>
              <w:t> </w:t>
            </w:r>
          </w:p>
        </w:tc>
        <w:tc>
          <w:tcPr>
            <w:tcW w:w="8095" w:type="dxa"/>
            <w:tcBorders/>
            <w:vAlign w:val="bottom"/>
          </w:tcPr>
          <w:p>
            <w:pPr>
              <w:pStyle w:val="TableContents"/>
              <w:bidi w:val="0"/>
              <w:spacing w:before="0" w:after="283"/>
              <w:jc w:val="left"/>
              <w:rPr/>
            </w:pPr>
            <w:r>
              <w:rPr/>
              <w:t>Properties</w:t>
            </w:r>
          </w:p>
        </w:tc>
        <w:tc>
          <w:tcPr>
            <w:tcW w:w="13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98</w:t>
            </w:r>
          </w:p>
        </w:tc>
        <w:tc>
          <w:tcPr>
            <w:tcW w:w="63" w:type="dxa"/>
            <w:tcBorders/>
            <w:vAlign w:val="bottom"/>
          </w:tcPr>
          <w:p>
            <w:pPr>
              <w:pStyle w:val="TableContents"/>
              <w:bidi w:val="0"/>
              <w:spacing w:before="0" w:after="283"/>
              <w:jc w:val="left"/>
              <w:rPr/>
            </w:pPr>
            <w:r>
              <w:rPr/>
              <w:t> </w:t>
            </w:r>
          </w:p>
        </w:tc>
      </w:tr>
      <w:tr>
        <w:trPr/>
        <w:tc>
          <w:tcPr>
            <w:tcW w:w="1323" w:type="dxa"/>
            <w:tcBorders/>
          </w:tcPr>
          <w:p>
            <w:pPr>
              <w:pStyle w:val="TableContents"/>
              <w:bidi w:val="0"/>
              <w:spacing w:before="0" w:after="0"/>
              <w:jc w:val="left"/>
              <w:rPr>
                <w:rFonts w:ascii="Times New Roman" w:hAnsi="Times New Roman"/>
                <w:sz w:val="20"/>
              </w:rPr>
            </w:pPr>
            <w:r>
              <w:rPr>
                <w:rFonts w:ascii="Times New Roman" w:hAnsi="Times New Roman"/>
                <w:sz w:val="20"/>
              </w:rPr>
              <w:t>Section 3.06</w:t>
            </w:r>
          </w:p>
        </w:tc>
        <w:tc>
          <w:tcPr>
            <w:tcW w:w="78" w:type="dxa"/>
            <w:tcBorders/>
            <w:vAlign w:val="bottom"/>
          </w:tcPr>
          <w:p>
            <w:pPr>
              <w:pStyle w:val="TableContents"/>
              <w:bidi w:val="0"/>
              <w:spacing w:before="0" w:after="283"/>
              <w:jc w:val="left"/>
              <w:rPr/>
            </w:pPr>
            <w:r>
              <w:rPr/>
              <w:t> </w:t>
            </w:r>
          </w:p>
        </w:tc>
        <w:tc>
          <w:tcPr>
            <w:tcW w:w="8095" w:type="dxa"/>
            <w:tcBorders/>
            <w:vAlign w:val="bottom"/>
          </w:tcPr>
          <w:p>
            <w:pPr>
              <w:pStyle w:val="TableContents"/>
              <w:bidi w:val="0"/>
              <w:spacing w:before="0" w:after="283"/>
              <w:jc w:val="left"/>
              <w:rPr/>
            </w:pPr>
            <w:r>
              <w:rPr/>
              <w:t>Litigation</w:t>
            </w:r>
          </w:p>
        </w:tc>
        <w:tc>
          <w:tcPr>
            <w:tcW w:w="13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98</w:t>
            </w:r>
          </w:p>
        </w:tc>
        <w:tc>
          <w:tcPr>
            <w:tcW w:w="63" w:type="dxa"/>
            <w:tcBorders/>
            <w:vAlign w:val="bottom"/>
          </w:tcPr>
          <w:p>
            <w:pPr>
              <w:pStyle w:val="TableContents"/>
              <w:bidi w:val="0"/>
              <w:spacing w:before="0" w:after="283"/>
              <w:jc w:val="left"/>
              <w:rPr/>
            </w:pPr>
            <w:r>
              <w:rPr/>
              <w:t> </w:t>
            </w:r>
          </w:p>
        </w:tc>
      </w:tr>
      <w:tr>
        <w:trPr/>
        <w:tc>
          <w:tcPr>
            <w:tcW w:w="1323" w:type="dxa"/>
            <w:tcBorders/>
          </w:tcPr>
          <w:p>
            <w:pPr>
              <w:pStyle w:val="TableContents"/>
              <w:bidi w:val="0"/>
              <w:spacing w:before="0" w:after="0"/>
              <w:jc w:val="left"/>
              <w:rPr>
                <w:rFonts w:ascii="Times New Roman" w:hAnsi="Times New Roman"/>
                <w:sz w:val="20"/>
              </w:rPr>
            </w:pPr>
            <w:r>
              <w:rPr>
                <w:rFonts w:ascii="Times New Roman" w:hAnsi="Times New Roman"/>
                <w:sz w:val="20"/>
              </w:rPr>
              <w:t>Section 3.07</w:t>
            </w:r>
          </w:p>
        </w:tc>
        <w:tc>
          <w:tcPr>
            <w:tcW w:w="78" w:type="dxa"/>
            <w:tcBorders/>
            <w:vAlign w:val="bottom"/>
          </w:tcPr>
          <w:p>
            <w:pPr>
              <w:pStyle w:val="TableContents"/>
              <w:bidi w:val="0"/>
              <w:spacing w:before="0" w:after="283"/>
              <w:jc w:val="left"/>
              <w:rPr/>
            </w:pPr>
            <w:r>
              <w:rPr/>
              <w:t> </w:t>
            </w:r>
          </w:p>
        </w:tc>
        <w:tc>
          <w:tcPr>
            <w:tcW w:w="8095" w:type="dxa"/>
            <w:tcBorders/>
            <w:vAlign w:val="bottom"/>
          </w:tcPr>
          <w:p>
            <w:pPr>
              <w:pStyle w:val="TableContents"/>
              <w:bidi w:val="0"/>
              <w:spacing w:before="0" w:after="283"/>
              <w:jc w:val="left"/>
              <w:rPr/>
            </w:pPr>
            <w:r>
              <w:rPr/>
              <w:t>Environmental Matters</w:t>
            </w:r>
          </w:p>
        </w:tc>
        <w:tc>
          <w:tcPr>
            <w:tcW w:w="13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98</w:t>
            </w:r>
          </w:p>
        </w:tc>
        <w:tc>
          <w:tcPr>
            <w:tcW w:w="63" w:type="dxa"/>
            <w:tcBorders/>
            <w:vAlign w:val="bottom"/>
          </w:tcPr>
          <w:p>
            <w:pPr>
              <w:pStyle w:val="TableContents"/>
              <w:bidi w:val="0"/>
              <w:spacing w:before="0" w:after="283"/>
              <w:jc w:val="left"/>
              <w:rPr/>
            </w:pPr>
            <w:r>
              <w:rPr/>
              <w:t> </w:t>
            </w:r>
          </w:p>
        </w:tc>
      </w:tr>
      <w:tr>
        <w:trPr/>
        <w:tc>
          <w:tcPr>
            <w:tcW w:w="1323" w:type="dxa"/>
            <w:tcBorders/>
          </w:tcPr>
          <w:p>
            <w:pPr>
              <w:pStyle w:val="TableContents"/>
              <w:bidi w:val="0"/>
              <w:spacing w:before="0" w:after="0"/>
              <w:jc w:val="left"/>
              <w:rPr>
                <w:rFonts w:ascii="Times New Roman" w:hAnsi="Times New Roman"/>
                <w:sz w:val="20"/>
              </w:rPr>
            </w:pPr>
            <w:r>
              <w:rPr>
                <w:rFonts w:ascii="Times New Roman" w:hAnsi="Times New Roman"/>
                <w:sz w:val="20"/>
              </w:rPr>
              <w:t>Section 3.08</w:t>
            </w:r>
          </w:p>
        </w:tc>
        <w:tc>
          <w:tcPr>
            <w:tcW w:w="78" w:type="dxa"/>
            <w:tcBorders/>
            <w:vAlign w:val="bottom"/>
          </w:tcPr>
          <w:p>
            <w:pPr>
              <w:pStyle w:val="TableContents"/>
              <w:bidi w:val="0"/>
              <w:spacing w:before="0" w:after="283"/>
              <w:jc w:val="left"/>
              <w:rPr/>
            </w:pPr>
            <w:r>
              <w:rPr/>
              <w:t> </w:t>
            </w:r>
          </w:p>
        </w:tc>
        <w:tc>
          <w:tcPr>
            <w:tcW w:w="8095" w:type="dxa"/>
            <w:tcBorders/>
            <w:vAlign w:val="bottom"/>
          </w:tcPr>
          <w:p>
            <w:pPr>
              <w:pStyle w:val="TableContents"/>
              <w:bidi w:val="0"/>
              <w:spacing w:before="0" w:after="283"/>
              <w:jc w:val="left"/>
              <w:rPr/>
            </w:pPr>
            <w:r>
              <w:rPr/>
              <w:t>Compliance with Laws and Agreements; No Defaults</w:t>
            </w:r>
          </w:p>
        </w:tc>
        <w:tc>
          <w:tcPr>
            <w:tcW w:w="13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98</w:t>
            </w:r>
          </w:p>
        </w:tc>
        <w:tc>
          <w:tcPr>
            <w:tcW w:w="63" w:type="dxa"/>
            <w:tcBorders/>
            <w:vAlign w:val="bottom"/>
          </w:tcPr>
          <w:p>
            <w:pPr>
              <w:pStyle w:val="TableContents"/>
              <w:bidi w:val="0"/>
              <w:spacing w:before="0" w:after="283"/>
              <w:jc w:val="left"/>
              <w:rPr/>
            </w:pPr>
            <w:r>
              <w:rPr/>
              <w:t> </w:t>
            </w:r>
          </w:p>
        </w:tc>
      </w:tr>
      <w:tr>
        <w:trPr/>
        <w:tc>
          <w:tcPr>
            <w:tcW w:w="1323" w:type="dxa"/>
            <w:tcBorders/>
          </w:tcPr>
          <w:p>
            <w:pPr>
              <w:pStyle w:val="TableContents"/>
              <w:bidi w:val="0"/>
              <w:spacing w:before="0" w:after="0"/>
              <w:jc w:val="left"/>
              <w:rPr>
                <w:rFonts w:ascii="Times New Roman" w:hAnsi="Times New Roman"/>
                <w:sz w:val="20"/>
              </w:rPr>
            </w:pPr>
            <w:r>
              <w:rPr>
                <w:rFonts w:ascii="Times New Roman" w:hAnsi="Times New Roman"/>
                <w:sz w:val="20"/>
              </w:rPr>
              <w:t>Section 3.09</w:t>
            </w:r>
          </w:p>
        </w:tc>
        <w:tc>
          <w:tcPr>
            <w:tcW w:w="78" w:type="dxa"/>
            <w:tcBorders/>
            <w:vAlign w:val="bottom"/>
          </w:tcPr>
          <w:p>
            <w:pPr>
              <w:pStyle w:val="TableContents"/>
              <w:bidi w:val="0"/>
              <w:spacing w:before="0" w:after="283"/>
              <w:jc w:val="left"/>
              <w:rPr/>
            </w:pPr>
            <w:r>
              <w:rPr/>
              <w:t> </w:t>
            </w:r>
          </w:p>
        </w:tc>
        <w:tc>
          <w:tcPr>
            <w:tcW w:w="8095" w:type="dxa"/>
            <w:tcBorders/>
            <w:vAlign w:val="bottom"/>
          </w:tcPr>
          <w:p>
            <w:pPr>
              <w:pStyle w:val="TableContents"/>
              <w:bidi w:val="0"/>
              <w:spacing w:before="0" w:after="283"/>
              <w:jc w:val="left"/>
              <w:rPr/>
            </w:pPr>
            <w:r>
              <w:rPr/>
              <w:t>Government Regulation</w:t>
            </w:r>
          </w:p>
        </w:tc>
        <w:tc>
          <w:tcPr>
            <w:tcW w:w="13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99</w:t>
            </w:r>
          </w:p>
        </w:tc>
        <w:tc>
          <w:tcPr>
            <w:tcW w:w="63" w:type="dxa"/>
            <w:tcBorders/>
            <w:vAlign w:val="bottom"/>
          </w:tcPr>
          <w:p>
            <w:pPr>
              <w:pStyle w:val="TableContents"/>
              <w:bidi w:val="0"/>
              <w:spacing w:before="0" w:after="283"/>
              <w:jc w:val="left"/>
              <w:rPr/>
            </w:pPr>
            <w:r>
              <w:rPr/>
              <w:t> </w:t>
            </w:r>
          </w:p>
        </w:tc>
      </w:tr>
      <w:tr>
        <w:trPr/>
        <w:tc>
          <w:tcPr>
            <w:tcW w:w="1323" w:type="dxa"/>
            <w:tcBorders/>
          </w:tcPr>
          <w:p>
            <w:pPr>
              <w:pStyle w:val="TableContents"/>
              <w:bidi w:val="0"/>
              <w:spacing w:before="0" w:after="0"/>
              <w:jc w:val="left"/>
              <w:rPr>
                <w:rFonts w:ascii="Times New Roman" w:hAnsi="Times New Roman"/>
                <w:sz w:val="20"/>
              </w:rPr>
            </w:pPr>
            <w:r>
              <w:rPr>
                <w:rFonts w:ascii="Times New Roman" w:hAnsi="Times New Roman"/>
                <w:sz w:val="20"/>
              </w:rPr>
              <w:t>Section 3.10</w:t>
            </w:r>
          </w:p>
        </w:tc>
        <w:tc>
          <w:tcPr>
            <w:tcW w:w="78" w:type="dxa"/>
            <w:tcBorders/>
            <w:vAlign w:val="bottom"/>
          </w:tcPr>
          <w:p>
            <w:pPr>
              <w:pStyle w:val="TableContents"/>
              <w:bidi w:val="0"/>
              <w:spacing w:before="0" w:after="283"/>
              <w:jc w:val="left"/>
              <w:rPr/>
            </w:pPr>
            <w:r>
              <w:rPr/>
              <w:t> </w:t>
            </w:r>
          </w:p>
        </w:tc>
        <w:tc>
          <w:tcPr>
            <w:tcW w:w="8095" w:type="dxa"/>
            <w:tcBorders/>
            <w:vAlign w:val="bottom"/>
          </w:tcPr>
          <w:p>
            <w:pPr>
              <w:pStyle w:val="TableContents"/>
              <w:bidi w:val="0"/>
              <w:spacing w:before="0" w:after="283"/>
              <w:jc w:val="left"/>
              <w:rPr/>
            </w:pPr>
            <w:r>
              <w:rPr/>
              <w:t>Tax Returns and Payments</w:t>
            </w:r>
          </w:p>
        </w:tc>
        <w:tc>
          <w:tcPr>
            <w:tcW w:w="13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99</w:t>
            </w:r>
          </w:p>
        </w:tc>
        <w:tc>
          <w:tcPr>
            <w:tcW w:w="63" w:type="dxa"/>
            <w:tcBorders/>
            <w:vAlign w:val="bottom"/>
          </w:tcPr>
          <w:p>
            <w:pPr>
              <w:pStyle w:val="TableContents"/>
              <w:bidi w:val="0"/>
              <w:spacing w:before="0" w:after="283"/>
              <w:jc w:val="left"/>
              <w:rPr/>
            </w:pPr>
            <w:r>
              <w:rPr/>
              <w:t> </w:t>
            </w:r>
          </w:p>
        </w:tc>
      </w:tr>
      <w:tr>
        <w:trPr/>
        <w:tc>
          <w:tcPr>
            <w:tcW w:w="1323" w:type="dxa"/>
            <w:tcBorders/>
          </w:tcPr>
          <w:p>
            <w:pPr>
              <w:pStyle w:val="TableContents"/>
              <w:bidi w:val="0"/>
              <w:spacing w:before="0" w:after="0"/>
              <w:jc w:val="left"/>
              <w:rPr>
                <w:rFonts w:ascii="Times New Roman" w:hAnsi="Times New Roman"/>
                <w:sz w:val="20"/>
              </w:rPr>
            </w:pPr>
            <w:r>
              <w:rPr>
                <w:rFonts w:ascii="Times New Roman" w:hAnsi="Times New Roman"/>
                <w:sz w:val="20"/>
              </w:rPr>
              <w:t>Section 3.11</w:t>
            </w:r>
          </w:p>
        </w:tc>
        <w:tc>
          <w:tcPr>
            <w:tcW w:w="78" w:type="dxa"/>
            <w:tcBorders/>
            <w:vAlign w:val="bottom"/>
          </w:tcPr>
          <w:p>
            <w:pPr>
              <w:pStyle w:val="TableContents"/>
              <w:bidi w:val="0"/>
              <w:spacing w:before="0" w:after="283"/>
              <w:jc w:val="left"/>
              <w:rPr/>
            </w:pPr>
            <w:r>
              <w:rPr/>
              <w:t> </w:t>
            </w:r>
          </w:p>
        </w:tc>
        <w:tc>
          <w:tcPr>
            <w:tcW w:w="8095" w:type="dxa"/>
            <w:tcBorders/>
            <w:vAlign w:val="bottom"/>
          </w:tcPr>
          <w:p>
            <w:pPr>
              <w:pStyle w:val="TableContents"/>
              <w:bidi w:val="0"/>
              <w:spacing w:before="0" w:after="283"/>
              <w:jc w:val="left"/>
              <w:rPr/>
            </w:pPr>
            <w:r>
              <w:rPr/>
              <w:t>ERISA</w:t>
            </w:r>
          </w:p>
        </w:tc>
        <w:tc>
          <w:tcPr>
            <w:tcW w:w="13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99</w:t>
            </w:r>
          </w:p>
        </w:tc>
        <w:tc>
          <w:tcPr>
            <w:tcW w:w="63" w:type="dxa"/>
            <w:tcBorders/>
            <w:vAlign w:val="bottom"/>
          </w:tcPr>
          <w:p>
            <w:pPr>
              <w:pStyle w:val="TableContents"/>
              <w:bidi w:val="0"/>
              <w:spacing w:before="0" w:after="283"/>
              <w:jc w:val="left"/>
              <w:rPr/>
            </w:pPr>
            <w:r>
              <w:rPr/>
              <w:t> </w:t>
            </w:r>
          </w:p>
        </w:tc>
      </w:tr>
      <w:tr>
        <w:trPr/>
        <w:tc>
          <w:tcPr>
            <w:tcW w:w="1323" w:type="dxa"/>
            <w:tcBorders/>
          </w:tcPr>
          <w:p>
            <w:pPr>
              <w:pStyle w:val="TableContents"/>
              <w:bidi w:val="0"/>
              <w:spacing w:before="0" w:after="0"/>
              <w:jc w:val="left"/>
              <w:rPr>
                <w:rFonts w:ascii="Times New Roman" w:hAnsi="Times New Roman"/>
                <w:sz w:val="20"/>
              </w:rPr>
            </w:pPr>
            <w:r>
              <w:rPr>
                <w:rFonts w:ascii="Times New Roman" w:hAnsi="Times New Roman"/>
                <w:sz w:val="20"/>
              </w:rPr>
              <w:t>Section 3.12</w:t>
            </w:r>
          </w:p>
        </w:tc>
        <w:tc>
          <w:tcPr>
            <w:tcW w:w="78" w:type="dxa"/>
            <w:tcBorders/>
            <w:vAlign w:val="bottom"/>
          </w:tcPr>
          <w:p>
            <w:pPr>
              <w:pStyle w:val="TableContents"/>
              <w:bidi w:val="0"/>
              <w:spacing w:before="0" w:after="283"/>
              <w:jc w:val="left"/>
              <w:rPr/>
            </w:pPr>
            <w:r>
              <w:rPr/>
              <w:t> </w:t>
            </w:r>
          </w:p>
        </w:tc>
        <w:tc>
          <w:tcPr>
            <w:tcW w:w="8095" w:type="dxa"/>
            <w:tcBorders/>
            <w:vAlign w:val="bottom"/>
          </w:tcPr>
          <w:p>
            <w:pPr>
              <w:pStyle w:val="TableContents"/>
              <w:bidi w:val="0"/>
              <w:spacing w:before="0" w:after="283"/>
              <w:jc w:val="left"/>
              <w:rPr/>
            </w:pPr>
            <w:r>
              <w:rPr/>
              <w:t>Disclosure</w:t>
            </w:r>
          </w:p>
        </w:tc>
        <w:tc>
          <w:tcPr>
            <w:tcW w:w="13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99</w:t>
            </w:r>
          </w:p>
        </w:tc>
        <w:tc>
          <w:tcPr>
            <w:tcW w:w="63" w:type="dxa"/>
            <w:tcBorders/>
            <w:vAlign w:val="bottom"/>
          </w:tcPr>
          <w:p>
            <w:pPr>
              <w:pStyle w:val="TableContents"/>
              <w:bidi w:val="0"/>
              <w:spacing w:before="0" w:after="283"/>
              <w:jc w:val="left"/>
              <w:rPr/>
            </w:pPr>
            <w:r>
              <w:rPr/>
              <w:t> </w:t>
            </w:r>
          </w:p>
        </w:tc>
      </w:tr>
      <w:tr>
        <w:trPr/>
        <w:tc>
          <w:tcPr>
            <w:tcW w:w="1323" w:type="dxa"/>
            <w:tcBorders/>
          </w:tcPr>
          <w:p>
            <w:pPr>
              <w:pStyle w:val="TableContents"/>
              <w:bidi w:val="0"/>
              <w:spacing w:before="0" w:after="0"/>
              <w:jc w:val="left"/>
              <w:rPr>
                <w:rFonts w:ascii="Times New Roman" w:hAnsi="Times New Roman"/>
                <w:sz w:val="20"/>
              </w:rPr>
            </w:pPr>
            <w:r>
              <w:rPr>
                <w:rFonts w:ascii="Times New Roman" w:hAnsi="Times New Roman"/>
                <w:sz w:val="20"/>
              </w:rPr>
              <w:t>Section 3.13</w:t>
            </w:r>
          </w:p>
        </w:tc>
        <w:tc>
          <w:tcPr>
            <w:tcW w:w="78" w:type="dxa"/>
            <w:tcBorders/>
            <w:vAlign w:val="bottom"/>
          </w:tcPr>
          <w:p>
            <w:pPr>
              <w:pStyle w:val="TableContents"/>
              <w:bidi w:val="0"/>
              <w:spacing w:before="0" w:after="283"/>
              <w:jc w:val="left"/>
              <w:rPr/>
            </w:pPr>
            <w:r>
              <w:rPr/>
              <w:t> </w:t>
            </w:r>
          </w:p>
        </w:tc>
        <w:tc>
          <w:tcPr>
            <w:tcW w:w="8095" w:type="dxa"/>
            <w:tcBorders/>
            <w:vAlign w:val="bottom"/>
          </w:tcPr>
          <w:p>
            <w:pPr>
              <w:pStyle w:val="TableContents"/>
              <w:bidi w:val="0"/>
              <w:spacing w:before="0" w:after="283"/>
              <w:jc w:val="left"/>
              <w:rPr/>
            </w:pPr>
            <w:r>
              <w:rPr/>
              <w:t>Margin Stock</w:t>
            </w:r>
          </w:p>
        </w:tc>
        <w:tc>
          <w:tcPr>
            <w:tcW w:w="13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99</w:t>
            </w:r>
          </w:p>
        </w:tc>
        <w:tc>
          <w:tcPr>
            <w:tcW w:w="63" w:type="dxa"/>
            <w:tcBorders/>
            <w:vAlign w:val="bottom"/>
          </w:tcPr>
          <w:p>
            <w:pPr>
              <w:pStyle w:val="TableContents"/>
              <w:bidi w:val="0"/>
              <w:spacing w:before="0" w:after="283"/>
              <w:jc w:val="left"/>
              <w:rPr/>
            </w:pPr>
            <w:r>
              <w:rPr/>
              <w:t> </w:t>
            </w:r>
          </w:p>
        </w:tc>
      </w:tr>
      <w:tr>
        <w:trPr/>
        <w:tc>
          <w:tcPr>
            <w:tcW w:w="1323" w:type="dxa"/>
            <w:tcBorders/>
          </w:tcPr>
          <w:p>
            <w:pPr>
              <w:pStyle w:val="TableContents"/>
              <w:bidi w:val="0"/>
              <w:spacing w:before="0" w:after="0"/>
              <w:jc w:val="left"/>
              <w:rPr>
                <w:rFonts w:ascii="Times New Roman" w:hAnsi="Times New Roman"/>
                <w:sz w:val="20"/>
              </w:rPr>
            </w:pPr>
            <w:r>
              <w:rPr>
                <w:rFonts w:ascii="Times New Roman" w:hAnsi="Times New Roman"/>
                <w:sz w:val="20"/>
              </w:rPr>
              <w:t>Section 3.14</w:t>
            </w:r>
          </w:p>
        </w:tc>
        <w:tc>
          <w:tcPr>
            <w:tcW w:w="78" w:type="dxa"/>
            <w:tcBorders/>
            <w:vAlign w:val="bottom"/>
          </w:tcPr>
          <w:p>
            <w:pPr>
              <w:pStyle w:val="TableContents"/>
              <w:bidi w:val="0"/>
              <w:spacing w:before="0" w:after="283"/>
              <w:jc w:val="left"/>
              <w:rPr/>
            </w:pPr>
            <w:r>
              <w:rPr/>
              <w:t> </w:t>
            </w:r>
          </w:p>
        </w:tc>
        <w:tc>
          <w:tcPr>
            <w:tcW w:w="8095" w:type="dxa"/>
            <w:tcBorders/>
            <w:vAlign w:val="bottom"/>
          </w:tcPr>
          <w:p>
            <w:pPr>
              <w:pStyle w:val="TableContents"/>
              <w:bidi w:val="0"/>
              <w:spacing w:before="0" w:after="283"/>
              <w:jc w:val="left"/>
              <w:rPr/>
            </w:pPr>
            <w:r>
              <w:rPr/>
              <w:t>Agreements and Liens</w:t>
            </w:r>
          </w:p>
        </w:tc>
        <w:tc>
          <w:tcPr>
            <w:tcW w:w="13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99</w:t>
            </w:r>
          </w:p>
        </w:tc>
        <w:tc>
          <w:tcPr>
            <w:tcW w:w="63" w:type="dxa"/>
            <w:tcBorders/>
            <w:vAlign w:val="bottom"/>
          </w:tcPr>
          <w:p>
            <w:pPr>
              <w:pStyle w:val="TableContents"/>
              <w:bidi w:val="0"/>
              <w:spacing w:before="0" w:after="283"/>
              <w:jc w:val="left"/>
              <w:rPr/>
            </w:pPr>
            <w:r>
              <w:rPr/>
              <w:t> </w:t>
            </w:r>
          </w:p>
        </w:tc>
      </w:tr>
      <w:tr>
        <w:trPr/>
        <w:tc>
          <w:tcPr>
            <w:tcW w:w="1323" w:type="dxa"/>
            <w:tcBorders/>
          </w:tcPr>
          <w:p>
            <w:pPr>
              <w:pStyle w:val="TableContents"/>
              <w:bidi w:val="0"/>
              <w:spacing w:before="0" w:after="0"/>
              <w:jc w:val="left"/>
              <w:rPr>
                <w:rFonts w:ascii="Times New Roman" w:hAnsi="Times New Roman"/>
                <w:sz w:val="20"/>
              </w:rPr>
            </w:pPr>
            <w:r>
              <w:rPr>
                <w:rFonts w:ascii="Times New Roman" w:hAnsi="Times New Roman"/>
                <w:sz w:val="20"/>
              </w:rPr>
              <w:t>Section 3.15</w:t>
            </w:r>
          </w:p>
        </w:tc>
        <w:tc>
          <w:tcPr>
            <w:tcW w:w="78" w:type="dxa"/>
            <w:tcBorders/>
            <w:vAlign w:val="bottom"/>
          </w:tcPr>
          <w:p>
            <w:pPr>
              <w:pStyle w:val="TableContents"/>
              <w:bidi w:val="0"/>
              <w:spacing w:before="0" w:after="283"/>
              <w:jc w:val="left"/>
              <w:rPr/>
            </w:pPr>
            <w:r>
              <w:rPr/>
              <w:t> </w:t>
            </w:r>
          </w:p>
        </w:tc>
        <w:tc>
          <w:tcPr>
            <w:tcW w:w="8095" w:type="dxa"/>
            <w:tcBorders/>
            <w:vAlign w:val="bottom"/>
          </w:tcPr>
          <w:p>
            <w:pPr>
              <w:pStyle w:val="TableContents"/>
              <w:bidi w:val="0"/>
              <w:spacing w:before="0" w:after="283"/>
              <w:jc w:val="left"/>
              <w:rPr/>
            </w:pPr>
            <w:r>
              <w:rPr/>
              <w:t>Material Contracts</w:t>
            </w:r>
          </w:p>
        </w:tc>
        <w:tc>
          <w:tcPr>
            <w:tcW w:w="13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100</w:t>
            </w:r>
          </w:p>
        </w:tc>
        <w:tc>
          <w:tcPr>
            <w:tcW w:w="63" w:type="dxa"/>
            <w:tcBorders/>
            <w:vAlign w:val="bottom"/>
          </w:tcPr>
          <w:p>
            <w:pPr>
              <w:pStyle w:val="TableContents"/>
              <w:bidi w:val="0"/>
              <w:spacing w:before="0" w:after="283"/>
              <w:jc w:val="left"/>
              <w:rPr/>
            </w:pPr>
            <w:r>
              <w:rPr/>
              <w:t> </w:t>
            </w:r>
          </w:p>
        </w:tc>
      </w:tr>
      <w:tr>
        <w:trPr/>
        <w:tc>
          <w:tcPr>
            <w:tcW w:w="1323" w:type="dxa"/>
            <w:tcBorders/>
          </w:tcPr>
          <w:p>
            <w:pPr>
              <w:pStyle w:val="TableContents"/>
              <w:bidi w:val="0"/>
              <w:spacing w:before="0" w:after="0"/>
              <w:jc w:val="left"/>
              <w:rPr>
                <w:rFonts w:ascii="Times New Roman" w:hAnsi="Times New Roman"/>
                <w:sz w:val="20"/>
              </w:rPr>
            </w:pPr>
            <w:r>
              <w:rPr>
                <w:rFonts w:ascii="Times New Roman" w:hAnsi="Times New Roman"/>
                <w:sz w:val="20"/>
              </w:rPr>
              <w:t>Section 3.16</w:t>
            </w:r>
          </w:p>
        </w:tc>
        <w:tc>
          <w:tcPr>
            <w:tcW w:w="78" w:type="dxa"/>
            <w:tcBorders/>
            <w:vAlign w:val="bottom"/>
          </w:tcPr>
          <w:p>
            <w:pPr>
              <w:pStyle w:val="TableContents"/>
              <w:bidi w:val="0"/>
              <w:spacing w:before="0" w:after="283"/>
              <w:jc w:val="left"/>
              <w:rPr/>
            </w:pPr>
            <w:r>
              <w:rPr/>
              <w:t> </w:t>
            </w:r>
          </w:p>
        </w:tc>
        <w:tc>
          <w:tcPr>
            <w:tcW w:w="8095" w:type="dxa"/>
            <w:tcBorders/>
            <w:vAlign w:val="bottom"/>
          </w:tcPr>
          <w:p>
            <w:pPr>
              <w:pStyle w:val="TableContents"/>
              <w:bidi w:val="0"/>
              <w:spacing w:before="0" w:after="283"/>
              <w:jc w:val="left"/>
              <w:rPr/>
            </w:pPr>
            <w:r>
              <w:rPr/>
              <w:t>Subsidiaries and Investments</w:t>
            </w:r>
          </w:p>
        </w:tc>
        <w:tc>
          <w:tcPr>
            <w:tcW w:w="13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100</w:t>
            </w:r>
          </w:p>
        </w:tc>
        <w:tc>
          <w:tcPr>
            <w:tcW w:w="63" w:type="dxa"/>
            <w:tcBorders/>
            <w:vAlign w:val="bottom"/>
          </w:tcPr>
          <w:p>
            <w:pPr>
              <w:pStyle w:val="TableContents"/>
              <w:bidi w:val="0"/>
              <w:spacing w:before="0" w:after="283"/>
              <w:jc w:val="left"/>
              <w:rPr/>
            </w:pPr>
            <w:r>
              <w:rPr/>
              <w:t> </w:t>
            </w:r>
          </w:p>
        </w:tc>
      </w:tr>
      <w:tr>
        <w:trPr/>
        <w:tc>
          <w:tcPr>
            <w:tcW w:w="1323" w:type="dxa"/>
            <w:tcBorders/>
          </w:tcPr>
          <w:p>
            <w:pPr>
              <w:pStyle w:val="TableContents"/>
              <w:bidi w:val="0"/>
              <w:spacing w:before="0" w:after="0"/>
              <w:jc w:val="left"/>
              <w:rPr>
                <w:rFonts w:ascii="Times New Roman" w:hAnsi="Times New Roman"/>
                <w:sz w:val="20"/>
              </w:rPr>
            </w:pPr>
            <w:r>
              <w:rPr>
                <w:rFonts w:ascii="Times New Roman" w:hAnsi="Times New Roman"/>
                <w:sz w:val="20"/>
              </w:rPr>
              <w:t>Section 3.17</w:t>
            </w:r>
          </w:p>
        </w:tc>
        <w:tc>
          <w:tcPr>
            <w:tcW w:w="78" w:type="dxa"/>
            <w:tcBorders/>
            <w:vAlign w:val="bottom"/>
          </w:tcPr>
          <w:p>
            <w:pPr>
              <w:pStyle w:val="TableContents"/>
              <w:bidi w:val="0"/>
              <w:spacing w:before="0" w:after="283"/>
              <w:jc w:val="left"/>
              <w:rPr/>
            </w:pPr>
            <w:r>
              <w:rPr/>
              <w:t> </w:t>
            </w:r>
          </w:p>
        </w:tc>
        <w:tc>
          <w:tcPr>
            <w:tcW w:w="8095" w:type="dxa"/>
            <w:tcBorders/>
            <w:vAlign w:val="bottom"/>
          </w:tcPr>
          <w:p>
            <w:pPr>
              <w:pStyle w:val="TableContents"/>
              <w:bidi w:val="0"/>
              <w:spacing w:before="0" w:after="283"/>
              <w:jc w:val="left"/>
              <w:rPr/>
            </w:pPr>
            <w:r>
              <w:rPr/>
              <w:t>Real Property</w:t>
            </w:r>
          </w:p>
        </w:tc>
        <w:tc>
          <w:tcPr>
            <w:tcW w:w="13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100</w:t>
            </w:r>
          </w:p>
        </w:tc>
        <w:tc>
          <w:tcPr>
            <w:tcW w:w="63" w:type="dxa"/>
            <w:tcBorders/>
            <w:vAlign w:val="bottom"/>
          </w:tcPr>
          <w:p>
            <w:pPr>
              <w:pStyle w:val="TableContents"/>
              <w:bidi w:val="0"/>
              <w:spacing w:before="0" w:after="283"/>
              <w:jc w:val="left"/>
              <w:rPr/>
            </w:pPr>
            <w:r>
              <w:rPr/>
              <w:t> </w:t>
            </w:r>
          </w:p>
        </w:tc>
      </w:tr>
      <w:tr>
        <w:trPr/>
        <w:tc>
          <w:tcPr>
            <w:tcW w:w="1323" w:type="dxa"/>
            <w:tcBorders/>
          </w:tcPr>
          <w:p>
            <w:pPr>
              <w:pStyle w:val="TableContents"/>
              <w:bidi w:val="0"/>
              <w:spacing w:before="0" w:after="0"/>
              <w:jc w:val="left"/>
              <w:rPr>
                <w:rFonts w:ascii="Times New Roman" w:hAnsi="Times New Roman"/>
                <w:sz w:val="20"/>
              </w:rPr>
            </w:pPr>
            <w:r>
              <w:rPr>
                <w:rFonts w:ascii="Times New Roman" w:hAnsi="Times New Roman"/>
                <w:sz w:val="20"/>
              </w:rPr>
              <w:t>Section 3.18</w:t>
            </w:r>
          </w:p>
        </w:tc>
        <w:tc>
          <w:tcPr>
            <w:tcW w:w="78" w:type="dxa"/>
            <w:tcBorders/>
            <w:vAlign w:val="bottom"/>
          </w:tcPr>
          <w:p>
            <w:pPr>
              <w:pStyle w:val="TableContents"/>
              <w:bidi w:val="0"/>
              <w:spacing w:before="0" w:after="283"/>
              <w:jc w:val="left"/>
              <w:rPr/>
            </w:pPr>
            <w:r>
              <w:rPr/>
              <w:t> </w:t>
            </w:r>
          </w:p>
        </w:tc>
        <w:tc>
          <w:tcPr>
            <w:tcW w:w="8095" w:type="dxa"/>
            <w:tcBorders/>
            <w:vAlign w:val="bottom"/>
          </w:tcPr>
          <w:p>
            <w:pPr>
              <w:pStyle w:val="TableContents"/>
              <w:bidi w:val="0"/>
              <w:spacing w:before="0" w:after="283"/>
              <w:jc w:val="left"/>
              <w:rPr/>
            </w:pPr>
            <w:r>
              <w:rPr/>
              <w:t>Solvency</w:t>
            </w:r>
          </w:p>
        </w:tc>
        <w:tc>
          <w:tcPr>
            <w:tcW w:w="13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101</w:t>
            </w:r>
          </w:p>
        </w:tc>
        <w:tc>
          <w:tcPr>
            <w:tcW w:w="63" w:type="dxa"/>
            <w:tcBorders/>
            <w:vAlign w:val="bottom"/>
          </w:tcPr>
          <w:p>
            <w:pPr>
              <w:pStyle w:val="TableContents"/>
              <w:bidi w:val="0"/>
              <w:spacing w:before="0" w:after="283"/>
              <w:jc w:val="left"/>
              <w:rPr/>
            </w:pPr>
            <w:r>
              <w:rPr/>
              <w:t> </w:t>
            </w:r>
          </w:p>
        </w:tc>
      </w:tr>
      <w:tr>
        <w:trPr/>
        <w:tc>
          <w:tcPr>
            <w:tcW w:w="1323" w:type="dxa"/>
            <w:tcBorders/>
          </w:tcPr>
          <w:p>
            <w:pPr>
              <w:pStyle w:val="TableContents"/>
              <w:bidi w:val="0"/>
              <w:spacing w:before="0" w:after="0"/>
              <w:jc w:val="left"/>
              <w:rPr>
                <w:rFonts w:ascii="Times New Roman" w:hAnsi="Times New Roman"/>
                <w:sz w:val="20"/>
              </w:rPr>
            </w:pPr>
            <w:r>
              <w:rPr>
                <w:rFonts w:ascii="Times New Roman" w:hAnsi="Times New Roman"/>
                <w:sz w:val="20"/>
              </w:rPr>
              <w:t>Section 3.19</w:t>
            </w:r>
          </w:p>
        </w:tc>
        <w:tc>
          <w:tcPr>
            <w:tcW w:w="78" w:type="dxa"/>
            <w:tcBorders/>
            <w:vAlign w:val="bottom"/>
          </w:tcPr>
          <w:p>
            <w:pPr>
              <w:pStyle w:val="TableContents"/>
              <w:bidi w:val="0"/>
              <w:spacing w:before="0" w:after="283"/>
              <w:jc w:val="left"/>
              <w:rPr/>
            </w:pPr>
            <w:r>
              <w:rPr/>
              <w:t> </w:t>
            </w:r>
          </w:p>
        </w:tc>
        <w:tc>
          <w:tcPr>
            <w:tcW w:w="8095" w:type="dxa"/>
            <w:tcBorders/>
            <w:vAlign w:val="bottom"/>
          </w:tcPr>
          <w:p>
            <w:pPr>
              <w:pStyle w:val="TableContents"/>
              <w:bidi w:val="0"/>
              <w:spacing w:before="0" w:after="283"/>
              <w:jc w:val="left"/>
              <w:rPr/>
            </w:pPr>
            <w:r>
              <w:rPr/>
              <w:t>Employee Relations</w:t>
            </w:r>
          </w:p>
        </w:tc>
        <w:tc>
          <w:tcPr>
            <w:tcW w:w="13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101</w:t>
            </w:r>
          </w:p>
        </w:tc>
        <w:tc>
          <w:tcPr>
            <w:tcW w:w="63" w:type="dxa"/>
            <w:tcBorders/>
            <w:vAlign w:val="bottom"/>
          </w:tcPr>
          <w:p>
            <w:pPr>
              <w:pStyle w:val="TableContents"/>
              <w:bidi w:val="0"/>
              <w:spacing w:before="0" w:after="283"/>
              <w:jc w:val="left"/>
              <w:rPr/>
            </w:pPr>
            <w:r>
              <w:rPr/>
              <w:t> </w:t>
            </w:r>
          </w:p>
        </w:tc>
      </w:tr>
      <w:tr>
        <w:trPr/>
        <w:tc>
          <w:tcPr>
            <w:tcW w:w="1323" w:type="dxa"/>
            <w:tcBorders/>
          </w:tcPr>
          <w:p>
            <w:pPr>
              <w:pStyle w:val="TableContents"/>
              <w:bidi w:val="0"/>
              <w:spacing w:before="0" w:after="0"/>
              <w:jc w:val="left"/>
              <w:rPr>
                <w:rFonts w:ascii="Times New Roman" w:hAnsi="Times New Roman"/>
                <w:sz w:val="20"/>
              </w:rPr>
            </w:pPr>
            <w:r>
              <w:rPr>
                <w:rFonts w:ascii="Times New Roman" w:hAnsi="Times New Roman"/>
                <w:sz w:val="20"/>
              </w:rPr>
              <w:t>Section 3.20</w:t>
            </w:r>
          </w:p>
        </w:tc>
        <w:tc>
          <w:tcPr>
            <w:tcW w:w="78" w:type="dxa"/>
            <w:tcBorders/>
            <w:vAlign w:val="bottom"/>
          </w:tcPr>
          <w:p>
            <w:pPr>
              <w:pStyle w:val="TableContents"/>
              <w:bidi w:val="0"/>
              <w:spacing w:before="0" w:after="283"/>
              <w:jc w:val="left"/>
              <w:rPr/>
            </w:pPr>
            <w:r>
              <w:rPr/>
              <w:t> </w:t>
            </w:r>
          </w:p>
        </w:tc>
        <w:tc>
          <w:tcPr>
            <w:tcW w:w="8095" w:type="dxa"/>
            <w:tcBorders/>
            <w:vAlign w:val="bottom"/>
          </w:tcPr>
          <w:p>
            <w:pPr>
              <w:pStyle w:val="TableContents"/>
              <w:bidi w:val="0"/>
              <w:spacing w:before="0" w:after="283"/>
              <w:jc w:val="left"/>
              <w:rPr/>
            </w:pPr>
            <w:r>
              <w:rPr/>
              <w:t>Burdensome Provisions</w:t>
            </w:r>
          </w:p>
        </w:tc>
        <w:tc>
          <w:tcPr>
            <w:tcW w:w="13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101</w:t>
            </w:r>
          </w:p>
        </w:tc>
        <w:tc>
          <w:tcPr>
            <w:tcW w:w="63" w:type="dxa"/>
            <w:tcBorders/>
            <w:vAlign w:val="bottom"/>
          </w:tcPr>
          <w:p>
            <w:pPr>
              <w:pStyle w:val="TableContents"/>
              <w:bidi w:val="0"/>
              <w:spacing w:before="0" w:after="283"/>
              <w:jc w:val="left"/>
              <w:rPr/>
            </w:pPr>
            <w:r>
              <w:rPr/>
              <w:t> </w:t>
            </w:r>
          </w:p>
        </w:tc>
      </w:tr>
      <w:tr>
        <w:trPr/>
        <w:tc>
          <w:tcPr>
            <w:tcW w:w="1323" w:type="dxa"/>
            <w:tcBorders/>
          </w:tcPr>
          <w:p>
            <w:pPr>
              <w:pStyle w:val="TableContents"/>
              <w:bidi w:val="0"/>
              <w:spacing w:before="0" w:after="0"/>
              <w:jc w:val="left"/>
              <w:rPr>
                <w:rFonts w:ascii="Times New Roman" w:hAnsi="Times New Roman"/>
                <w:sz w:val="20"/>
              </w:rPr>
            </w:pPr>
            <w:r>
              <w:rPr>
                <w:rFonts w:ascii="Times New Roman" w:hAnsi="Times New Roman"/>
                <w:sz w:val="20"/>
              </w:rPr>
              <w:t>Section 3.21</w:t>
            </w:r>
          </w:p>
        </w:tc>
        <w:tc>
          <w:tcPr>
            <w:tcW w:w="78" w:type="dxa"/>
            <w:tcBorders/>
            <w:vAlign w:val="bottom"/>
          </w:tcPr>
          <w:p>
            <w:pPr>
              <w:pStyle w:val="TableContents"/>
              <w:bidi w:val="0"/>
              <w:spacing w:before="0" w:after="283"/>
              <w:jc w:val="left"/>
              <w:rPr/>
            </w:pPr>
            <w:r>
              <w:rPr/>
              <w:t> </w:t>
            </w:r>
          </w:p>
        </w:tc>
        <w:tc>
          <w:tcPr>
            <w:tcW w:w="8095" w:type="dxa"/>
            <w:tcBorders/>
            <w:vAlign w:val="bottom"/>
          </w:tcPr>
          <w:p>
            <w:pPr>
              <w:pStyle w:val="TableContents"/>
              <w:bidi w:val="0"/>
              <w:spacing w:before="0" w:after="283"/>
              <w:jc w:val="left"/>
              <w:rPr/>
            </w:pPr>
            <w:r>
              <w:rPr/>
              <w:t>Corporation</w:t>
            </w:r>
          </w:p>
        </w:tc>
        <w:tc>
          <w:tcPr>
            <w:tcW w:w="13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101</w:t>
            </w:r>
          </w:p>
        </w:tc>
        <w:tc>
          <w:tcPr>
            <w:tcW w:w="63" w:type="dxa"/>
            <w:tcBorders/>
            <w:vAlign w:val="bottom"/>
          </w:tcPr>
          <w:p>
            <w:pPr>
              <w:pStyle w:val="TableContents"/>
              <w:bidi w:val="0"/>
              <w:spacing w:before="0" w:after="283"/>
              <w:jc w:val="left"/>
              <w:rPr/>
            </w:pPr>
            <w:r>
              <w:rPr/>
              <w:t> </w:t>
            </w:r>
          </w:p>
        </w:tc>
      </w:tr>
      <w:tr>
        <w:trPr/>
        <w:tc>
          <w:tcPr>
            <w:tcW w:w="1323" w:type="dxa"/>
            <w:tcBorders/>
          </w:tcPr>
          <w:p>
            <w:pPr>
              <w:pStyle w:val="TableContents"/>
              <w:bidi w:val="0"/>
              <w:spacing w:before="0" w:after="0"/>
              <w:jc w:val="left"/>
              <w:rPr>
                <w:rFonts w:ascii="Times New Roman" w:hAnsi="Times New Roman"/>
                <w:sz w:val="20"/>
              </w:rPr>
            </w:pPr>
            <w:r>
              <w:rPr>
                <w:rFonts w:ascii="Times New Roman" w:hAnsi="Times New Roman"/>
                <w:sz w:val="20"/>
              </w:rPr>
              <w:t>Section 3.22</w:t>
            </w:r>
          </w:p>
        </w:tc>
        <w:tc>
          <w:tcPr>
            <w:tcW w:w="78" w:type="dxa"/>
            <w:tcBorders/>
            <w:vAlign w:val="bottom"/>
          </w:tcPr>
          <w:p>
            <w:pPr>
              <w:pStyle w:val="TableContents"/>
              <w:bidi w:val="0"/>
              <w:spacing w:before="0" w:after="283"/>
              <w:jc w:val="left"/>
              <w:rPr/>
            </w:pPr>
            <w:r>
              <w:rPr/>
              <w:t> </w:t>
            </w:r>
          </w:p>
        </w:tc>
        <w:tc>
          <w:tcPr>
            <w:tcW w:w="8095" w:type="dxa"/>
            <w:tcBorders/>
            <w:vAlign w:val="bottom"/>
          </w:tcPr>
          <w:p>
            <w:pPr>
              <w:pStyle w:val="TableContents"/>
              <w:bidi w:val="0"/>
              <w:spacing w:before="0" w:after="283"/>
              <w:jc w:val="left"/>
              <w:rPr/>
            </w:pPr>
            <w:r>
              <w:rPr/>
              <w:t>Anti-Terrorism Laws and Sanctions; AML Laws; Anti-Corruption Laws</w:t>
            </w:r>
          </w:p>
        </w:tc>
        <w:tc>
          <w:tcPr>
            <w:tcW w:w="13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101</w:t>
            </w:r>
          </w:p>
        </w:tc>
        <w:tc>
          <w:tcPr>
            <w:tcW w:w="63" w:type="dxa"/>
            <w:tcBorders/>
            <w:vAlign w:val="bottom"/>
          </w:tcPr>
          <w:p>
            <w:pPr>
              <w:pStyle w:val="TableContents"/>
              <w:bidi w:val="0"/>
              <w:spacing w:before="0" w:after="283"/>
              <w:jc w:val="left"/>
              <w:rPr/>
            </w:pPr>
            <w:r>
              <w:rPr/>
              <w:t> </w:t>
            </w:r>
          </w:p>
        </w:tc>
      </w:tr>
      <w:tr>
        <w:trPr/>
        <w:tc>
          <w:tcPr>
            <w:tcW w:w="1323" w:type="dxa"/>
            <w:tcBorders/>
          </w:tcPr>
          <w:p>
            <w:pPr>
              <w:pStyle w:val="TableContents"/>
              <w:bidi w:val="0"/>
              <w:spacing w:before="0" w:after="0"/>
              <w:jc w:val="left"/>
              <w:rPr>
                <w:rFonts w:ascii="Times New Roman" w:hAnsi="Times New Roman"/>
                <w:sz w:val="20"/>
              </w:rPr>
            </w:pPr>
            <w:r>
              <w:rPr>
                <w:rFonts w:ascii="Times New Roman" w:hAnsi="Times New Roman"/>
                <w:sz w:val="20"/>
              </w:rPr>
              <w:t>Section 3.23</w:t>
            </w:r>
          </w:p>
        </w:tc>
        <w:tc>
          <w:tcPr>
            <w:tcW w:w="78" w:type="dxa"/>
            <w:tcBorders/>
            <w:vAlign w:val="bottom"/>
          </w:tcPr>
          <w:p>
            <w:pPr>
              <w:pStyle w:val="TableContents"/>
              <w:bidi w:val="0"/>
              <w:spacing w:before="0" w:after="283"/>
              <w:jc w:val="left"/>
              <w:rPr/>
            </w:pPr>
            <w:r>
              <w:rPr/>
              <w:t> </w:t>
            </w:r>
          </w:p>
        </w:tc>
        <w:tc>
          <w:tcPr>
            <w:tcW w:w="8095" w:type="dxa"/>
            <w:tcBorders/>
            <w:vAlign w:val="bottom"/>
          </w:tcPr>
          <w:p>
            <w:pPr>
              <w:pStyle w:val="TableContents"/>
              <w:bidi w:val="0"/>
              <w:spacing w:before="0" w:after="283"/>
              <w:jc w:val="left"/>
              <w:rPr/>
            </w:pPr>
            <w:r>
              <w:rPr/>
              <w:t>Affected Financial Institution</w:t>
            </w:r>
          </w:p>
        </w:tc>
        <w:tc>
          <w:tcPr>
            <w:tcW w:w="13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102</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center"/>
        <w:rPr>
          <w:rFonts w:ascii="Times New Roman" w:hAnsi="Times New Roman"/>
          <w:sz w:val="20"/>
        </w:rPr>
      </w:pPr>
      <w:r>
        <w:rPr>
          <w:rFonts w:ascii="Times New Roman" w:hAnsi="Times New Roman"/>
          <w:sz w:val="20"/>
        </w:rPr>
        <w:t xml:space="preserve">(continued) </w:t>
      </w:r>
    </w:p>
    <w:p>
      <w:pPr>
        <w:pStyle w:val="TextBody"/>
        <w:bidi w:val="0"/>
        <w:spacing w:before="0" w:after="0"/>
        <w:jc w:val="left"/>
        <w:rPr/>
      </w:pPr>
      <w:r>
        <w:rPr/>
        <w:t> </w:t>
      </w:r>
    </w:p>
    <w:tbl>
      <w:tblPr>
        <w:tblW w:w="10935" w:type="dxa"/>
        <w:jc w:val="center"/>
        <w:tblInd w:w="0" w:type="dxa"/>
        <w:tblLayout w:type="fixed"/>
        <w:tblCellMar>
          <w:top w:w="0" w:type="dxa"/>
          <w:left w:w="0" w:type="dxa"/>
          <w:bottom w:w="0" w:type="dxa"/>
          <w:right w:w="0" w:type="dxa"/>
        </w:tblCellMar>
      </w:tblPr>
      <w:tblGrid>
        <w:gridCol w:w="1040"/>
        <w:gridCol w:w="60"/>
        <w:gridCol w:w="9140"/>
        <w:gridCol w:w="120"/>
        <w:gridCol w:w="70"/>
        <w:gridCol w:w="445"/>
        <w:gridCol w:w="60"/>
      </w:tblGrid>
      <w:tr>
        <w:trPr/>
        <w:tc>
          <w:tcPr>
            <w:tcW w:w="104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14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0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4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15" w:type="dxa"/>
            <w:gridSpan w:val="2"/>
            <w:tcBorders/>
            <w:vAlign w:val="bottom"/>
          </w:tcPr>
          <w:p>
            <w:pPr>
              <w:pStyle w:val="TableContents"/>
              <w:bidi w:val="0"/>
              <w:spacing w:before="0" w:after="283"/>
              <w:jc w:val="center"/>
              <w:rPr>
                <w:b/>
              </w:rPr>
            </w:pPr>
            <w:r>
              <w:rPr>
                <w:b/>
              </w:rPr>
              <w:t>Page</w:t>
            </w:r>
          </w:p>
        </w:tc>
        <w:tc>
          <w:tcPr>
            <w:tcW w:w="60" w:type="dxa"/>
            <w:tcBorders/>
            <w:vAlign w:val="bottom"/>
          </w:tcPr>
          <w:p>
            <w:pPr>
              <w:pStyle w:val="TableContents"/>
              <w:bidi w:val="0"/>
              <w:spacing w:before="0" w:after="283"/>
              <w:jc w:val="left"/>
              <w:rPr/>
            </w:pPr>
            <w:r>
              <w:rPr/>
              <w:t> </w:t>
            </w:r>
          </w:p>
        </w:tc>
      </w:tr>
      <w:tr>
        <w:trPr>
          <w:trHeight w:val="120" w:hRule="atLeast"/>
        </w:trPr>
        <w:tc>
          <w:tcPr>
            <w:tcW w:w="10240" w:type="dxa"/>
            <w:gridSpan w:val="3"/>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0240"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IV CONDITIONS</w:t>
            </w:r>
          </w:p>
        </w:tc>
        <w:tc>
          <w:tcPr>
            <w:tcW w:w="12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102</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920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4.01</w:t>
            </w:r>
          </w:p>
        </w:tc>
        <w:tc>
          <w:tcPr>
            <w:tcW w:w="60" w:type="dxa"/>
            <w:tcBorders/>
            <w:vAlign w:val="bottom"/>
          </w:tcPr>
          <w:p>
            <w:pPr>
              <w:pStyle w:val="TableContents"/>
              <w:bidi w:val="0"/>
              <w:spacing w:before="0" w:after="283"/>
              <w:jc w:val="left"/>
              <w:rPr/>
            </w:pPr>
            <w:r>
              <w:rPr/>
              <w:t> </w:t>
            </w:r>
          </w:p>
        </w:tc>
        <w:tc>
          <w:tcPr>
            <w:tcW w:w="9140" w:type="dxa"/>
            <w:tcBorders/>
            <w:vAlign w:val="bottom"/>
          </w:tcPr>
          <w:p>
            <w:pPr>
              <w:pStyle w:val="TableContents"/>
              <w:bidi w:val="0"/>
              <w:spacing w:before="0" w:after="283"/>
              <w:jc w:val="left"/>
              <w:rPr/>
            </w:pPr>
            <w:r>
              <w:rPr/>
              <w:t>Effective Date</w:t>
            </w:r>
          </w:p>
        </w:tc>
        <w:tc>
          <w:tcPr>
            <w:tcW w:w="12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102</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4.02</w:t>
            </w:r>
          </w:p>
        </w:tc>
        <w:tc>
          <w:tcPr>
            <w:tcW w:w="60" w:type="dxa"/>
            <w:tcBorders/>
            <w:vAlign w:val="bottom"/>
          </w:tcPr>
          <w:p>
            <w:pPr>
              <w:pStyle w:val="TableContents"/>
              <w:bidi w:val="0"/>
              <w:spacing w:before="0" w:after="283"/>
              <w:jc w:val="left"/>
              <w:rPr/>
            </w:pPr>
            <w:r>
              <w:rPr/>
              <w:t> </w:t>
            </w:r>
          </w:p>
        </w:tc>
        <w:tc>
          <w:tcPr>
            <w:tcW w:w="9140" w:type="dxa"/>
            <w:tcBorders/>
            <w:vAlign w:val="bottom"/>
          </w:tcPr>
          <w:p>
            <w:pPr>
              <w:pStyle w:val="TableContents"/>
              <w:bidi w:val="0"/>
              <w:spacing w:before="0" w:after="283"/>
              <w:jc w:val="left"/>
              <w:rPr/>
            </w:pPr>
            <w:r>
              <w:rPr/>
              <w:t>Each Extension of Credit</w:t>
            </w:r>
          </w:p>
        </w:tc>
        <w:tc>
          <w:tcPr>
            <w:tcW w:w="12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105</w:t>
            </w:r>
          </w:p>
        </w:tc>
        <w:tc>
          <w:tcPr>
            <w:tcW w:w="60" w:type="dxa"/>
            <w:tcBorders/>
            <w:vAlign w:val="bottom"/>
          </w:tcPr>
          <w:p>
            <w:pPr>
              <w:pStyle w:val="TableContents"/>
              <w:bidi w:val="0"/>
              <w:spacing w:before="0" w:after="283"/>
              <w:jc w:val="left"/>
              <w:rPr/>
            </w:pPr>
            <w:r>
              <w:rPr/>
              <w:t> </w:t>
            </w:r>
          </w:p>
        </w:tc>
      </w:tr>
      <w:tr>
        <w:trPr>
          <w:trHeight w:val="120" w:hRule="atLeast"/>
        </w:trPr>
        <w:tc>
          <w:tcPr>
            <w:tcW w:w="10240" w:type="dxa"/>
            <w:gridSpan w:val="3"/>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0240"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 AFFIRMATIVE COVENANTS</w:t>
            </w:r>
          </w:p>
        </w:tc>
        <w:tc>
          <w:tcPr>
            <w:tcW w:w="12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106</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920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5.01</w:t>
            </w:r>
          </w:p>
        </w:tc>
        <w:tc>
          <w:tcPr>
            <w:tcW w:w="60" w:type="dxa"/>
            <w:tcBorders/>
            <w:vAlign w:val="bottom"/>
          </w:tcPr>
          <w:p>
            <w:pPr>
              <w:pStyle w:val="TableContents"/>
              <w:bidi w:val="0"/>
              <w:spacing w:before="0" w:after="283"/>
              <w:jc w:val="left"/>
              <w:rPr/>
            </w:pPr>
            <w:r>
              <w:rPr/>
              <w:t> </w:t>
            </w:r>
          </w:p>
        </w:tc>
        <w:tc>
          <w:tcPr>
            <w:tcW w:w="9140" w:type="dxa"/>
            <w:tcBorders/>
            <w:vAlign w:val="bottom"/>
          </w:tcPr>
          <w:p>
            <w:pPr>
              <w:pStyle w:val="TableContents"/>
              <w:bidi w:val="0"/>
              <w:spacing w:before="0" w:after="283"/>
              <w:jc w:val="left"/>
              <w:rPr/>
            </w:pPr>
            <w:r>
              <w:rPr/>
              <w:t>Financial Statements and Other Information</w:t>
            </w:r>
          </w:p>
        </w:tc>
        <w:tc>
          <w:tcPr>
            <w:tcW w:w="12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106</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5.02</w:t>
            </w:r>
          </w:p>
        </w:tc>
        <w:tc>
          <w:tcPr>
            <w:tcW w:w="60" w:type="dxa"/>
            <w:tcBorders/>
            <w:vAlign w:val="bottom"/>
          </w:tcPr>
          <w:p>
            <w:pPr>
              <w:pStyle w:val="TableContents"/>
              <w:bidi w:val="0"/>
              <w:spacing w:before="0" w:after="283"/>
              <w:jc w:val="left"/>
              <w:rPr/>
            </w:pPr>
            <w:r>
              <w:rPr/>
              <w:t> </w:t>
            </w:r>
          </w:p>
        </w:tc>
        <w:tc>
          <w:tcPr>
            <w:tcW w:w="9140" w:type="dxa"/>
            <w:tcBorders/>
            <w:vAlign w:val="bottom"/>
          </w:tcPr>
          <w:p>
            <w:pPr>
              <w:pStyle w:val="TableContents"/>
              <w:bidi w:val="0"/>
              <w:spacing w:before="0" w:after="283"/>
              <w:jc w:val="left"/>
              <w:rPr/>
            </w:pPr>
            <w:r>
              <w:rPr/>
              <w:t>Notices of Material Events</w:t>
            </w:r>
          </w:p>
        </w:tc>
        <w:tc>
          <w:tcPr>
            <w:tcW w:w="12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108</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5.03</w:t>
            </w:r>
          </w:p>
        </w:tc>
        <w:tc>
          <w:tcPr>
            <w:tcW w:w="60" w:type="dxa"/>
            <w:tcBorders/>
            <w:vAlign w:val="bottom"/>
          </w:tcPr>
          <w:p>
            <w:pPr>
              <w:pStyle w:val="TableContents"/>
              <w:bidi w:val="0"/>
              <w:spacing w:before="0" w:after="283"/>
              <w:jc w:val="left"/>
              <w:rPr/>
            </w:pPr>
            <w:r>
              <w:rPr/>
              <w:t> </w:t>
            </w:r>
          </w:p>
        </w:tc>
        <w:tc>
          <w:tcPr>
            <w:tcW w:w="9140" w:type="dxa"/>
            <w:tcBorders/>
            <w:vAlign w:val="bottom"/>
          </w:tcPr>
          <w:p>
            <w:pPr>
              <w:pStyle w:val="TableContents"/>
              <w:bidi w:val="0"/>
              <w:spacing w:before="0" w:after="283"/>
              <w:jc w:val="left"/>
              <w:rPr/>
            </w:pPr>
            <w:r>
              <w:rPr/>
              <w:t>Existence; Conduct of Business</w:t>
            </w:r>
          </w:p>
        </w:tc>
        <w:tc>
          <w:tcPr>
            <w:tcW w:w="12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108</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5.04</w:t>
            </w:r>
          </w:p>
        </w:tc>
        <w:tc>
          <w:tcPr>
            <w:tcW w:w="60" w:type="dxa"/>
            <w:tcBorders/>
            <w:vAlign w:val="bottom"/>
          </w:tcPr>
          <w:p>
            <w:pPr>
              <w:pStyle w:val="TableContents"/>
              <w:bidi w:val="0"/>
              <w:spacing w:before="0" w:after="283"/>
              <w:jc w:val="left"/>
              <w:rPr/>
            </w:pPr>
            <w:r>
              <w:rPr/>
              <w:t> </w:t>
            </w:r>
          </w:p>
        </w:tc>
        <w:tc>
          <w:tcPr>
            <w:tcW w:w="9140" w:type="dxa"/>
            <w:tcBorders/>
            <w:vAlign w:val="bottom"/>
          </w:tcPr>
          <w:p>
            <w:pPr>
              <w:pStyle w:val="TableContents"/>
              <w:bidi w:val="0"/>
              <w:spacing w:before="0" w:after="283"/>
              <w:jc w:val="left"/>
              <w:rPr/>
            </w:pPr>
            <w:r>
              <w:rPr/>
              <w:t>Payment of Obligations</w:t>
            </w:r>
          </w:p>
        </w:tc>
        <w:tc>
          <w:tcPr>
            <w:tcW w:w="12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109</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5.05</w:t>
            </w:r>
          </w:p>
        </w:tc>
        <w:tc>
          <w:tcPr>
            <w:tcW w:w="60" w:type="dxa"/>
            <w:tcBorders/>
            <w:vAlign w:val="bottom"/>
          </w:tcPr>
          <w:p>
            <w:pPr>
              <w:pStyle w:val="TableContents"/>
              <w:bidi w:val="0"/>
              <w:spacing w:before="0" w:after="283"/>
              <w:jc w:val="left"/>
              <w:rPr/>
            </w:pPr>
            <w:r>
              <w:rPr/>
              <w:t> </w:t>
            </w:r>
          </w:p>
        </w:tc>
        <w:tc>
          <w:tcPr>
            <w:tcW w:w="9140" w:type="dxa"/>
            <w:tcBorders/>
            <w:vAlign w:val="bottom"/>
          </w:tcPr>
          <w:p>
            <w:pPr>
              <w:pStyle w:val="TableContents"/>
              <w:bidi w:val="0"/>
              <w:spacing w:before="0" w:after="283"/>
              <w:jc w:val="left"/>
              <w:rPr/>
            </w:pPr>
            <w:r>
              <w:rPr/>
              <w:t>Maintenance of Properties; Insurance</w:t>
            </w:r>
          </w:p>
        </w:tc>
        <w:tc>
          <w:tcPr>
            <w:tcW w:w="12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109</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5.06</w:t>
            </w:r>
          </w:p>
        </w:tc>
        <w:tc>
          <w:tcPr>
            <w:tcW w:w="60" w:type="dxa"/>
            <w:tcBorders/>
            <w:vAlign w:val="bottom"/>
          </w:tcPr>
          <w:p>
            <w:pPr>
              <w:pStyle w:val="TableContents"/>
              <w:bidi w:val="0"/>
              <w:spacing w:before="0" w:after="283"/>
              <w:jc w:val="left"/>
              <w:rPr/>
            </w:pPr>
            <w:r>
              <w:rPr/>
              <w:t> </w:t>
            </w:r>
          </w:p>
        </w:tc>
        <w:tc>
          <w:tcPr>
            <w:tcW w:w="9140" w:type="dxa"/>
            <w:tcBorders/>
            <w:vAlign w:val="bottom"/>
          </w:tcPr>
          <w:p>
            <w:pPr>
              <w:pStyle w:val="TableContents"/>
              <w:bidi w:val="0"/>
              <w:spacing w:before="0" w:after="283"/>
              <w:jc w:val="left"/>
              <w:rPr/>
            </w:pPr>
            <w:r>
              <w:rPr/>
              <w:t>Books and Records; Inspection Rights</w:t>
            </w:r>
          </w:p>
        </w:tc>
        <w:tc>
          <w:tcPr>
            <w:tcW w:w="12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110</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5.07</w:t>
            </w:r>
          </w:p>
        </w:tc>
        <w:tc>
          <w:tcPr>
            <w:tcW w:w="60" w:type="dxa"/>
            <w:tcBorders/>
            <w:vAlign w:val="bottom"/>
          </w:tcPr>
          <w:p>
            <w:pPr>
              <w:pStyle w:val="TableContents"/>
              <w:bidi w:val="0"/>
              <w:spacing w:before="0" w:after="283"/>
              <w:jc w:val="left"/>
              <w:rPr/>
            </w:pPr>
            <w:r>
              <w:rPr/>
              <w:t> </w:t>
            </w:r>
          </w:p>
        </w:tc>
        <w:tc>
          <w:tcPr>
            <w:tcW w:w="9140" w:type="dxa"/>
            <w:tcBorders/>
            <w:vAlign w:val="bottom"/>
          </w:tcPr>
          <w:p>
            <w:pPr>
              <w:pStyle w:val="TableContents"/>
              <w:bidi w:val="0"/>
              <w:spacing w:before="0" w:after="283"/>
              <w:jc w:val="left"/>
              <w:rPr/>
            </w:pPr>
            <w:r>
              <w:rPr/>
              <w:t>Compliance with Laws</w:t>
            </w:r>
          </w:p>
        </w:tc>
        <w:tc>
          <w:tcPr>
            <w:tcW w:w="12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110</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5.08</w:t>
            </w:r>
          </w:p>
        </w:tc>
        <w:tc>
          <w:tcPr>
            <w:tcW w:w="60" w:type="dxa"/>
            <w:tcBorders/>
            <w:vAlign w:val="bottom"/>
          </w:tcPr>
          <w:p>
            <w:pPr>
              <w:pStyle w:val="TableContents"/>
              <w:bidi w:val="0"/>
              <w:spacing w:before="0" w:after="283"/>
              <w:jc w:val="left"/>
              <w:rPr/>
            </w:pPr>
            <w:r>
              <w:rPr/>
              <w:t> </w:t>
            </w:r>
          </w:p>
        </w:tc>
        <w:tc>
          <w:tcPr>
            <w:tcW w:w="9140" w:type="dxa"/>
            <w:tcBorders/>
            <w:vAlign w:val="bottom"/>
          </w:tcPr>
          <w:p>
            <w:pPr>
              <w:pStyle w:val="TableContents"/>
              <w:bidi w:val="0"/>
              <w:spacing w:before="0" w:after="283"/>
              <w:jc w:val="left"/>
              <w:rPr/>
            </w:pPr>
            <w:r>
              <w:rPr/>
              <w:t>Use of Proceeds and Letters of Credit</w:t>
            </w:r>
          </w:p>
        </w:tc>
        <w:tc>
          <w:tcPr>
            <w:tcW w:w="12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110</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5.09</w:t>
            </w:r>
          </w:p>
        </w:tc>
        <w:tc>
          <w:tcPr>
            <w:tcW w:w="60" w:type="dxa"/>
            <w:tcBorders/>
            <w:vAlign w:val="bottom"/>
          </w:tcPr>
          <w:p>
            <w:pPr>
              <w:pStyle w:val="TableContents"/>
              <w:bidi w:val="0"/>
              <w:spacing w:before="0" w:after="283"/>
              <w:jc w:val="left"/>
              <w:rPr/>
            </w:pPr>
            <w:r>
              <w:rPr/>
              <w:t> </w:t>
            </w:r>
          </w:p>
        </w:tc>
        <w:tc>
          <w:tcPr>
            <w:tcW w:w="9140" w:type="dxa"/>
            <w:tcBorders/>
            <w:vAlign w:val="bottom"/>
          </w:tcPr>
          <w:p>
            <w:pPr>
              <w:pStyle w:val="TableContents"/>
              <w:bidi w:val="0"/>
              <w:spacing w:before="0" w:after="283"/>
              <w:jc w:val="left"/>
              <w:rPr/>
            </w:pPr>
            <w:r>
              <w:rPr/>
              <w:t>Additional Subsidiaries; Restricted and Unrestricted Subsidiaries</w:t>
            </w:r>
          </w:p>
        </w:tc>
        <w:tc>
          <w:tcPr>
            <w:tcW w:w="12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111</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5.10</w:t>
            </w:r>
          </w:p>
        </w:tc>
        <w:tc>
          <w:tcPr>
            <w:tcW w:w="60" w:type="dxa"/>
            <w:tcBorders/>
            <w:vAlign w:val="bottom"/>
          </w:tcPr>
          <w:p>
            <w:pPr>
              <w:pStyle w:val="TableContents"/>
              <w:bidi w:val="0"/>
              <w:spacing w:before="0" w:after="283"/>
              <w:jc w:val="left"/>
              <w:rPr/>
            </w:pPr>
            <w:r>
              <w:rPr/>
              <w:t> </w:t>
            </w:r>
          </w:p>
        </w:tc>
        <w:tc>
          <w:tcPr>
            <w:tcW w:w="9140" w:type="dxa"/>
            <w:tcBorders/>
            <w:vAlign w:val="bottom"/>
          </w:tcPr>
          <w:p>
            <w:pPr>
              <w:pStyle w:val="TableContents"/>
              <w:bidi w:val="0"/>
              <w:spacing w:before="0" w:after="283"/>
              <w:jc w:val="left"/>
              <w:rPr/>
            </w:pPr>
            <w:r>
              <w:rPr/>
              <w:t>Real Property Collateral Prior to Discharge of 2029 Senior Notes</w:t>
            </w:r>
          </w:p>
        </w:tc>
        <w:tc>
          <w:tcPr>
            <w:tcW w:w="12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112</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5.11</w:t>
            </w:r>
          </w:p>
        </w:tc>
        <w:tc>
          <w:tcPr>
            <w:tcW w:w="60" w:type="dxa"/>
            <w:tcBorders/>
            <w:vAlign w:val="bottom"/>
          </w:tcPr>
          <w:p>
            <w:pPr>
              <w:pStyle w:val="TableContents"/>
              <w:bidi w:val="0"/>
              <w:spacing w:before="0" w:after="283"/>
              <w:jc w:val="left"/>
              <w:rPr/>
            </w:pPr>
            <w:r>
              <w:rPr/>
              <w:t> </w:t>
            </w:r>
          </w:p>
        </w:tc>
        <w:tc>
          <w:tcPr>
            <w:tcW w:w="9140" w:type="dxa"/>
            <w:tcBorders/>
            <w:vAlign w:val="bottom"/>
          </w:tcPr>
          <w:p>
            <w:pPr>
              <w:pStyle w:val="TableContents"/>
              <w:bidi w:val="0"/>
              <w:spacing w:before="0" w:after="283"/>
              <w:jc w:val="left"/>
              <w:rPr/>
            </w:pPr>
            <w:r>
              <w:rPr/>
              <w:t>Further Assurances; Certain Real Estate Deliverables Upon a Springing Mortgage Trigger Event</w:t>
            </w:r>
          </w:p>
        </w:tc>
        <w:tc>
          <w:tcPr>
            <w:tcW w:w="12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115</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5.12</w:t>
            </w:r>
          </w:p>
        </w:tc>
        <w:tc>
          <w:tcPr>
            <w:tcW w:w="60" w:type="dxa"/>
            <w:tcBorders/>
            <w:vAlign w:val="bottom"/>
          </w:tcPr>
          <w:p>
            <w:pPr>
              <w:pStyle w:val="TableContents"/>
              <w:bidi w:val="0"/>
              <w:spacing w:before="0" w:after="283"/>
              <w:jc w:val="left"/>
              <w:rPr/>
            </w:pPr>
            <w:r>
              <w:rPr/>
              <w:t> </w:t>
            </w:r>
          </w:p>
        </w:tc>
        <w:tc>
          <w:tcPr>
            <w:tcW w:w="9140" w:type="dxa"/>
            <w:tcBorders/>
            <w:vAlign w:val="bottom"/>
          </w:tcPr>
          <w:p>
            <w:pPr>
              <w:pStyle w:val="TableContents"/>
              <w:bidi w:val="0"/>
              <w:spacing w:before="0" w:after="283"/>
              <w:jc w:val="left"/>
              <w:rPr/>
            </w:pPr>
            <w:r>
              <w:rPr/>
              <w:t>Fiscal Year</w:t>
            </w:r>
          </w:p>
        </w:tc>
        <w:tc>
          <w:tcPr>
            <w:tcW w:w="12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117</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5.13</w:t>
            </w:r>
          </w:p>
        </w:tc>
        <w:tc>
          <w:tcPr>
            <w:tcW w:w="60" w:type="dxa"/>
            <w:tcBorders/>
            <w:vAlign w:val="bottom"/>
          </w:tcPr>
          <w:p>
            <w:pPr>
              <w:pStyle w:val="TableContents"/>
              <w:bidi w:val="0"/>
              <w:spacing w:before="0" w:after="283"/>
              <w:jc w:val="left"/>
              <w:rPr/>
            </w:pPr>
            <w:r>
              <w:rPr/>
              <w:t> </w:t>
            </w:r>
          </w:p>
        </w:tc>
        <w:tc>
          <w:tcPr>
            <w:tcW w:w="9140" w:type="dxa"/>
            <w:tcBorders/>
            <w:vAlign w:val="bottom"/>
          </w:tcPr>
          <w:p>
            <w:pPr>
              <w:pStyle w:val="TableContents"/>
              <w:bidi w:val="0"/>
              <w:spacing w:before="0" w:after="283"/>
              <w:jc w:val="left"/>
              <w:rPr/>
            </w:pPr>
            <w:r>
              <w:rPr/>
              <w:t>Maintenance of Ratings</w:t>
            </w:r>
          </w:p>
        </w:tc>
        <w:tc>
          <w:tcPr>
            <w:tcW w:w="12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117</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5.14</w:t>
            </w:r>
          </w:p>
        </w:tc>
        <w:tc>
          <w:tcPr>
            <w:tcW w:w="60" w:type="dxa"/>
            <w:tcBorders/>
            <w:vAlign w:val="bottom"/>
          </w:tcPr>
          <w:p>
            <w:pPr>
              <w:pStyle w:val="TableContents"/>
              <w:bidi w:val="0"/>
              <w:spacing w:before="0" w:after="283"/>
              <w:jc w:val="left"/>
              <w:rPr/>
            </w:pPr>
            <w:r>
              <w:rPr/>
              <w:t> </w:t>
            </w:r>
          </w:p>
        </w:tc>
        <w:tc>
          <w:tcPr>
            <w:tcW w:w="9140" w:type="dxa"/>
            <w:tcBorders/>
            <w:vAlign w:val="bottom"/>
          </w:tcPr>
          <w:p>
            <w:pPr>
              <w:pStyle w:val="TableContents"/>
              <w:bidi w:val="0"/>
              <w:spacing w:before="0" w:after="283"/>
              <w:jc w:val="left"/>
              <w:rPr/>
            </w:pPr>
            <w:r>
              <w:rPr/>
              <w:t>Post-Closing Matters</w:t>
            </w:r>
          </w:p>
        </w:tc>
        <w:tc>
          <w:tcPr>
            <w:tcW w:w="12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118</w:t>
            </w:r>
          </w:p>
        </w:tc>
        <w:tc>
          <w:tcPr>
            <w:tcW w:w="60" w:type="dxa"/>
            <w:tcBorders/>
            <w:vAlign w:val="bottom"/>
          </w:tcPr>
          <w:p>
            <w:pPr>
              <w:pStyle w:val="TableContents"/>
              <w:bidi w:val="0"/>
              <w:spacing w:before="0" w:after="283"/>
              <w:jc w:val="left"/>
              <w:rPr/>
            </w:pPr>
            <w:r>
              <w:rPr/>
              <w:t> </w:t>
            </w:r>
          </w:p>
        </w:tc>
      </w:tr>
      <w:tr>
        <w:trPr>
          <w:trHeight w:val="120" w:hRule="atLeast"/>
        </w:trPr>
        <w:tc>
          <w:tcPr>
            <w:tcW w:w="10240" w:type="dxa"/>
            <w:gridSpan w:val="3"/>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0240"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VI NEGATIVE COVENANTS</w:t>
            </w:r>
          </w:p>
        </w:tc>
        <w:tc>
          <w:tcPr>
            <w:tcW w:w="12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118</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920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6.01</w:t>
            </w:r>
          </w:p>
        </w:tc>
        <w:tc>
          <w:tcPr>
            <w:tcW w:w="60" w:type="dxa"/>
            <w:tcBorders/>
            <w:vAlign w:val="bottom"/>
          </w:tcPr>
          <w:p>
            <w:pPr>
              <w:pStyle w:val="TableContents"/>
              <w:bidi w:val="0"/>
              <w:spacing w:before="0" w:after="283"/>
              <w:jc w:val="left"/>
              <w:rPr/>
            </w:pPr>
            <w:r>
              <w:rPr/>
              <w:t> </w:t>
            </w:r>
          </w:p>
        </w:tc>
        <w:tc>
          <w:tcPr>
            <w:tcW w:w="9140" w:type="dxa"/>
            <w:tcBorders/>
            <w:vAlign w:val="bottom"/>
          </w:tcPr>
          <w:p>
            <w:pPr>
              <w:pStyle w:val="TableContents"/>
              <w:bidi w:val="0"/>
              <w:spacing w:before="0" w:after="283"/>
              <w:jc w:val="left"/>
              <w:rPr/>
            </w:pPr>
            <w:r>
              <w:rPr/>
              <w:t>Indebtedness</w:t>
            </w:r>
          </w:p>
        </w:tc>
        <w:tc>
          <w:tcPr>
            <w:tcW w:w="12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118</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6.02</w:t>
            </w:r>
          </w:p>
        </w:tc>
        <w:tc>
          <w:tcPr>
            <w:tcW w:w="60" w:type="dxa"/>
            <w:tcBorders/>
            <w:vAlign w:val="bottom"/>
          </w:tcPr>
          <w:p>
            <w:pPr>
              <w:pStyle w:val="TableContents"/>
              <w:bidi w:val="0"/>
              <w:spacing w:before="0" w:after="283"/>
              <w:jc w:val="left"/>
              <w:rPr/>
            </w:pPr>
            <w:r>
              <w:rPr/>
              <w:t> </w:t>
            </w:r>
          </w:p>
        </w:tc>
        <w:tc>
          <w:tcPr>
            <w:tcW w:w="9140" w:type="dxa"/>
            <w:tcBorders/>
            <w:vAlign w:val="bottom"/>
          </w:tcPr>
          <w:p>
            <w:pPr>
              <w:pStyle w:val="TableContents"/>
              <w:bidi w:val="0"/>
              <w:spacing w:before="0" w:after="283"/>
              <w:jc w:val="left"/>
              <w:rPr/>
            </w:pPr>
            <w:r>
              <w:rPr/>
              <w:t>Liens</w:t>
            </w:r>
          </w:p>
        </w:tc>
        <w:tc>
          <w:tcPr>
            <w:tcW w:w="12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120</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6.03</w:t>
            </w:r>
          </w:p>
        </w:tc>
        <w:tc>
          <w:tcPr>
            <w:tcW w:w="60" w:type="dxa"/>
            <w:tcBorders/>
            <w:vAlign w:val="bottom"/>
          </w:tcPr>
          <w:p>
            <w:pPr>
              <w:pStyle w:val="TableContents"/>
              <w:bidi w:val="0"/>
              <w:spacing w:before="0" w:after="283"/>
              <w:jc w:val="left"/>
              <w:rPr/>
            </w:pPr>
            <w:r>
              <w:rPr/>
              <w:t> </w:t>
            </w:r>
          </w:p>
        </w:tc>
        <w:tc>
          <w:tcPr>
            <w:tcW w:w="9140" w:type="dxa"/>
            <w:tcBorders/>
            <w:vAlign w:val="bottom"/>
          </w:tcPr>
          <w:p>
            <w:pPr>
              <w:pStyle w:val="TableContents"/>
              <w:bidi w:val="0"/>
              <w:spacing w:before="0" w:after="283"/>
              <w:jc w:val="left"/>
              <w:rPr/>
            </w:pPr>
            <w:r>
              <w:rPr/>
              <w:t>Fundamental Changes</w:t>
            </w:r>
          </w:p>
        </w:tc>
        <w:tc>
          <w:tcPr>
            <w:tcW w:w="12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121</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6.04</w:t>
            </w:r>
          </w:p>
        </w:tc>
        <w:tc>
          <w:tcPr>
            <w:tcW w:w="60" w:type="dxa"/>
            <w:tcBorders/>
            <w:vAlign w:val="bottom"/>
          </w:tcPr>
          <w:p>
            <w:pPr>
              <w:pStyle w:val="TableContents"/>
              <w:bidi w:val="0"/>
              <w:spacing w:before="0" w:after="283"/>
              <w:jc w:val="left"/>
              <w:rPr/>
            </w:pPr>
            <w:r>
              <w:rPr/>
              <w:t> </w:t>
            </w:r>
          </w:p>
        </w:tc>
        <w:tc>
          <w:tcPr>
            <w:tcW w:w="9140" w:type="dxa"/>
            <w:tcBorders/>
            <w:vAlign w:val="bottom"/>
          </w:tcPr>
          <w:p>
            <w:pPr>
              <w:pStyle w:val="TableContents"/>
              <w:bidi w:val="0"/>
              <w:spacing w:before="0" w:after="283"/>
              <w:jc w:val="left"/>
              <w:rPr/>
            </w:pPr>
            <w:r>
              <w:rPr/>
              <w:t>Investments</w:t>
            </w:r>
          </w:p>
        </w:tc>
        <w:tc>
          <w:tcPr>
            <w:tcW w:w="12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123</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6.05</w:t>
            </w:r>
          </w:p>
        </w:tc>
        <w:tc>
          <w:tcPr>
            <w:tcW w:w="60" w:type="dxa"/>
            <w:tcBorders/>
            <w:vAlign w:val="bottom"/>
          </w:tcPr>
          <w:p>
            <w:pPr>
              <w:pStyle w:val="TableContents"/>
              <w:bidi w:val="0"/>
              <w:spacing w:before="0" w:after="283"/>
              <w:jc w:val="left"/>
              <w:rPr/>
            </w:pPr>
            <w:r>
              <w:rPr/>
              <w:t> </w:t>
            </w:r>
          </w:p>
        </w:tc>
        <w:tc>
          <w:tcPr>
            <w:tcW w:w="9140" w:type="dxa"/>
            <w:tcBorders/>
            <w:vAlign w:val="bottom"/>
          </w:tcPr>
          <w:p>
            <w:pPr>
              <w:pStyle w:val="TableContents"/>
              <w:bidi w:val="0"/>
              <w:spacing w:before="0" w:after="283"/>
              <w:jc w:val="left"/>
              <w:rPr/>
            </w:pPr>
            <w:r>
              <w:rPr/>
              <w:t>Restricted Payments</w:t>
            </w:r>
          </w:p>
        </w:tc>
        <w:tc>
          <w:tcPr>
            <w:tcW w:w="12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125</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6.06</w:t>
            </w:r>
          </w:p>
        </w:tc>
        <w:tc>
          <w:tcPr>
            <w:tcW w:w="60" w:type="dxa"/>
            <w:tcBorders/>
            <w:vAlign w:val="bottom"/>
          </w:tcPr>
          <w:p>
            <w:pPr>
              <w:pStyle w:val="TableContents"/>
              <w:bidi w:val="0"/>
              <w:spacing w:before="0" w:after="283"/>
              <w:jc w:val="left"/>
              <w:rPr/>
            </w:pPr>
            <w:r>
              <w:rPr/>
              <w:t> </w:t>
            </w:r>
          </w:p>
        </w:tc>
        <w:tc>
          <w:tcPr>
            <w:tcW w:w="9140" w:type="dxa"/>
            <w:tcBorders/>
            <w:vAlign w:val="bottom"/>
          </w:tcPr>
          <w:p>
            <w:pPr>
              <w:pStyle w:val="TableContents"/>
              <w:bidi w:val="0"/>
              <w:spacing w:before="0" w:after="283"/>
              <w:jc w:val="left"/>
              <w:rPr/>
            </w:pPr>
            <w:r>
              <w:rPr/>
              <w:t>Transactions with Affiliates</w:t>
            </w:r>
          </w:p>
        </w:tc>
        <w:tc>
          <w:tcPr>
            <w:tcW w:w="12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127</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6.07</w:t>
            </w:r>
          </w:p>
        </w:tc>
        <w:tc>
          <w:tcPr>
            <w:tcW w:w="60" w:type="dxa"/>
            <w:tcBorders/>
            <w:vAlign w:val="bottom"/>
          </w:tcPr>
          <w:p>
            <w:pPr>
              <w:pStyle w:val="TableContents"/>
              <w:bidi w:val="0"/>
              <w:spacing w:before="0" w:after="283"/>
              <w:jc w:val="left"/>
              <w:rPr/>
            </w:pPr>
            <w:r>
              <w:rPr/>
              <w:t> </w:t>
            </w:r>
          </w:p>
        </w:tc>
        <w:tc>
          <w:tcPr>
            <w:tcW w:w="9140" w:type="dxa"/>
            <w:tcBorders/>
            <w:vAlign w:val="bottom"/>
          </w:tcPr>
          <w:p>
            <w:pPr>
              <w:pStyle w:val="TableContents"/>
              <w:bidi w:val="0"/>
              <w:spacing w:before="0" w:after="283"/>
              <w:jc w:val="left"/>
              <w:rPr/>
            </w:pPr>
            <w:r>
              <w:rPr/>
              <w:t>Restrictive Agreements</w:t>
            </w:r>
          </w:p>
        </w:tc>
        <w:tc>
          <w:tcPr>
            <w:tcW w:w="12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127</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6.08</w:t>
            </w:r>
          </w:p>
        </w:tc>
        <w:tc>
          <w:tcPr>
            <w:tcW w:w="60" w:type="dxa"/>
            <w:tcBorders/>
            <w:vAlign w:val="bottom"/>
          </w:tcPr>
          <w:p>
            <w:pPr>
              <w:pStyle w:val="TableContents"/>
              <w:bidi w:val="0"/>
              <w:spacing w:before="0" w:after="283"/>
              <w:jc w:val="left"/>
              <w:rPr/>
            </w:pPr>
            <w:r>
              <w:rPr/>
              <w:t> </w:t>
            </w:r>
          </w:p>
        </w:tc>
        <w:tc>
          <w:tcPr>
            <w:tcW w:w="9140" w:type="dxa"/>
            <w:tcBorders/>
            <w:vAlign w:val="bottom"/>
          </w:tcPr>
          <w:p>
            <w:pPr>
              <w:pStyle w:val="TableContents"/>
              <w:bidi w:val="0"/>
              <w:spacing w:before="0" w:after="283"/>
              <w:jc w:val="left"/>
              <w:rPr/>
            </w:pPr>
            <w:r>
              <w:rPr/>
              <w:t>Modifications of Certain Documents</w:t>
            </w:r>
          </w:p>
        </w:tc>
        <w:tc>
          <w:tcPr>
            <w:tcW w:w="12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128</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6.09</w:t>
            </w:r>
          </w:p>
        </w:tc>
        <w:tc>
          <w:tcPr>
            <w:tcW w:w="60" w:type="dxa"/>
            <w:tcBorders/>
            <w:vAlign w:val="bottom"/>
          </w:tcPr>
          <w:p>
            <w:pPr>
              <w:pStyle w:val="TableContents"/>
              <w:bidi w:val="0"/>
              <w:spacing w:before="0" w:after="283"/>
              <w:jc w:val="left"/>
              <w:rPr/>
            </w:pPr>
            <w:r>
              <w:rPr/>
              <w:t> </w:t>
            </w:r>
          </w:p>
        </w:tc>
        <w:tc>
          <w:tcPr>
            <w:tcW w:w="9140" w:type="dxa"/>
            <w:tcBorders/>
            <w:vAlign w:val="bottom"/>
          </w:tcPr>
          <w:p>
            <w:pPr>
              <w:pStyle w:val="TableContents"/>
              <w:bidi w:val="0"/>
              <w:spacing w:before="0" w:after="283"/>
              <w:jc w:val="left"/>
              <w:rPr/>
            </w:pPr>
            <w:r>
              <w:rPr/>
              <w:t>Certain Financial Covenants</w:t>
            </w:r>
          </w:p>
        </w:tc>
        <w:tc>
          <w:tcPr>
            <w:tcW w:w="12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128</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center"/>
        <w:rPr>
          <w:rFonts w:ascii="Times New Roman" w:hAnsi="Times New Roman"/>
          <w:sz w:val="20"/>
        </w:rPr>
      </w:pPr>
      <w:r>
        <w:rPr>
          <w:rFonts w:ascii="Times New Roman" w:hAnsi="Times New Roman"/>
          <w:sz w:val="20"/>
        </w:rPr>
        <w:t xml:space="preserve">(continued)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451"/>
        <w:gridCol w:w="86"/>
        <w:gridCol w:w="7953"/>
        <w:gridCol w:w="136"/>
        <w:gridCol w:w="70"/>
        <w:gridCol w:w="445"/>
        <w:gridCol w:w="64"/>
      </w:tblGrid>
      <w:tr>
        <w:trPr/>
        <w:tc>
          <w:tcPr>
            <w:tcW w:w="1451" w:type="dxa"/>
            <w:tcBorders/>
            <w:vAlign w:val="center"/>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sz w:val="4"/>
                <w:szCs w:val="4"/>
              </w:rPr>
            </w:pPr>
            <w:r>
              <w:rPr>
                <w:sz w:val="4"/>
                <w:szCs w:val="4"/>
              </w:rPr>
            </w:r>
          </w:p>
        </w:tc>
        <w:tc>
          <w:tcPr>
            <w:tcW w:w="7953" w:type="dxa"/>
            <w:tcBorders/>
            <w:vAlign w:val="center"/>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1451"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7953"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515" w:type="dxa"/>
            <w:gridSpan w:val="2"/>
            <w:tcBorders/>
            <w:vAlign w:val="bottom"/>
          </w:tcPr>
          <w:p>
            <w:pPr>
              <w:pStyle w:val="TableContents"/>
              <w:bidi w:val="0"/>
              <w:spacing w:before="0" w:after="283"/>
              <w:jc w:val="center"/>
              <w:rPr>
                <w:b/>
              </w:rPr>
            </w:pPr>
            <w:r>
              <w:rPr>
                <w:b/>
              </w:rPr>
              <w:t>Page</w:t>
            </w:r>
          </w:p>
        </w:tc>
        <w:tc>
          <w:tcPr>
            <w:tcW w:w="64" w:type="dxa"/>
            <w:tcBorders/>
            <w:vAlign w:val="bottom"/>
          </w:tcPr>
          <w:p>
            <w:pPr>
              <w:pStyle w:val="TableContents"/>
              <w:bidi w:val="0"/>
              <w:spacing w:before="0" w:after="283"/>
              <w:jc w:val="left"/>
              <w:rPr/>
            </w:pPr>
            <w:r>
              <w:rPr/>
              <w:t> </w:t>
            </w:r>
          </w:p>
        </w:tc>
      </w:tr>
      <w:tr>
        <w:trPr>
          <w:trHeight w:val="120" w:hRule="atLeast"/>
        </w:trPr>
        <w:tc>
          <w:tcPr>
            <w:tcW w:w="1451" w:type="dxa"/>
            <w:tcBorders/>
            <w:vAlign w:val="center"/>
          </w:tcPr>
          <w:p>
            <w:pPr>
              <w:pStyle w:val="TableContents"/>
              <w:bidi w:val="0"/>
              <w:spacing w:before="0" w:after="283"/>
              <w:jc w:val="left"/>
              <w:rPr>
                <w:sz w:val="4"/>
                <w:szCs w:val="4"/>
              </w:rPr>
            </w:pPr>
            <w:r>
              <w:rPr>
                <w:sz w:val="4"/>
                <w:szCs w:val="4"/>
              </w:rPr>
            </w:r>
          </w:p>
        </w:tc>
        <w:tc>
          <w:tcPr>
            <w:tcW w:w="8039" w:type="dxa"/>
            <w:gridSpan w:val="2"/>
            <w:tcBorders/>
            <w:vAlign w:val="center"/>
          </w:tcPr>
          <w:p>
            <w:pPr>
              <w:pStyle w:val="TableContents"/>
              <w:bidi w:val="0"/>
              <w:spacing w:before="0" w:after="283"/>
              <w:jc w:val="left"/>
              <w:rPr>
                <w:sz w:val="4"/>
                <w:szCs w:val="4"/>
              </w:rPr>
            </w:pPr>
            <w:r>
              <w:rPr>
                <w:sz w:val="4"/>
                <w:szCs w:val="4"/>
              </w:rPr>
            </w:r>
          </w:p>
        </w:tc>
        <w:tc>
          <w:tcPr>
            <w:tcW w:w="715" w:type="dxa"/>
            <w:gridSpan w:val="4"/>
            <w:tcBorders/>
            <w:vAlign w:val="center"/>
          </w:tcPr>
          <w:p>
            <w:pPr>
              <w:pStyle w:val="TableContents"/>
              <w:bidi w:val="0"/>
              <w:spacing w:before="0" w:after="283"/>
              <w:jc w:val="left"/>
              <w:rPr>
                <w:sz w:val="4"/>
                <w:szCs w:val="4"/>
              </w:rPr>
            </w:pPr>
            <w:r>
              <w:rPr>
                <w:sz w:val="4"/>
                <w:szCs w:val="4"/>
              </w:rPr>
            </w:r>
          </w:p>
        </w:tc>
      </w:tr>
      <w:tr>
        <w:trPr/>
        <w:tc>
          <w:tcPr>
            <w:tcW w:w="1451" w:type="dxa"/>
            <w:tcBorders/>
          </w:tcPr>
          <w:p>
            <w:pPr>
              <w:pStyle w:val="TableContents"/>
              <w:bidi w:val="0"/>
              <w:spacing w:before="0" w:after="0"/>
              <w:jc w:val="left"/>
              <w:rPr>
                <w:rFonts w:ascii="Times New Roman" w:hAnsi="Times New Roman"/>
                <w:sz w:val="20"/>
              </w:rPr>
            </w:pPr>
            <w:r>
              <w:rPr>
                <w:rFonts w:ascii="Times New Roman" w:hAnsi="Times New Roman"/>
                <w:sz w:val="20"/>
              </w:rPr>
              <w:t>Section 6.10</w:t>
            </w:r>
          </w:p>
        </w:tc>
        <w:tc>
          <w:tcPr>
            <w:tcW w:w="86" w:type="dxa"/>
            <w:tcBorders/>
            <w:vAlign w:val="bottom"/>
          </w:tcPr>
          <w:p>
            <w:pPr>
              <w:pStyle w:val="TableContents"/>
              <w:bidi w:val="0"/>
              <w:spacing w:before="0" w:after="283"/>
              <w:jc w:val="left"/>
              <w:rPr/>
            </w:pPr>
            <w:r>
              <w:rPr/>
              <w:t> </w:t>
            </w:r>
          </w:p>
        </w:tc>
        <w:tc>
          <w:tcPr>
            <w:tcW w:w="7953" w:type="dxa"/>
            <w:tcBorders/>
            <w:vAlign w:val="bottom"/>
          </w:tcPr>
          <w:p>
            <w:pPr>
              <w:pStyle w:val="TableContents"/>
              <w:bidi w:val="0"/>
              <w:spacing w:before="0" w:after="283"/>
              <w:jc w:val="left"/>
              <w:rPr/>
            </w:pPr>
            <w:r>
              <w:rPr/>
              <w:t>Limitations on Exchange and Issuance of Equity Interests</w:t>
            </w:r>
          </w:p>
        </w:tc>
        <w:tc>
          <w:tcPr>
            <w:tcW w:w="136"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128</w:t>
            </w:r>
          </w:p>
        </w:tc>
        <w:tc>
          <w:tcPr>
            <w:tcW w:w="64" w:type="dxa"/>
            <w:tcBorders/>
            <w:vAlign w:val="bottom"/>
          </w:tcPr>
          <w:p>
            <w:pPr>
              <w:pStyle w:val="TableContents"/>
              <w:bidi w:val="0"/>
              <w:spacing w:before="0" w:after="283"/>
              <w:jc w:val="left"/>
              <w:rPr/>
            </w:pPr>
            <w:r>
              <w:rPr/>
              <w:t> </w:t>
            </w:r>
          </w:p>
        </w:tc>
      </w:tr>
      <w:tr>
        <w:trPr/>
        <w:tc>
          <w:tcPr>
            <w:tcW w:w="1451" w:type="dxa"/>
            <w:tcBorders/>
          </w:tcPr>
          <w:p>
            <w:pPr>
              <w:pStyle w:val="TableContents"/>
              <w:bidi w:val="0"/>
              <w:spacing w:before="0" w:after="0"/>
              <w:jc w:val="left"/>
              <w:rPr>
                <w:rFonts w:ascii="Times New Roman" w:hAnsi="Times New Roman"/>
                <w:sz w:val="20"/>
              </w:rPr>
            </w:pPr>
            <w:r>
              <w:rPr>
                <w:rFonts w:ascii="Times New Roman" w:hAnsi="Times New Roman"/>
                <w:sz w:val="20"/>
              </w:rPr>
              <w:t>Section 6.11</w:t>
            </w:r>
          </w:p>
        </w:tc>
        <w:tc>
          <w:tcPr>
            <w:tcW w:w="86" w:type="dxa"/>
            <w:tcBorders/>
            <w:vAlign w:val="bottom"/>
          </w:tcPr>
          <w:p>
            <w:pPr>
              <w:pStyle w:val="TableContents"/>
              <w:bidi w:val="0"/>
              <w:spacing w:before="0" w:after="283"/>
              <w:jc w:val="left"/>
              <w:rPr/>
            </w:pPr>
            <w:r>
              <w:rPr/>
              <w:t> </w:t>
            </w:r>
          </w:p>
        </w:tc>
        <w:tc>
          <w:tcPr>
            <w:tcW w:w="7953" w:type="dxa"/>
            <w:tcBorders/>
            <w:vAlign w:val="bottom"/>
          </w:tcPr>
          <w:p>
            <w:pPr>
              <w:pStyle w:val="TableContents"/>
              <w:bidi w:val="0"/>
              <w:spacing w:before="0" w:after="283"/>
              <w:jc w:val="left"/>
              <w:rPr/>
            </w:pPr>
            <w:r>
              <w:rPr/>
              <w:t>Nature of Business</w:t>
            </w:r>
          </w:p>
        </w:tc>
        <w:tc>
          <w:tcPr>
            <w:tcW w:w="136"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129</w:t>
            </w:r>
          </w:p>
        </w:tc>
        <w:tc>
          <w:tcPr>
            <w:tcW w:w="64" w:type="dxa"/>
            <w:tcBorders/>
            <w:vAlign w:val="bottom"/>
          </w:tcPr>
          <w:p>
            <w:pPr>
              <w:pStyle w:val="TableContents"/>
              <w:bidi w:val="0"/>
              <w:spacing w:before="0" w:after="283"/>
              <w:jc w:val="left"/>
              <w:rPr/>
            </w:pPr>
            <w:r>
              <w:rPr/>
              <w:t> </w:t>
            </w:r>
          </w:p>
        </w:tc>
      </w:tr>
      <w:tr>
        <w:trPr/>
        <w:tc>
          <w:tcPr>
            <w:tcW w:w="1451" w:type="dxa"/>
            <w:tcBorders/>
          </w:tcPr>
          <w:p>
            <w:pPr>
              <w:pStyle w:val="TableContents"/>
              <w:bidi w:val="0"/>
              <w:spacing w:before="0" w:after="0"/>
              <w:jc w:val="left"/>
              <w:rPr>
                <w:rFonts w:ascii="Times New Roman" w:hAnsi="Times New Roman"/>
                <w:sz w:val="20"/>
              </w:rPr>
            </w:pPr>
            <w:r>
              <w:rPr>
                <w:rFonts w:ascii="Times New Roman" w:hAnsi="Times New Roman"/>
                <w:sz w:val="20"/>
              </w:rPr>
              <w:t>Section 6.12</w:t>
            </w:r>
          </w:p>
        </w:tc>
        <w:tc>
          <w:tcPr>
            <w:tcW w:w="86" w:type="dxa"/>
            <w:tcBorders/>
            <w:vAlign w:val="bottom"/>
          </w:tcPr>
          <w:p>
            <w:pPr>
              <w:pStyle w:val="TableContents"/>
              <w:bidi w:val="0"/>
              <w:spacing w:before="0" w:after="283"/>
              <w:jc w:val="left"/>
              <w:rPr/>
            </w:pPr>
            <w:r>
              <w:rPr/>
              <w:t> </w:t>
            </w:r>
          </w:p>
        </w:tc>
        <w:tc>
          <w:tcPr>
            <w:tcW w:w="7953" w:type="dxa"/>
            <w:tcBorders/>
            <w:vAlign w:val="bottom"/>
          </w:tcPr>
          <w:p>
            <w:pPr>
              <w:pStyle w:val="TableContents"/>
              <w:bidi w:val="0"/>
              <w:spacing w:before="0" w:after="283"/>
              <w:jc w:val="left"/>
              <w:rPr/>
            </w:pPr>
            <w:r>
              <w:rPr/>
              <w:t>Impairment of Security Interest</w:t>
            </w:r>
          </w:p>
        </w:tc>
        <w:tc>
          <w:tcPr>
            <w:tcW w:w="136"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129</w:t>
            </w:r>
          </w:p>
        </w:tc>
        <w:tc>
          <w:tcPr>
            <w:tcW w:w="64" w:type="dxa"/>
            <w:tcBorders/>
            <w:vAlign w:val="bottom"/>
          </w:tcPr>
          <w:p>
            <w:pPr>
              <w:pStyle w:val="TableContents"/>
              <w:bidi w:val="0"/>
              <w:spacing w:before="0" w:after="283"/>
              <w:jc w:val="left"/>
              <w:rPr/>
            </w:pPr>
            <w:r>
              <w:rPr/>
              <w:t> </w:t>
            </w:r>
          </w:p>
        </w:tc>
      </w:tr>
      <w:tr>
        <w:trPr/>
        <w:tc>
          <w:tcPr>
            <w:tcW w:w="1451" w:type="dxa"/>
            <w:tcBorders/>
          </w:tcPr>
          <w:p>
            <w:pPr>
              <w:pStyle w:val="TableContents"/>
              <w:bidi w:val="0"/>
              <w:spacing w:before="0" w:after="0"/>
              <w:jc w:val="left"/>
              <w:rPr>
                <w:rFonts w:ascii="Times New Roman" w:hAnsi="Times New Roman"/>
                <w:sz w:val="20"/>
              </w:rPr>
            </w:pPr>
            <w:r>
              <w:rPr>
                <w:rFonts w:ascii="Times New Roman" w:hAnsi="Times New Roman"/>
                <w:sz w:val="20"/>
              </w:rPr>
              <w:t>Section 6.13</w:t>
            </w:r>
          </w:p>
        </w:tc>
        <w:tc>
          <w:tcPr>
            <w:tcW w:w="86" w:type="dxa"/>
            <w:tcBorders/>
            <w:vAlign w:val="bottom"/>
          </w:tcPr>
          <w:p>
            <w:pPr>
              <w:pStyle w:val="TableContents"/>
              <w:bidi w:val="0"/>
              <w:spacing w:before="0" w:after="283"/>
              <w:jc w:val="left"/>
              <w:rPr/>
            </w:pPr>
            <w:r>
              <w:rPr/>
              <w:t> </w:t>
            </w:r>
          </w:p>
        </w:tc>
        <w:tc>
          <w:tcPr>
            <w:tcW w:w="7953" w:type="dxa"/>
            <w:tcBorders/>
            <w:vAlign w:val="bottom"/>
          </w:tcPr>
          <w:p>
            <w:pPr>
              <w:pStyle w:val="TableContents"/>
              <w:bidi w:val="0"/>
              <w:spacing w:before="0" w:after="283"/>
              <w:jc w:val="left"/>
              <w:rPr/>
            </w:pPr>
            <w:r>
              <w:rPr/>
              <w:t>Payments and Prepayments of Subordinated Debt</w:t>
            </w:r>
          </w:p>
        </w:tc>
        <w:tc>
          <w:tcPr>
            <w:tcW w:w="136"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129</w:t>
            </w:r>
          </w:p>
        </w:tc>
        <w:tc>
          <w:tcPr>
            <w:tcW w:w="64" w:type="dxa"/>
            <w:tcBorders/>
            <w:vAlign w:val="bottom"/>
          </w:tcPr>
          <w:p>
            <w:pPr>
              <w:pStyle w:val="TableContents"/>
              <w:bidi w:val="0"/>
              <w:spacing w:before="0" w:after="283"/>
              <w:jc w:val="left"/>
              <w:rPr/>
            </w:pPr>
            <w:r>
              <w:rPr/>
              <w:t> </w:t>
            </w:r>
          </w:p>
        </w:tc>
      </w:tr>
      <w:tr>
        <w:trPr/>
        <w:tc>
          <w:tcPr>
            <w:tcW w:w="1451" w:type="dxa"/>
            <w:tcBorders/>
          </w:tcPr>
          <w:p>
            <w:pPr>
              <w:pStyle w:val="TableContents"/>
              <w:bidi w:val="0"/>
              <w:spacing w:before="0" w:after="0"/>
              <w:jc w:val="left"/>
              <w:rPr>
                <w:rFonts w:ascii="Times New Roman" w:hAnsi="Times New Roman"/>
                <w:sz w:val="20"/>
              </w:rPr>
            </w:pPr>
            <w:r>
              <w:rPr>
                <w:rFonts w:ascii="Times New Roman" w:hAnsi="Times New Roman"/>
                <w:sz w:val="20"/>
              </w:rPr>
              <w:t>Section 6.14</w:t>
            </w:r>
          </w:p>
        </w:tc>
        <w:tc>
          <w:tcPr>
            <w:tcW w:w="86" w:type="dxa"/>
            <w:tcBorders/>
            <w:vAlign w:val="bottom"/>
          </w:tcPr>
          <w:p>
            <w:pPr>
              <w:pStyle w:val="TableContents"/>
              <w:bidi w:val="0"/>
              <w:spacing w:before="0" w:after="283"/>
              <w:jc w:val="left"/>
              <w:rPr/>
            </w:pPr>
            <w:r>
              <w:rPr/>
              <w:t> </w:t>
            </w:r>
          </w:p>
        </w:tc>
        <w:tc>
          <w:tcPr>
            <w:tcW w:w="7953" w:type="dxa"/>
            <w:tcBorders/>
            <w:vAlign w:val="bottom"/>
          </w:tcPr>
          <w:p>
            <w:pPr>
              <w:pStyle w:val="TableContents"/>
              <w:bidi w:val="0"/>
              <w:spacing w:before="0" w:after="283"/>
              <w:jc w:val="left"/>
              <w:rPr/>
            </w:pPr>
            <w:r>
              <w:rPr/>
              <w:t>[Reserved]</w:t>
            </w:r>
          </w:p>
        </w:tc>
        <w:tc>
          <w:tcPr>
            <w:tcW w:w="136"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129</w:t>
            </w:r>
          </w:p>
        </w:tc>
        <w:tc>
          <w:tcPr>
            <w:tcW w:w="64" w:type="dxa"/>
            <w:tcBorders/>
            <w:vAlign w:val="bottom"/>
          </w:tcPr>
          <w:p>
            <w:pPr>
              <w:pStyle w:val="TableContents"/>
              <w:bidi w:val="0"/>
              <w:spacing w:before="0" w:after="283"/>
              <w:jc w:val="left"/>
              <w:rPr/>
            </w:pPr>
            <w:r>
              <w:rPr/>
              <w:t> </w:t>
            </w:r>
          </w:p>
        </w:tc>
      </w:tr>
      <w:tr>
        <w:trPr/>
        <w:tc>
          <w:tcPr>
            <w:tcW w:w="1451" w:type="dxa"/>
            <w:tcBorders/>
          </w:tcPr>
          <w:p>
            <w:pPr>
              <w:pStyle w:val="TableContents"/>
              <w:bidi w:val="0"/>
              <w:spacing w:before="0" w:after="0"/>
              <w:jc w:val="left"/>
              <w:rPr>
                <w:rFonts w:ascii="Times New Roman" w:hAnsi="Times New Roman"/>
                <w:sz w:val="20"/>
              </w:rPr>
            </w:pPr>
            <w:r>
              <w:rPr>
                <w:rFonts w:ascii="Times New Roman" w:hAnsi="Times New Roman"/>
                <w:sz w:val="20"/>
              </w:rPr>
              <w:t>Section 6.15</w:t>
            </w:r>
          </w:p>
        </w:tc>
        <w:tc>
          <w:tcPr>
            <w:tcW w:w="86" w:type="dxa"/>
            <w:tcBorders/>
            <w:vAlign w:val="bottom"/>
          </w:tcPr>
          <w:p>
            <w:pPr>
              <w:pStyle w:val="TableContents"/>
              <w:bidi w:val="0"/>
              <w:spacing w:before="0" w:after="283"/>
              <w:jc w:val="left"/>
              <w:rPr/>
            </w:pPr>
            <w:r>
              <w:rPr/>
              <w:t> </w:t>
            </w:r>
          </w:p>
        </w:tc>
        <w:tc>
          <w:tcPr>
            <w:tcW w:w="7953" w:type="dxa"/>
            <w:tcBorders/>
            <w:vAlign w:val="bottom"/>
          </w:tcPr>
          <w:p>
            <w:pPr>
              <w:pStyle w:val="TableContents"/>
              <w:bidi w:val="0"/>
              <w:spacing w:before="0" w:after="283"/>
              <w:jc w:val="left"/>
              <w:rPr/>
            </w:pPr>
            <w:r>
              <w:rPr/>
              <w:t>REIT Status</w:t>
            </w:r>
          </w:p>
        </w:tc>
        <w:tc>
          <w:tcPr>
            <w:tcW w:w="136"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129</w:t>
            </w:r>
          </w:p>
        </w:tc>
        <w:tc>
          <w:tcPr>
            <w:tcW w:w="64" w:type="dxa"/>
            <w:tcBorders/>
            <w:vAlign w:val="bottom"/>
          </w:tcPr>
          <w:p>
            <w:pPr>
              <w:pStyle w:val="TableContents"/>
              <w:bidi w:val="0"/>
              <w:spacing w:before="0" w:after="283"/>
              <w:jc w:val="left"/>
              <w:rPr/>
            </w:pPr>
            <w:r>
              <w:rPr/>
              <w:t> </w:t>
            </w:r>
          </w:p>
        </w:tc>
      </w:tr>
      <w:tr>
        <w:trPr>
          <w:trHeight w:val="120" w:hRule="atLeast"/>
        </w:trPr>
        <w:tc>
          <w:tcPr>
            <w:tcW w:w="9490" w:type="dxa"/>
            <w:gridSpan w:val="3"/>
            <w:tcBorders/>
            <w:vAlign w:val="center"/>
          </w:tcPr>
          <w:p>
            <w:pPr>
              <w:pStyle w:val="TableContents"/>
              <w:bidi w:val="0"/>
              <w:spacing w:before="0" w:after="283"/>
              <w:jc w:val="left"/>
              <w:rPr>
                <w:sz w:val="4"/>
                <w:szCs w:val="4"/>
              </w:rPr>
            </w:pPr>
            <w:r>
              <w:rPr>
                <w:sz w:val="4"/>
                <w:szCs w:val="4"/>
              </w:rPr>
            </w:r>
          </w:p>
        </w:tc>
        <w:tc>
          <w:tcPr>
            <w:tcW w:w="715" w:type="dxa"/>
            <w:gridSpan w:val="4"/>
            <w:tcBorders/>
            <w:vAlign w:val="center"/>
          </w:tcPr>
          <w:p>
            <w:pPr>
              <w:pStyle w:val="TableContents"/>
              <w:bidi w:val="0"/>
              <w:spacing w:before="0" w:after="283"/>
              <w:jc w:val="left"/>
              <w:rPr>
                <w:sz w:val="4"/>
                <w:szCs w:val="4"/>
              </w:rPr>
            </w:pPr>
            <w:r>
              <w:rPr>
                <w:sz w:val="4"/>
                <w:szCs w:val="4"/>
              </w:rPr>
            </w:r>
          </w:p>
        </w:tc>
      </w:tr>
      <w:tr>
        <w:trPr/>
        <w:tc>
          <w:tcPr>
            <w:tcW w:w="9490"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VII EVENTS OF DEFAULT</w:t>
            </w:r>
          </w:p>
        </w:tc>
        <w:tc>
          <w:tcPr>
            <w:tcW w:w="136"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129</w:t>
            </w:r>
          </w:p>
        </w:tc>
        <w:tc>
          <w:tcPr>
            <w:tcW w:w="64" w:type="dxa"/>
            <w:tcBorders/>
            <w:vAlign w:val="bottom"/>
          </w:tcPr>
          <w:p>
            <w:pPr>
              <w:pStyle w:val="TableContents"/>
              <w:bidi w:val="0"/>
              <w:spacing w:before="0" w:after="283"/>
              <w:jc w:val="left"/>
              <w:rPr/>
            </w:pPr>
            <w:r>
              <w:rPr/>
              <w:t> </w:t>
            </w:r>
          </w:p>
        </w:tc>
      </w:tr>
      <w:tr>
        <w:trPr>
          <w:trHeight w:val="120" w:hRule="atLeast"/>
        </w:trPr>
        <w:tc>
          <w:tcPr>
            <w:tcW w:w="1451" w:type="dxa"/>
            <w:tcBorders/>
            <w:vAlign w:val="center"/>
          </w:tcPr>
          <w:p>
            <w:pPr>
              <w:pStyle w:val="TableContents"/>
              <w:bidi w:val="0"/>
              <w:spacing w:before="0" w:after="283"/>
              <w:jc w:val="left"/>
              <w:rPr>
                <w:sz w:val="4"/>
                <w:szCs w:val="4"/>
              </w:rPr>
            </w:pPr>
            <w:r>
              <w:rPr>
                <w:sz w:val="4"/>
                <w:szCs w:val="4"/>
              </w:rPr>
            </w:r>
          </w:p>
        </w:tc>
        <w:tc>
          <w:tcPr>
            <w:tcW w:w="8039" w:type="dxa"/>
            <w:gridSpan w:val="2"/>
            <w:tcBorders/>
            <w:vAlign w:val="center"/>
          </w:tcPr>
          <w:p>
            <w:pPr>
              <w:pStyle w:val="TableContents"/>
              <w:bidi w:val="0"/>
              <w:spacing w:before="0" w:after="283"/>
              <w:jc w:val="left"/>
              <w:rPr>
                <w:sz w:val="4"/>
                <w:szCs w:val="4"/>
              </w:rPr>
            </w:pPr>
            <w:r>
              <w:rPr>
                <w:sz w:val="4"/>
                <w:szCs w:val="4"/>
              </w:rPr>
            </w:r>
          </w:p>
        </w:tc>
        <w:tc>
          <w:tcPr>
            <w:tcW w:w="715" w:type="dxa"/>
            <w:gridSpan w:val="4"/>
            <w:tcBorders/>
            <w:vAlign w:val="center"/>
          </w:tcPr>
          <w:p>
            <w:pPr>
              <w:pStyle w:val="TableContents"/>
              <w:bidi w:val="0"/>
              <w:spacing w:before="0" w:after="283"/>
              <w:jc w:val="left"/>
              <w:rPr>
                <w:sz w:val="4"/>
                <w:szCs w:val="4"/>
              </w:rPr>
            </w:pPr>
            <w:r>
              <w:rPr>
                <w:sz w:val="4"/>
                <w:szCs w:val="4"/>
              </w:rPr>
            </w:r>
          </w:p>
        </w:tc>
      </w:tr>
      <w:tr>
        <w:trPr/>
        <w:tc>
          <w:tcPr>
            <w:tcW w:w="1451" w:type="dxa"/>
            <w:tcBorders/>
          </w:tcPr>
          <w:p>
            <w:pPr>
              <w:pStyle w:val="TableContents"/>
              <w:bidi w:val="0"/>
              <w:spacing w:before="0" w:after="0"/>
              <w:jc w:val="left"/>
              <w:rPr>
                <w:rFonts w:ascii="Times New Roman" w:hAnsi="Times New Roman"/>
                <w:sz w:val="20"/>
              </w:rPr>
            </w:pPr>
            <w:r>
              <w:rPr>
                <w:rFonts w:ascii="Times New Roman" w:hAnsi="Times New Roman"/>
                <w:sz w:val="20"/>
              </w:rPr>
              <w:t>Section 7.01</w:t>
            </w:r>
          </w:p>
        </w:tc>
        <w:tc>
          <w:tcPr>
            <w:tcW w:w="86" w:type="dxa"/>
            <w:tcBorders/>
            <w:vAlign w:val="bottom"/>
          </w:tcPr>
          <w:p>
            <w:pPr>
              <w:pStyle w:val="TableContents"/>
              <w:bidi w:val="0"/>
              <w:spacing w:before="0" w:after="283"/>
              <w:jc w:val="left"/>
              <w:rPr/>
            </w:pPr>
            <w:r>
              <w:rPr/>
              <w:t> </w:t>
            </w:r>
          </w:p>
        </w:tc>
        <w:tc>
          <w:tcPr>
            <w:tcW w:w="7953" w:type="dxa"/>
            <w:tcBorders/>
            <w:vAlign w:val="bottom"/>
          </w:tcPr>
          <w:p>
            <w:pPr>
              <w:pStyle w:val="TableContents"/>
              <w:bidi w:val="0"/>
              <w:spacing w:before="0" w:after="283"/>
              <w:jc w:val="left"/>
              <w:rPr/>
            </w:pPr>
            <w:r>
              <w:rPr/>
              <w:t>Events of Default</w:t>
            </w:r>
          </w:p>
        </w:tc>
        <w:tc>
          <w:tcPr>
            <w:tcW w:w="136"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129</w:t>
            </w:r>
          </w:p>
        </w:tc>
        <w:tc>
          <w:tcPr>
            <w:tcW w:w="64" w:type="dxa"/>
            <w:tcBorders/>
            <w:vAlign w:val="bottom"/>
          </w:tcPr>
          <w:p>
            <w:pPr>
              <w:pStyle w:val="TableContents"/>
              <w:bidi w:val="0"/>
              <w:spacing w:before="0" w:after="283"/>
              <w:jc w:val="left"/>
              <w:rPr/>
            </w:pPr>
            <w:r>
              <w:rPr/>
              <w:t> </w:t>
            </w:r>
          </w:p>
        </w:tc>
      </w:tr>
      <w:tr>
        <w:trPr/>
        <w:tc>
          <w:tcPr>
            <w:tcW w:w="1451" w:type="dxa"/>
            <w:tcBorders/>
          </w:tcPr>
          <w:p>
            <w:pPr>
              <w:pStyle w:val="TableContents"/>
              <w:bidi w:val="0"/>
              <w:spacing w:before="0" w:after="0"/>
              <w:jc w:val="left"/>
              <w:rPr>
                <w:rFonts w:ascii="Times New Roman" w:hAnsi="Times New Roman"/>
                <w:sz w:val="20"/>
              </w:rPr>
            </w:pPr>
            <w:r>
              <w:rPr>
                <w:rFonts w:ascii="Times New Roman" w:hAnsi="Times New Roman"/>
                <w:sz w:val="20"/>
              </w:rPr>
              <w:t>Section 7.02</w:t>
            </w:r>
          </w:p>
        </w:tc>
        <w:tc>
          <w:tcPr>
            <w:tcW w:w="86" w:type="dxa"/>
            <w:tcBorders/>
            <w:vAlign w:val="bottom"/>
          </w:tcPr>
          <w:p>
            <w:pPr>
              <w:pStyle w:val="TableContents"/>
              <w:bidi w:val="0"/>
              <w:spacing w:before="0" w:after="283"/>
              <w:jc w:val="left"/>
              <w:rPr/>
            </w:pPr>
            <w:r>
              <w:rPr/>
              <w:t> </w:t>
            </w:r>
          </w:p>
        </w:tc>
        <w:tc>
          <w:tcPr>
            <w:tcW w:w="7953" w:type="dxa"/>
            <w:tcBorders/>
            <w:vAlign w:val="bottom"/>
          </w:tcPr>
          <w:p>
            <w:pPr>
              <w:pStyle w:val="TableContents"/>
              <w:bidi w:val="0"/>
              <w:spacing w:before="0" w:after="283"/>
              <w:jc w:val="left"/>
              <w:rPr/>
            </w:pPr>
            <w:r>
              <w:rPr/>
              <w:t>Application of Payments</w:t>
            </w:r>
          </w:p>
        </w:tc>
        <w:tc>
          <w:tcPr>
            <w:tcW w:w="136"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132</w:t>
            </w:r>
          </w:p>
        </w:tc>
        <w:tc>
          <w:tcPr>
            <w:tcW w:w="64" w:type="dxa"/>
            <w:tcBorders/>
            <w:vAlign w:val="bottom"/>
          </w:tcPr>
          <w:p>
            <w:pPr>
              <w:pStyle w:val="TableContents"/>
              <w:bidi w:val="0"/>
              <w:spacing w:before="0" w:after="283"/>
              <w:jc w:val="left"/>
              <w:rPr/>
            </w:pPr>
            <w:r>
              <w:rPr/>
              <w:t> </w:t>
            </w:r>
          </w:p>
        </w:tc>
      </w:tr>
      <w:tr>
        <w:trPr>
          <w:trHeight w:val="120" w:hRule="atLeast"/>
        </w:trPr>
        <w:tc>
          <w:tcPr>
            <w:tcW w:w="9490" w:type="dxa"/>
            <w:gridSpan w:val="3"/>
            <w:tcBorders/>
            <w:vAlign w:val="center"/>
          </w:tcPr>
          <w:p>
            <w:pPr>
              <w:pStyle w:val="TableContents"/>
              <w:bidi w:val="0"/>
              <w:spacing w:before="0" w:after="283"/>
              <w:jc w:val="left"/>
              <w:rPr>
                <w:sz w:val="4"/>
                <w:szCs w:val="4"/>
              </w:rPr>
            </w:pPr>
            <w:r>
              <w:rPr>
                <w:sz w:val="4"/>
                <w:szCs w:val="4"/>
              </w:rPr>
            </w:r>
          </w:p>
        </w:tc>
        <w:tc>
          <w:tcPr>
            <w:tcW w:w="715" w:type="dxa"/>
            <w:gridSpan w:val="4"/>
            <w:tcBorders/>
            <w:vAlign w:val="center"/>
          </w:tcPr>
          <w:p>
            <w:pPr>
              <w:pStyle w:val="TableContents"/>
              <w:bidi w:val="0"/>
              <w:spacing w:before="0" w:after="283"/>
              <w:jc w:val="left"/>
              <w:rPr>
                <w:sz w:val="4"/>
                <w:szCs w:val="4"/>
              </w:rPr>
            </w:pPr>
            <w:r>
              <w:rPr>
                <w:sz w:val="4"/>
                <w:szCs w:val="4"/>
              </w:rPr>
            </w:r>
          </w:p>
        </w:tc>
      </w:tr>
      <w:tr>
        <w:trPr/>
        <w:tc>
          <w:tcPr>
            <w:tcW w:w="9490"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VIII AGENCY</w:t>
            </w:r>
          </w:p>
        </w:tc>
        <w:tc>
          <w:tcPr>
            <w:tcW w:w="136"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133</w:t>
            </w:r>
          </w:p>
        </w:tc>
        <w:tc>
          <w:tcPr>
            <w:tcW w:w="64" w:type="dxa"/>
            <w:tcBorders/>
            <w:vAlign w:val="bottom"/>
          </w:tcPr>
          <w:p>
            <w:pPr>
              <w:pStyle w:val="TableContents"/>
              <w:bidi w:val="0"/>
              <w:spacing w:before="0" w:after="283"/>
              <w:jc w:val="left"/>
              <w:rPr/>
            </w:pPr>
            <w:r>
              <w:rPr/>
              <w:t> </w:t>
            </w:r>
          </w:p>
        </w:tc>
      </w:tr>
      <w:tr>
        <w:trPr>
          <w:trHeight w:val="120" w:hRule="atLeast"/>
        </w:trPr>
        <w:tc>
          <w:tcPr>
            <w:tcW w:w="1451" w:type="dxa"/>
            <w:tcBorders/>
            <w:vAlign w:val="center"/>
          </w:tcPr>
          <w:p>
            <w:pPr>
              <w:pStyle w:val="TableContents"/>
              <w:bidi w:val="0"/>
              <w:spacing w:before="0" w:after="283"/>
              <w:jc w:val="left"/>
              <w:rPr>
                <w:sz w:val="4"/>
                <w:szCs w:val="4"/>
              </w:rPr>
            </w:pPr>
            <w:r>
              <w:rPr>
                <w:sz w:val="4"/>
                <w:szCs w:val="4"/>
              </w:rPr>
            </w:r>
          </w:p>
        </w:tc>
        <w:tc>
          <w:tcPr>
            <w:tcW w:w="8039" w:type="dxa"/>
            <w:gridSpan w:val="2"/>
            <w:tcBorders/>
            <w:vAlign w:val="center"/>
          </w:tcPr>
          <w:p>
            <w:pPr>
              <w:pStyle w:val="TableContents"/>
              <w:bidi w:val="0"/>
              <w:spacing w:before="0" w:after="283"/>
              <w:jc w:val="left"/>
              <w:rPr>
                <w:sz w:val="4"/>
                <w:szCs w:val="4"/>
              </w:rPr>
            </w:pPr>
            <w:r>
              <w:rPr>
                <w:sz w:val="4"/>
                <w:szCs w:val="4"/>
              </w:rPr>
            </w:r>
          </w:p>
        </w:tc>
        <w:tc>
          <w:tcPr>
            <w:tcW w:w="715" w:type="dxa"/>
            <w:gridSpan w:val="4"/>
            <w:tcBorders/>
            <w:vAlign w:val="center"/>
          </w:tcPr>
          <w:p>
            <w:pPr>
              <w:pStyle w:val="TableContents"/>
              <w:bidi w:val="0"/>
              <w:spacing w:before="0" w:after="283"/>
              <w:jc w:val="left"/>
              <w:rPr>
                <w:sz w:val="4"/>
                <w:szCs w:val="4"/>
              </w:rPr>
            </w:pPr>
            <w:r>
              <w:rPr>
                <w:sz w:val="4"/>
                <w:szCs w:val="4"/>
              </w:rPr>
            </w:r>
          </w:p>
        </w:tc>
      </w:tr>
      <w:tr>
        <w:trPr/>
        <w:tc>
          <w:tcPr>
            <w:tcW w:w="1451" w:type="dxa"/>
            <w:tcBorders/>
          </w:tcPr>
          <w:p>
            <w:pPr>
              <w:pStyle w:val="TableContents"/>
              <w:bidi w:val="0"/>
              <w:spacing w:before="0" w:after="0"/>
              <w:jc w:val="left"/>
              <w:rPr>
                <w:rFonts w:ascii="Times New Roman" w:hAnsi="Times New Roman"/>
                <w:sz w:val="20"/>
              </w:rPr>
            </w:pPr>
            <w:r>
              <w:rPr>
                <w:rFonts w:ascii="Times New Roman" w:hAnsi="Times New Roman"/>
                <w:sz w:val="20"/>
              </w:rPr>
              <w:t>Section 8.01</w:t>
            </w:r>
          </w:p>
        </w:tc>
        <w:tc>
          <w:tcPr>
            <w:tcW w:w="86" w:type="dxa"/>
            <w:tcBorders/>
            <w:vAlign w:val="bottom"/>
          </w:tcPr>
          <w:p>
            <w:pPr>
              <w:pStyle w:val="TableContents"/>
              <w:bidi w:val="0"/>
              <w:spacing w:before="0" w:after="283"/>
              <w:jc w:val="left"/>
              <w:rPr/>
            </w:pPr>
            <w:r>
              <w:rPr/>
              <w:t> </w:t>
            </w:r>
          </w:p>
        </w:tc>
        <w:tc>
          <w:tcPr>
            <w:tcW w:w="7953" w:type="dxa"/>
            <w:tcBorders/>
            <w:vAlign w:val="bottom"/>
          </w:tcPr>
          <w:p>
            <w:pPr>
              <w:pStyle w:val="TableContents"/>
              <w:bidi w:val="0"/>
              <w:spacing w:before="0" w:after="283"/>
              <w:jc w:val="left"/>
              <w:rPr/>
            </w:pPr>
            <w:r>
              <w:rPr/>
              <w:t>Administrative Agent</w:t>
            </w:r>
          </w:p>
        </w:tc>
        <w:tc>
          <w:tcPr>
            <w:tcW w:w="136"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133</w:t>
            </w:r>
          </w:p>
        </w:tc>
        <w:tc>
          <w:tcPr>
            <w:tcW w:w="64" w:type="dxa"/>
            <w:tcBorders/>
            <w:vAlign w:val="bottom"/>
          </w:tcPr>
          <w:p>
            <w:pPr>
              <w:pStyle w:val="TableContents"/>
              <w:bidi w:val="0"/>
              <w:spacing w:before="0" w:after="283"/>
              <w:jc w:val="left"/>
              <w:rPr/>
            </w:pPr>
            <w:r>
              <w:rPr/>
              <w:t> </w:t>
            </w:r>
          </w:p>
        </w:tc>
      </w:tr>
      <w:tr>
        <w:trPr/>
        <w:tc>
          <w:tcPr>
            <w:tcW w:w="1451" w:type="dxa"/>
            <w:tcBorders/>
          </w:tcPr>
          <w:p>
            <w:pPr>
              <w:pStyle w:val="TableContents"/>
              <w:bidi w:val="0"/>
              <w:spacing w:before="0" w:after="0"/>
              <w:jc w:val="left"/>
              <w:rPr>
                <w:rFonts w:ascii="Times New Roman" w:hAnsi="Times New Roman"/>
                <w:sz w:val="20"/>
              </w:rPr>
            </w:pPr>
            <w:r>
              <w:rPr>
                <w:rFonts w:ascii="Times New Roman" w:hAnsi="Times New Roman"/>
                <w:sz w:val="20"/>
              </w:rPr>
              <w:t>Section 8.02</w:t>
            </w:r>
          </w:p>
        </w:tc>
        <w:tc>
          <w:tcPr>
            <w:tcW w:w="86" w:type="dxa"/>
            <w:tcBorders/>
            <w:vAlign w:val="bottom"/>
          </w:tcPr>
          <w:p>
            <w:pPr>
              <w:pStyle w:val="TableContents"/>
              <w:bidi w:val="0"/>
              <w:spacing w:before="0" w:after="283"/>
              <w:jc w:val="left"/>
              <w:rPr/>
            </w:pPr>
            <w:r>
              <w:rPr/>
              <w:t> </w:t>
            </w:r>
          </w:p>
        </w:tc>
        <w:tc>
          <w:tcPr>
            <w:tcW w:w="7953" w:type="dxa"/>
            <w:tcBorders/>
            <w:vAlign w:val="bottom"/>
          </w:tcPr>
          <w:p>
            <w:pPr>
              <w:pStyle w:val="TableContents"/>
              <w:bidi w:val="0"/>
              <w:spacing w:before="0" w:after="283"/>
              <w:jc w:val="left"/>
              <w:rPr/>
            </w:pPr>
            <w:r>
              <w:rPr/>
              <w:t>Rights as a Lender</w:t>
            </w:r>
          </w:p>
        </w:tc>
        <w:tc>
          <w:tcPr>
            <w:tcW w:w="136"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134</w:t>
            </w:r>
          </w:p>
        </w:tc>
        <w:tc>
          <w:tcPr>
            <w:tcW w:w="64" w:type="dxa"/>
            <w:tcBorders/>
            <w:vAlign w:val="bottom"/>
          </w:tcPr>
          <w:p>
            <w:pPr>
              <w:pStyle w:val="TableContents"/>
              <w:bidi w:val="0"/>
              <w:spacing w:before="0" w:after="283"/>
              <w:jc w:val="left"/>
              <w:rPr/>
            </w:pPr>
            <w:r>
              <w:rPr/>
              <w:t> </w:t>
            </w:r>
          </w:p>
        </w:tc>
      </w:tr>
      <w:tr>
        <w:trPr/>
        <w:tc>
          <w:tcPr>
            <w:tcW w:w="1451" w:type="dxa"/>
            <w:tcBorders/>
          </w:tcPr>
          <w:p>
            <w:pPr>
              <w:pStyle w:val="TableContents"/>
              <w:bidi w:val="0"/>
              <w:spacing w:before="0" w:after="0"/>
              <w:jc w:val="left"/>
              <w:rPr>
                <w:rFonts w:ascii="Times New Roman" w:hAnsi="Times New Roman"/>
                <w:sz w:val="20"/>
              </w:rPr>
            </w:pPr>
            <w:r>
              <w:rPr>
                <w:rFonts w:ascii="Times New Roman" w:hAnsi="Times New Roman"/>
                <w:sz w:val="20"/>
              </w:rPr>
              <w:t>Section 8.03</w:t>
            </w:r>
          </w:p>
        </w:tc>
        <w:tc>
          <w:tcPr>
            <w:tcW w:w="86" w:type="dxa"/>
            <w:tcBorders/>
            <w:vAlign w:val="bottom"/>
          </w:tcPr>
          <w:p>
            <w:pPr>
              <w:pStyle w:val="TableContents"/>
              <w:bidi w:val="0"/>
              <w:spacing w:before="0" w:after="283"/>
              <w:jc w:val="left"/>
              <w:rPr/>
            </w:pPr>
            <w:r>
              <w:rPr/>
              <w:t> </w:t>
            </w:r>
          </w:p>
        </w:tc>
        <w:tc>
          <w:tcPr>
            <w:tcW w:w="7953" w:type="dxa"/>
            <w:tcBorders/>
            <w:vAlign w:val="bottom"/>
          </w:tcPr>
          <w:p>
            <w:pPr>
              <w:pStyle w:val="TableContents"/>
              <w:bidi w:val="0"/>
              <w:spacing w:before="0" w:after="283"/>
              <w:jc w:val="left"/>
              <w:rPr/>
            </w:pPr>
            <w:r>
              <w:rPr/>
              <w:t>Exculpatory Provisions</w:t>
            </w:r>
          </w:p>
        </w:tc>
        <w:tc>
          <w:tcPr>
            <w:tcW w:w="136"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134</w:t>
            </w:r>
          </w:p>
        </w:tc>
        <w:tc>
          <w:tcPr>
            <w:tcW w:w="64" w:type="dxa"/>
            <w:tcBorders/>
            <w:vAlign w:val="bottom"/>
          </w:tcPr>
          <w:p>
            <w:pPr>
              <w:pStyle w:val="TableContents"/>
              <w:bidi w:val="0"/>
              <w:spacing w:before="0" w:after="283"/>
              <w:jc w:val="left"/>
              <w:rPr/>
            </w:pPr>
            <w:r>
              <w:rPr/>
              <w:t> </w:t>
            </w:r>
          </w:p>
        </w:tc>
      </w:tr>
      <w:tr>
        <w:trPr/>
        <w:tc>
          <w:tcPr>
            <w:tcW w:w="1451" w:type="dxa"/>
            <w:tcBorders/>
          </w:tcPr>
          <w:p>
            <w:pPr>
              <w:pStyle w:val="TableContents"/>
              <w:bidi w:val="0"/>
              <w:spacing w:before="0" w:after="0"/>
              <w:jc w:val="left"/>
              <w:rPr>
                <w:rFonts w:ascii="Times New Roman" w:hAnsi="Times New Roman"/>
                <w:sz w:val="20"/>
              </w:rPr>
            </w:pPr>
            <w:r>
              <w:rPr>
                <w:rFonts w:ascii="Times New Roman" w:hAnsi="Times New Roman"/>
                <w:sz w:val="20"/>
              </w:rPr>
              <w:t>Section 8.04</w:t>
            </w:r>
          </w:p>
        </w:tc>
        <w:tc>
          <w:tcPr>
            <w:tcW w:w="86" w:type="dxa"/>
            <w:tcBorders/>
            <w:vAlign w:val="bottom"/>
          </w:tcPr>
          <w:p>
            <w:pPr>
              <w:pStyle w:val="TableContents"/>
              <w:bidi w:val="0"/>
              <w:spacing w:before="0" w:after="283"/>
              <w:jc w:val="left"/>
              <w:rPr/>
            </w:pPr>
            <w:r>
              <w:rPr/>
              <w:t> </w:t>
            </w:r>
          </w:p>
        </w:tc>
        <w:tc>
          <w:tcPr>
            <w:tcW w:w="7953" w:type="dxa"/>
            <w:tcBorders/>
            <w:vAlign w:val="bottom"/>
          </w:tcPr>
          <w:p>
            <w:pPr>
              <w:pStyle w:val="TableContents"/>
              <w:bidi w:val="0"/>
              <w:spacing w:before="0" w:after="283"/>
              <w:jc w:val="left"/>
              <w:rPr/>
            </w:pPr>
            <w:r>
              <w:rPr/>
              <w:t>Reliance by Administrative Agent</w:t>
            </w:r>
          </w:p>
        </w:tc>
        <w:tc>
          <w:tcPr>
            <w:tcW w:w="136"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135</w:t>
            </w:r>
          </w:p>
        </w:tc>
        <w:tc>
          <w:tcPr>
            <w:tcW w:w="64" w:type="dxa"/>
            <w:tcBorders/>
            <w:vAlign w:val="bottom"/>
          </w:tcPr>
          <w:p>
            <w:pPr>
              <w:pStyle w:val="TableContents"/>
              <w:bidi w:val="0"/>
              <w:spacing w:before="0" w:after="283"/>
              <w:jc w:val="left"/>
              <w:rPr/>
            </w:pPr>
            <w:r>
              <w:rPr/>
              <w:t> </w:t>
            </w:r>
          </w:p>
        </w:tc>
      </w:tr>
      <w:tr>
        <w:trPr/>
        <w:tc>
          <w:tcPr>
            <w:tcW w:w="1451" w:type="dxa"/>
            <w:tcBorders/>
          </w:tcPr>
          <w:p>
            <w:pPr>
              <w:pStyle w:val="TableContents"/>
              <w:bidi w:val="0"/>
              <w:spacing w:before="0" w:after="0"/>
              <w:jc w:val="left"/>
              <w:rPr>
                <w:rFonts w:ascii="Times New Roman" w:hAnsi="Times New Roman"/>
                <w:sz w:val="20"/>
              </w:rPr>
            </w:pPr>
            <w:r>
              <w:rPr>
                <w:rFonts w:ascii="Times New Roman" w:hAnsi="Times New Roman"/>
                <w:sz w:val="20"/>
              </w:rPr>
              <w:t>Section 8.05</w:t>
            </w:r>
          </w:p>
        </w:tc>
        <w:tc>
          <w:tcPr>
            <w:tcW w:w="86" w:type="dxa"/>
            <w:tcBorders/>
            <w:vAlign w:val="bottom"/>
          </w:tcPr>
          <w:p>
            <w:pPr>
              <w:pStyle w:val="TableContents"/>
              <w:bidi w:val="0"/>
              <w:spacing w:before="0" w:after="283"/>
              <w:jc w:val="left"/>
              <w:rPr/>
            </w:pPr>
            <w:r>
              <w:rPr/>
              <w:t> </w:t>
            </w:r>
          </w:p>
        </w:tc>
        <w:tc>
          <w:tcPr>
            <w:tcW w:w="7953" w:type="dxa"/>
            <w:tcBorders/>
            <w:vAlign w:val="bottom"/>
          </w:tcPr>
          <w:p>
            <w:pPr>
              <w:pStyle w:val="TableContents"/>
              <w:bidi w:val="0"/>
              <w:spacing w:before="0" w:after="283"/>
              <w:jc w:val="left"/>
              <w:rPr/>
            </w:pPr>
            <w:r>
              <w:rPr/>
              <w:t>Delegation of Duties</w:t>
            </w:r>
          </w:p>
        </w:tc>
        <w:tc>
          <w:tcPr>
            <w:tcW w:w="136"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136</w:t>
            </w:r>
          </w:p>
        </w:tc>
        <w:tc>
          <w:tcPr>
            <w:tcW w:w="64" w:type="dxa"/>
            <w:tcBorders/>
            <w:vAlign w:val="bottom"/>
          </w:tcPr>
          <w:p>
            <w:pPr>
              <w:pStyle w:val="TableContents"/>
              <w:bidi w:val="0"/>
              <w:spacing w:before="0" w:after="283"/>
              <w:jc w:val="left"/>
              <w:rPr/>
            </w:pPr>
            <w:r>
              <w:rPr/>
              <w:t> </w:t>
            </w:r>
          </w:p>
        </w:tc>
      </w:tr>
      <w:tr>
        <w:trPr/>
        <w:tc>
          <w:tcPr>
            <w:tcW w:w="1451" w:type="dxa"/>
            <w:tcBorders/>
          </w:tcPr>
          <w:p>
            <w:pPr>
              <w:pStyle w:val="TableContents"/>
              <w:bidi w:val="0"/>
              <w:spacing w:before="0" w:after="0"/>
              <w:jc w:val="left"/>
              <w:rPr>
                <w:rFonts w:ascii="Times New Roman" w:hAnsi="Times New Roman"/>
                <w:sz w:val="20"/>
              </w:rPr>
            </w:pPr>
            <w:r>
              <w:rPr>
                <w:rFonts w:ascii="Times New Roman" w:hAnsi="Times New Roman"/>
                <w:sz w:val="20"/>
              </w:rPr>
              <w:t>Section 8.06</w:t>
            </w:r>
          </w:p>
        </w:tc>
        <w:tc>
          <w:tcPr>
            <w:tcW w:w="86" w:type="dxa"/>
            <w:tcBorders/>
            <w:vAlign w:val="bottom"/>
          </w:tcPr>
          <w:p>
            <w:pPr>
              <w:pStyle w:val="TableContents"/>
              <w:bidi w:val="0"/>
              <w:spacing w:before="0" w:after="283"/>
              <w:jc w:val="left"/>
              <w:rPr/>
            </w:pPr>
            <w:r>
              <w:rPr/>
              <w:t> </w:t>
            </w:r>
          </w:p>
        </w:tc>
        <w:tc>
          <w:tcPr>
            <w:tcW w:w="7953" w:type="dxa"/>
            <w:tcBorders/>
            <w:vAlign w:val="bottom"/>
          </w:tcPr>
          <w:p>
            <w:pPr>
              <w:pStyle w:val="TableContents"/>
              <w:bidi w:val="0"/>
              <w:spacing w:before="0" w:after="283"/>
              <w:jc w:val="left"/>
              <w:rPr/>
            </w:pPr>
            <w:r>
              <w:rPr/>
              <w:t>Resignation or Removal of Administrative Agent</w:t>
            </w:r>
          </w:p>
        </w:tc>
        <w:tc>
          <w:tcPr>
            <w:tcW w:w="136"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136</w:t>
            </w:r>
          </w:p>
        </w:tc>
        <w:tc>
          <w:tcPr>
            <w:tcW w:w="64" w:type="dxa"/>
            <w:tcBorders/>
            <w:vAlign w:val="bottom"/>
          </w:tcPr>
          <w:p>
            <w:pPr>
              <w:pStyle w:val="TableContents"/>
              <w:bidi w:val="0"/>
              <w:spacing w:before="0" w:after="283"/>
              <w:jc w:val="left"/>
              <w:rPr/>
            </w:pPr>
            <w:r>
              <w:rPr/>
              <w:t> </w:t>
            </w:r>
          </w:p>
        </w:tc>
      </w:tr>
      <w:tr>
        <w:trPr/>
        <w:tc>
          <w:tcPr>
            <w:tcW w:w="1451" w:type="dxa"/>
            <w:tcBorders/>
          </w:tcPr>
          <w:p>
            <w:pPr>
              <w:pStyle w:val="TableContents"/>
              <w:bidi w:val="0"/>
              <w:spacing w:before="0" w:after="0"/>
              <w:jc w:val="left"/>
              <w:rPr>
                <w:rFonts w:ascii="Times New Roman" w:hAnsi="Times New Roman"/>
                <w:sz w:val="20"/>
              </w:rPr>
            </w:pPr>
            <w:r>
              <w:rPr>
                <w:rFonts w:ascii="Times New Roman" w:hAnsi="Times New Roman"/>
                <w:sz w:val="20"/>
              </w:rPr>
              <w:t>Section 8.07</w:t>
            </w:r>
          </w:p>
        </w:tc>
        <w:tc>
          <w:tcPr>
            <w:tcW w:w="86" w:type="dxa"/>
            <w:tcBorders/>
            <w:vAlign w:val="bottom"/>
          </w:tcPr>
          <w:p>
            <w:pPr>
              <w:pStyle w:val="TableContents"/>
              <w:bidi w:val="0"/>
              <w:spacing w:before="0" w:after="283"/>
              <w:jc w:val="left"/>
              <w:rPr/>
            </w:pPr>
            <w:r>
              <w:rPr/>
              <w:t> </w:t>
            </w:r>
          </w:p>
        </w:tc>
        <w:tc>
          <w:tcPr>
            <w:tcW w:w="7953" w:type="dxa"/>
            <w:tcBorders/>
            <w:vAlign w:val="bottom"/>
          </w:tcPr>
          <w:p>
            <w:pPr>
              <w:pStyle w:val="TableContents"/>
              <w:bidi w:val="0"/>
              <w:spacing w:before="0" w:after="283"/>
              <w:jc w:val="left"/>
              <w:rPr/>
            </w:pPr>
            <w:r>
              <w:rPr/>
              <w:t>Non-Reliance on Administrative Agent and Other Lenders</w:t>
            </w:r>
          </w:p>
        </w:tc>
        <w:tc>
          <w:tcPr>
            <w:tcW w:w="136"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137</w:t>
            </w:r>
          </w:p>
        </w:tc>
        <w:tc>
          <w:tcPr>
            <w:tcW w:w="64" w:type="dxa"/>
            <w:tcBorders/>
            <w:vAlign w:val="bottom"/>
          </w:tcPr>
          <w:p>
            <w:pPr>
              <w:pStyle w:val="TableContents"/>
              <w:bidi w:val="0"/>
              <w:spacing w:before="0" w:after="283"/>
              <w:jc w:val="left"/>
              <w:rPr/>
            </w:pPr>
            <w:r>
              <w:rPr/>
              <w:t> </w:t>
            </w:r>
          </w:p>
        </w:tc>
      </w:tr>
      <w:tr>
        <w:trPr/>
        <w:tc>
          <w:tcPr>
            <w:tcW w:w="1451" w:type="dxa"/>
            <w:tcBorders/>
          </w:tcPr>
          <w:p>
            <w:pPr>
              <w:pStyle w:val="TableContents"/>
              <w:bidi w:val="0"/>
              <w:spacing w:before="0" w:after="0"/>
              <w:jc w:val="left"/>
              <w:rPr>
                <w:rFonts w:ascii="Times New Roman" w:hAnsi="Times New Roman"/>
                <w:sz w:val="20"/>
              </w:rPr>
            </w:pPr>
            <w:r>
              <w:rPr>
                <w:rFonts w:ascii="Times New Roman" w:hAnsi="Times New Roman"/>
                <w:sz w:val="20"/>
              </w:rPr>
              <w:t>Section 8.08</w:t>
            </w:r>
          </w:p>
        </w:tc>
        <w:tc>
          <w:tcPr>
            <w:tcW w:w="86" w:type="dxa"/>
            <w:tcBorders/>
            <w:vAlign w:val="bottom"/>
          </w:tcPr>
          <w:p>
            <w:pPr>
              <w:pStyle w:val="TableContents"/>
              <w:bidi w:val="0"/>
              <w:spacing w:before="0" w:after="283"/>
              <w:jc w:val="left"/>
              <w:rPr/>
            </w:pPr>
            <w:r>
              <w:rPr/>
              <w:t> </w:t>
            </w:r>
          </w:p>
        </w:tc>
        <w:tc>
          <w:tcPr>
            <w:tcW w:w="7953" w:type="dxa"/>
            <w:tcBorders/>
            <w:vAlign w:val="bottom"/>
          </w:tcPr>
          <w:p>
            <w:pPr>
              <w:pStyle w:val="TableContents"/>
              <w:bidi w:val="0"/>
              <w:spacing w:before="0" w:after="283"/>
              <w:jc w:val="left"/>
              <w:rPr/>
            </w:pPr>
            <w:r>
              <w:rPr/>
              <w:t>Collateral and Guaranty Matters</w:t>
            </w:r>
          </w:p>
        </w:tc>
        <w:tc>
          <w:tcPr>
            <w:tcW w:w="136"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138</w:t>
            </w:r>
          </w:p>
        </w:tc>
        <w:tc>
          <w:tcPr>
            <w:tcW w:w="64" w:type="dxa"/>
            <w:tcBorders/>
            <w:vAlign w:val="bottom"/>
          </w:tcPr>
          <w:p>
            <w:pPr>
              <w:pStyle w:val="TableContents"/>
              <w:bidi w:val="0"/>
              <w:spacing w:before="0" w:after="283"/>
              <w:jc w:val="left"/>
              <w:rPr/>
            </w:pPr>
            <w:r>
              <w:rPr/>
              <w:t> </w:t>
            </w:r>
          </w:p>
        </w:tc>
      </w:tr>
      <w:tr>
        <w:trPr/>
        <w:tc>
          <w:tcPr>
            <w:tcW w:w="1451" w:type="dxa"/>
            <w:tcBorders/>
          </w:tcPr>
          <w:p>
            <w:pPr>
              <w:pStyle w:val="TableContents"/>
              <w:bidi w:val="0"/>
              <w:spacing w:before="0" w:after="0"/>
              <w:jc w:val="left"/>
              <w:rPr>
                <w:rFonts w:ascii="Times New Roman" w:hAnsi="Times New Roman"/>
                <w:sz w:val="20"/>
              </w:rPr>
            </w:pPr>
            <w:r>
              <w:rPr>
                <w:rFonts w:ascii="Times New Roman" w:hAnsi="Times New Roman"/>
                <w:sz w:val="20"/>
              </w:rPr>
              <w:t>Section 8.09</w:t>
            </w:r>
          </w:p>
        </w:tc>
        <w:tc>
          <w:tcPr>
            <w:tcW w:w="86" w:type="dxa"/>
            <w:tcBorders/>
            <w:vAlign w:val="bottom"/>
          </w:tcPr>
          <w:p>
            <w:pPr>
              <w:pStyle w:val="TableContents"/>
              <w:bidi w:val="0"/>
              <w:spacing w:before="0" w:after="283"/>
              <w:jc w:val="left"/>
              <w:rPr/>
            </w:pPr>
            <w:r>
              <w:rPr/>
              <w:t> </w:t>
            </w:r>
          </w:p>
        </w:tc>
        <w:tc>
          <w:tcPr>
            <w:tcW w:w="7953" w:type="dxa"/>
            <w:tcBorders/>
            <w:vAlign w:val="bottom"/>
          </w:tcPr>
          <w:p>
            <w:pPr>
              <w:pStyle w:val="TableContents"/>
              <w:bidi w:val="0"/>
              <w:spacing w:before="0" w:after="283"/>
              <w:jc w:val="left"/>
              <w:rPr/>
            </w:pPr>
            <w:r>
              <w:rPr/>
              <w:t>Administrative Agent May File Proofs of Claim; Credit Bidding</w:t>
            </w:r>
          </w:p>
        </w:tc>
        <w:tc>
          <w:tcPr>
            <w:tcW w:w="136"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140</w:t>
            </w:r>
          </w:p>
        </w:tc>
        <w:tc>
          <w:tcPr>
            <w:tcW w:w="64" w:type="dxa"/>
            <w:tcBorders/>
            <w:vAlign w:val="bottom"/>
          </w:tcPr>
          <w:p>
            <w:pPr>
              <w:pStyle w:val="TableContents"/>
              <w:bidi w:val="0"/>
              <w:spacing w:before="0" w:after="283"/>
              <w:jc w:val="left"/>
              <w:rPr/>
            </w:pPr>
            <w:r>
              <w:rPr/>
              <w:t> </w:t>
            </w:r>
          </w:p>
        </w:tc>
      </w:tr>
      <w:tr>
        <w:trPr/>
        <w:tc>
          <w:tcPr>
            <w:tcW w:w="1451" w:type="dxa"/>
            <w:tcBorders/>
          </w:tcPr>
          <w:p>
            <w:pPr>
              <w:pStyle w:val="TableContents"/>
              <w:bidi w:val="0"/>
              <w:spacing w:before="0" w:after="0"/>
              <w:jc w:val="left"/>
              <w:rPr>
                <w:rFonts w:ascii="Times New Roman" w:hAnsi="Times New Roman"/>
                <w:sz w:val="20"/>
              </w:rPr>
            </w:pPr>
            <w:r>
              <w:rPr>
                <w:rFonts w:ascii="Times New Roman" w:hAnsi="Times New Roman"/>
                <w:sz w:val="20"/>
              </w:rPr>
              <w:t>Section 8.10</w:t>
            </w:r>
          </w:p>
        </w:tc>
        <w:tc>
          <w:tcPr>
            <w:tcW w:w="86" w:type="dxa"/>
            <w:tcBorders/>
            <w:vAlign w:val="bottom"/>
          </w:tcPr>
          <w:p>
            <w:pPr>
              <w:pStyle w:val="TableContents"/>
              <w:bidi w:val="0"/>
              <w:spacing w:before="0" w:after="283"/>
              <w:jc w:val="left"/>
              <w:rPr/>
            </w:pPr>
            <w:r>
              <w:rPr/>
              <w:t> </w:t>
            </w:r>
          </w:p>
        </w:tc>
        <w:tc>
          <w:tcPr>
            <w:tcW w:w="7953" w:type="dxa"/>
            <w:tcBorders/>
            <w:vAlign w:val="bottom"/>
          </w:tcPr>
          <w:p>
            <w:pPr>
              <w:pStyle w:val="TableContents"/>
              <w:bidi w:val="0"/>
              <w:spacing w:before="0" w:after="283"/>
              <w:jc w:val="left"/>
              <w:rPr/>
            </w:pPr>
            <w:r>
              <w:rPr/>
              <w:t>Hedge Counterparties and Cash Management Banks</w:t>
            </w:r>
          </w:p>
        </w:tc>
        <w:tc>
          <w:tcPr>
            <w:tcW w:w="136"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141</w:t>
            </w:r>
          </w:p>
        </w:tc>
        <w:tc>
          <w:tcPr>
            <w:tcW w:w="64" w:type="dxa"/>
            <w:tcBorders/>
            <w:vAlign w:val="bottom"/>
          </w:tcPr>
          <w:p>
            <w:pPr>
              <w:pStyle w:val="TableContents"/>
              <w:bidi w:val="0"/>
              <w:spacing w:before="0" w:after="283"/>
              <w:jc w:val="left"/>
              <w:rPr/>
            </w:pPr>
            <w:r>
              <w:rPr/>
              <w:t> </w:t>
            </w:r>
          </w:p>
        </w:tc>
      </w:tr>
      <w:tr>
        <w:trPr/>
        <w:tc>
          <w:tcPr>
            <w:tcW w:w="1451" w:type="dxa"/>
            <w:tcBorders/>
          </w:tcPr>
          <w:p>
            <w:pPr>
              <w:pStyle w:val="TableContents"/>
              <w:bidi w:val="0"/>
              <w:spacing w:before="0" w:after="0"/>
              <w:jc w:val="left"/>
              <w:rPr>
                <w:rFonts w:ascii="Times New Roman" w:hAnsi="Times New Roman"/>
                <w:sz w:val="20"/>
              </w:rPr>
            </w:pPr>
            <w:r>
              <w:rPr>
                <w:rFonts w:ascii="Times New Roman" w:hAnsi="Times New Roman"/>
                <w:sz w:val="20"/>
              </w:rPr>
              <w:t>Section 8.11</w:t>
            </w:r>
          </w:p>
        </w:tc>
        <w:tc>
          <w:tcPr>
            <w:tcW w:w="86" w:type="dxa"/>
            <w:tcBorders/>
            <w:vAlign w:val="bottom"/>
          </w:tcPr>
          <w:p>
            <w:pPr>
              <w:pStyle w:val="TableContents"/>
              <w:bidi w:val="0"/>
              <w:spacing w:before="0" w:after="283"/>
              <w:jc w:val="left"/>
              <w:rPr/>
            </w:pPr>
            <w:r>
              <w:rPr/>
              <w:t> </w:t>
            </w:r>
          </w:p>
        </w:tc>
        <w:tc>
          <w:tcPr>
            <w:tcW w:w="7953" w:type="dxa"/>
            <w:tcBorders/>
            <w:vAlign w:val="bottom"/>
          </w:tcPr>
          <w:p>
            <w:pPr>
              <w:pStyle w:val="TableContents"/>
              <w:bidi w:val="0"/>
              <w:spacing w:before="0" w:after="283"/>
              <w:jc w:val="left"/>
              <w:rPr/>
            </w:pPr>
            <w:r>
              <w:rPr/>
              <w:t>Lead Arrangers</w:t>
            </w:r>
          </w:p>
        </w:tc>
        <w:tc>
          <w:tcPr>
            <w:tcW w:w="136"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141</w:t>
            </w:r>
          </w:p>
        </w:tc>
        <w:tc>
          <w:tcPr>
            <w:tcW w:w="64" w:type="dxa"/>
            <w:tcBorders/>
            <w:vAlign w:val="bottom"/>
          </w:tcPr>
          <w:p>
            <w:pPr>
              <w:pStyle w:val="TableContents"/>
              <w:bidi w:val="0"/>
              <w:spacing w:before="0" w:after="283"/>
              <w:jc w:val="left"/>
              <w:rPr/>
            </w:pPr>
            <w:r>
              <w:rPr/>
              <w:t> </w:t>
            </w:r>
          </w:p>
        </w:tc>
      </w:tr>
      <w:tr>
        <w:trPr/>
        <w:tc>
          <w:tcPr>
            <w:tcW w:w="1451" w:type="dxa"/>
            <w:tcBorders/>
          </w:tcPr>
          <w:p>
            <w:pPr>
              <w:pStyle w:val="TableContents"/>
              <w:bidi w:val="0"/>
              <w:spacing w:before="0" w:after="0"/>
              <w:jc w:val="left"/>
              <w:rPr>
                <w:rFonts w:ascii="Times New Roman" w:hAnsi="Times New Roman"/>
                <w:sz w:val="20"/>
              </w:rPr>
            </w:pPr>
            <w:r>
              <w:rPr>
                <w:rFonts w:ascii="Times New Roman" w:hAnsi="Times New Roman"/>
                <w:sz w:val="20"/>
              </w:rPr>
              <w:t>Section 8.12</w:t>
            </w:r>
          </w:p>
        </w:tc>
        <w:tc>
          <w:tcPr>
            <w:tcW w:w="86" w:type="dxa"/>
            <w:tcBorders/>
            <w:vAlign w:val="bottom"/>
          </w:tcPr>
          <w:p>
            <w:pPr>
              <w:pStyle w:val="TableContents"/>
              <w:bidi w:val="0"/>
              <w:spacing w:before="0" w:after="283"/>
              <w:jc w:val="left"/>
              <w:rPr/>
            </w:pPr>
            <w:r>
              <w:rPr/>
              <w:t> </w:t>
            </w:r>
          </w:p>
        </w:tc>
        <w:tc>
          <w:tcPr>
            <w:tcW w:w="7953" w:type="dxa"/>
            <w:tcBorders/>
            <w:vAlign w:val="bottom"/>
          </w:tcPr>
          <w:p>
            <w:pPr>
              <w:pStyle w:val="TableContents"/>
              <w:bidi w:val="0"/>
              <w:spacing w:before="0" w:after="283"/>
              <w:jc w:val="left"/>
              <w:rPr/>
            </w:pPr>
            <w:r>
              <w:rPr/>
              <w:t>Erroneous Payments</w:t>
            </w:r>
          </w:p>
        </w:tc>
        <w:tc>
          <w:tcPr>
            <w:tcW w:w="136"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142</w:t>
            </w:r>
          </w:p>
        </w:tc>
        <w:tc>
          <w:tcPr>
            <w:tcW w:w="64" w:type="dxa"/>
            <w:tcBorders/>
            <w:vAlign w:val="bottom"/>
          </w:tcPr>
          <w:p>
            <w:pPr>
              <w:pStyle w:val="TableContents"/>
              <w:bidi w:val="0"/>
              <w:spacing w:before="0" w:after="283"/>
              <w:jc w:val="left"/>
              <w:rPr/>
            </w:pPr>
            <w:r>
              <w:rPr/>
              <w:t> </w:t>
            </w:r>
          </w:p>
        </w:tc>
      </w:tr>
      <w:tr>
        <w:trPr>
          <w:trHeight w:val="120" w:hRule="atLeast"/>
        </w:trPr>
        <w:tc>
          <w:tcPr>
            <w:tcW w:w="9490" w:type="dxa"/>
            <w:gridSpan w:val="3"/>
            <w:tcBorders/>
            <w:vAlign w:val="center"/>
          </w:tcPr>
          <w:p>
            <w:pPr>
              <w:pStyle w:val="TableContents"/>
              <w:bidi w:val="0"/>
              <w:spacing w:before="0" w:after="283"/>
              <w:jc w:val="left"/>
              <w:rPr>
                <w:sz w:val="4"/>
                <w:szCs w:val="4"/>
              </w:rPr>
            </w:pPr>
            <w:r>
              <w:rPr>
                <w:sz w:val="4"/>
                <w:szCs w:val="4"/>
              </w:rPr>
            </w:r>
          </w:p>
        </w:tc>
        <w:tc>
          <w:tcPr>
            <w:tcW w:w="715" w:type="dxa"/>
            <w:gridSpan w:val="4"/>
            <w:tcBorders/>
            <w:vAlign w:val="center"/>
          </w:tcPr>
          <w:p>
            <w:pPr>
              <w:pStyle w:val="TableContents"/>
              <w:bidi w:val="0"/>
              <w:spacing w:before="0" w:after="283"/>
              <w:jc w:val="left"/>
              <w:rPr>
                <w:sz w:val="4"/>
                <w:szCs w:val="4"/>
              </w:rPr>
            </w:pPr>
            <w:r>
              <w:rPr>
                <w:sz w:val="4"/>
                <w:szCs w:val="4"/>
              </w:rPr>
            </w:r>
          </w:p>
        </w:tc>
      </w:tr>
      <w:tr>
        <w:trPr/>
        <w:tc>
          <w:tcPr>
            <w:tcW w:w="9490"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IX MISCELLANEOUS</w:t>
            </w:r>
          </w:p>
        </w:tc>
        <w:tc>
          <w:tcPr>
            <w:tcW w:w="136"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143</w:t>
            </w:r>
          </w:p>
        </w:tc>
        <w:tc>
          <w:tcPr>
            <w:tcW w:w="64" w:type="dxa"/>
            <w:tcBorders/>
            <w:vAlign w:val="bottom"/>
          </w:tcPr>
          <w:p>
            <w:pPr>
              <w:pStyle w:val="TableContents"/>
              <w:bidi w:val="0"/>
              <w:spacing w:before="0" w:after="283"/>
              <w:jc w:val="left"/>
              <w:rPr/>
            </w:pPr>
            <w:r>
              <w:rPr/>
              <w:t> </w:t>
            </w:r>
          </w:p>
        </w:tc>
      </w:tr>
      <w:tr>
        <w:trPr>
          <w:trHeight w:val="120" w:hRule="atLeast"/>
        </w:trPr>
        <w:tc>
          <w:tcPr>
            <w:tcW w:w="1451" w:type="dxa"/>
            <w:tcBorders/>
            <w:vAlign w:val="center"/>
          </w:tcPr>
          <w:p>
            <w:pPr>
              <w:pStyle w:val="TableContents"/>
              <w:bidi w:val="0"/>
              <w:spacing w:before="0" w:after="283"/>
              <w:jc w:val="left"/>
              <w:rPr>
                <w:sz w:val="4"/>
                <w:szCs w:val="4"/>
              </w:rPr>
            </w:pPr>
            <w:r>
              <w:rPr>
                <w:sz w:val="4"/>
                <w:szCs w:val="4"/>
              </w:rPr>
            </w:r>
          </w:p>
        </w:tc>
        <w:tc>
          <w:tcPr>
            <w:tcW w:w="8039" w:type="dxa"/>
            <w:gridSpan w:val="2"/>
            <w:tcBorders/>
            <w:vAlign w:val="center"/>
          </w:tcPr>
          <w:p>
            <w:pPr>
              <w:pStyle w:val="TableContents"/>
              <w:bidi w:val="0"/>
              <w:spacing w:before="0" w:after="283"/>
              <w:jc w:val="left"/>
              <w:rPr>
                <w:sz w:val="4"/>
                <w:szCs w:val="4"/>
              </w:rPr>
            </w:pPr>
            <w:r>
              <w:rPr>
                <w:sz w:val="4"/>
                <w:szCs w:val="4"/>
              </w:rPr>
            </w:r>
          </w:p>
        </w:tc>
        <w:tc>
          <w:tcPr>
            <w:tcW w:w="715" w:type="dxa"/>
            <w:gridSpan w:val="4"/>
            <w:tcBorders/>
            <w:vAlign w:val="center"/>
          </w:tcPr>
          <w:p>
            <w:pPr>
              <w:pStyle w:val="TableContents"/>
              <w:bidi w:val="0"/>
              <w:spacing w:before="0" w:after="283"/>
              <w:jc w:val="left"/>
              <w:rPr>
                <w:sz w:val="4"/>
                <w:szCs w:val="4"/>
              </w:rPr>
            </w:pPr>
            <w:r>
              <w:rPr>
                <w:sz w:val="4"/>
                <w:szCs w:val="4"/>
              </w:rPr>
            </w:r>
          </w:p>
        </w:tc>
      </w:tr>
      <w:tr>
        <w:trPr/>
        <w:tc>
          <w:tcPr>
            <w:tcW w:w="1451" w:type="dxa"/>
            <w:tcBorders/>
          </w:tcPr>
          <w:p>
            <w:pPr>
              <w:pStyle w:val="TableContents"/>
              <w:bidi w:val="0"/>
              <w:spacing w:before="0" w:after="0"/>
              <w:jc w:val="left"/>
              <w:rPr>
                <w:rFonts w:ascii="Times New Roman" w:hAnsi="Times New Roman"/>
                <w:sz w:val="20"/>
              </w:rPr>
            </w:pPr>
            <w:r>
              <w:rPr>
                <w:rFonts w:ascii="Times New Roman" w:hAnsi="Times New Roman"/>
                <w:sz w:val="20"/>
              </w:rPr>
              <w:t>Section 9.01</w:t>
            </w:r>
          </w:p>
        </w:tc>
        <w:tc>
          <w:tcPr>
            <w:tcW w:w="86" w:type="dxa"/>
            <w:tcBorders/>
            <w:vAlign w:val="bottom"/>
          </w:tcPr>
          <w:p>
            <w:pPr>
              <w:pStyle w:val="TableContents"/>
              <w:bidi w:val="0"/>
              <w:spacing w:before="0" w:after="283"/>
              <w:jc w:val="left"/>
              <w:rPr/>
            </w:pPr>
            <w:r>
              <w:rPr/>
              <w:t> </w:t>
            </w:r>
          </w:p>
        </w:tc>
        <w:tc>
          <w:tcPr>
            <w:tcW w:w="7953" w:type="dxa"/>
            <w:tcBorders/>
            <w:vAlign w:val="bottom"/>
          </w:tcPr>
          <w:p>
            <w:pPr>
              <w:pStyle w:val="TableContents"/>
              <w:bidi w:val="0"/>
              <w:spacing w:before="0" w:after="283"/>
              <w:jc w:val="left"/>
              <w:rPr/>
            </w:pPr>
            <w:r>
              <w:rPr/>
              <w:t>Notices</w:t>
            </w:r>
          </w:p>
        </w:tc>
        <w:tc>
          <w:tcPr>
            <w:tcW w:w="136"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143</w:t>
            </w:r>
          </w:p>
        </w:tc>
        <w:tc>
          <w:tcPr>
            <w:tcW w:w="64" w:type="dxa"/>
            <w:tcBorders/>
            <w:vAlign w:val="bottom"/>
          </w:tcPr>
          <w:p>
            <w:pPr>
              <w:pStyle w:val="TableContents"/>
              <w:bidi w:val="0"/>
              <w:spacing w:before="0" w:after="283"/>
              <w:jc w:val="left"/>
              <w:rPr/>
            </w:pPr>
            <w:r>
              <w:rPr/>
              <w:t> </w:t>
            </w:r>
          </w:p>
        </w:tc>
      </w:tr>
      <w:tr>
        <w:trPr/>
        <w:tc>
          <w:tcPr>
            <w:tcW w:w="1451" w:type="dxa"/>
            <w:tcBorders/>
          </w:tcPr>
          <w:p>
            <w:pPr>
              <w:pStyle w:val="TableContents"/>
              <w:bidi w:val="0"/>
              <w:spacing w:before="0" w:after="0"/>
              <w:jc w:val="left"/>
              <w:rPr>
                <w:rFonts w:ascii="Times New Roman" w:hAnsi="Times New Roman"/>
                <w:sz w:val="20"/>
              </w:rPr>
            </w:pPr>
            <w:r>
              <w:rPr>
                <w:rFonts w:ascii="Times New Roman" w:hAnsi="Times New Roman"/>
                <w:sz w:val="20"/>
              </w:rPr>
              <w:t>Section 9.02</w:t>
            </w:r>
          </w:p>
        </w:tc>
        <w:tc>
          <w:tcPr>
            <w:tcW w:w="86" w:type="dxa"/>
            <w:tcBorders/>
            <w:vAlign w:val="bottom"/>
          </w:tcPr>
          <w:p>
            <w:pPr>
              <w:pStyle w:val="TableContents"/>
              <w:bidi w:val="0"/>
              <w:spacing w:before="0" w:after="283"/>
              <w:jc w:val="left"/>
              <w:rPr/>
            </w:pPr>
            <w:r>
              <w:rPr/>
              <w:t> </w:t>
            </w:r>
          </w:p>
        </w:tc>
        <w:tc>
          <w:tcPr>
            <w:tcW w:w="7953" w:type="dxa"/>
            <w:tcBorders/>
            <w:vAlign w:val="bottom"/>
          </w:tcPr>
          <w:p>
            <w:pPr>
              <w:pStyle w:val="TableContents"/>
              <w:bidi w:val="0"/>
              <w:spacing w:before="0" w:after="283"/>
              <w:jc w:val="left"/>
              <w:rPr/>
            </w:pPr>
            <w:r>
              <w:rPr/>
              <w:t>Waivers; Amendments</w:t>
            </w:r>
          </w:p>
        </w:tc>
        <w:tc>
          <w:tcPr>
            <w:tcW w:w="136"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146</w:t>
            </w:r>
          </w:p>
        </w:tc>
        <w:tc>
          <w:tcPr>
            <w:tcW w:w="64" w:type="dxa"/>
            <w:tcBorders/>
            <w:vAlign w:val="bottom"/>
          </w:tcPr>
          <w:p>
            <w:pPr>
              <w:pStyle w:val="TableContents"/>
              <w:bidi w:val="0"/>
              <w:spacing w:before="0" w:after="283"/>
              <w:jc w:val="left"/>
              <w:rPr/>
            </w:pPr>
            <w:r>
              <w:rPr/>
              <w:t> </w:t>
            </w:r>
          </w:p>
        </w:tc>
      </w:tr>
      <w:tr>
        <w:trPr/>
        <w:tc>
          <w:tcPr>
            <w:tcW w:w="1451" w:type="dxa"/>
            <w:tcBorders/>
          </w:tcPr>
          <w:p>
            <w:pPr>
              <w:pStyle w:val="TableContents"/>
              <w:bidi w:val="0"/>
              <w:spacing w:before="0" w:after="0"/>
              <w:jc w:val="left"/>
              <w:rPr>
                <w:rFonts w:ascii="Times New Roman" w:hAnsi="Times New Roman"/>
                <w:sz w:val="20"/>
              </w:rPr>
            </w:pPr>
            <w:r>
              <w:rPr>
                <w:rFonts w:ascii="Times New Roman" w:hAnsi="Times New Roman"/>
                <w:sz w:val="20"/>
              </w:rPr>
              <w:t>Section 9.03</w:t>
            </w:r>
          </w:p>
        </w:tc>
        <w:tc>
          <w:tcPr>
            <w:tcW w:w="86" w:type="dxa"/>
            <w:tcBorders/>
            <w:vAlign w:val="bottom"/>
          </w:tcPr>
          <w:p>
            <w:pPr>
              <w:pStyle w:val="TableContents"/>
              <w:bidi w:val="0"/>
              <w:spacing w:before="0" w:after="283"/>
              <w:jc w:val="left"/>
              <w:rPr/>
            </w:pPr>
            <w:r>
              <w:rPr/>
              <w:t> </w:t>
            </w:r>
          </w:p>
        </w:tc>
        <w:tc>
          <w:tcPr>
            <w:tcW w:w="7953" w:type="dxa"/>
            <w:tcBorders/>
            <w:vAlign w:val="bottom"/>
          </w:tcPr>
          <w:p>
            <w:pPr>
              <w:pStyle w:val="TableContents"/>
              <w:bidi w:val="0"/>
              <w:spacing w:before="0" w:after="283"/>
              <w:jc w:val="left"/>
              <w:rPr/>
            </w:pPr>
            <w:r>
              <w:rPr/>
              <w:t>Expenses; Indemnity; Damage Waiver</w:t>
            </w:r>
          </w:p>
        </w:tc>
        <w:tc>
          <w:tcPr>
            <w:tcW w:w="136"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150</w:t>
            </w:r>
          </w:p>
        </w:tc>
        <w:tc>
          <w:tcPr>
            <w:tcW w:w="64" w:type="dxa"/>
            <w:tcBorders/>
            <w:vAlign w:val="bottom"/>
          </w:tcPr>
          <w:p>
            <w:pPr>
              <w:pStyle w:val="TableContents"/>
              <w:bidi w:val="0"/>
              <w:spacing w:before="0" w:after="283"/>
              <w:jc w:val="left"/>
              <w:rPr/>
            </w:pPr>
            <w:r>
              <w:rPr/>
              <w:t> </w:t>
            </w:r>
          </w:p>
        </w:tc>
      </w:tr>
      <w:tr>
        <w:trPr/>
        <w:tc>
          <w:tcPr>
            <w:tcW w:w="1451" w:type="dxa"/>
            <w:tcBorders/>
          </w:tcPr>
          <w:p>
            <w:pPr>
              <w:pStyle w:val="TableContents"/>
              <w:bidi w:val="0"/>
              <w:spacing w:before="0" w:after="0"/>
              <w:jc w:val="left"/>
              <w:rPr>
                <w:rFonts w:ascii="Times New Roman" w:hAnsi="Times New Roman"/>
                <w:sz w:val="20"/>
              </w:rPr>
            </w:pPr>
            <w:r>
              <w:rPr>
                <w:rFonts w:ascii="Times New Roman" w:hAnsi="Times New Roman"/>
                <w:sz w:val="20"/>
              </w:rPr>
              <w:t>Section 9.04</w:t>
            </w:r>
          </w:p>
        </w:tc>
        <w:tc>
          <w:tcPr>
            <w:tcW w:w="86" w:type="dxa"/>
            <w:tcBorders/>
            <w:vAlign w:val="bottom"/>
          </w:tcPr>
          <w:p>
            <w:pPr>
              <w:pStyle w:val="TableContents"/>
              <w:bidi w:val="0"/>
              <w:spacing w:before="0" w:after="283"/>
              <w:jc w:val="left"/>
              <w:rPr/>
            </w:pPr>
            <w:r>
              <w:rPr/>
              <w:t> </w:t>
            </w:r>
          </w:p>
        </w:tc>
        <w:tc>
          <w:tcPr>
            <w:tcW w:w="7953" w:type="dxa"/>
            <w:tcBorders/>
            <w:vAlign w:val="bottom"/>
          </w:tcPr>
          <w:p>
            <w:pPr>
              <w:pStyle w:val="TableContents"/>
              <w:bidi w:val="0"/>
              <w:spacing w:before="0" w:after="283"/>
              <w:jc w:val="left"/>
              <w:rPr/>
            </w:pPr>
            <w:r>
              <w:rPr/>
              <w:t>Successors and Assigns</w:t>
            </w:r>
          </w:p>
        </w:tc>
        <w:tc>
          <w:tcPr>
            <w:tcW w:w="136"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152</w:t>
            </w:r>
          </w:p>
        </w:tc>
        <w:tc>
          <w:tcPr>
            <w:tcW w:w="64" w:type="dxa"/>
            <w:tcBorders/>
            <w:vAlign w:val="bottom"/>
          </w:tcPr>
          <w:p>
            <w:pPr>
              <w:pStyle w:val="TableContents"/>
              <w:bidi w:val="0"/>
              <w:spacing w:before="0" w:after="283"/>
              <w:jc w:val="left"/>
              <w:rPr/>
            </w:pPr>
            <w:r>
              <w:rPr/>
              <w:t> </w:t>
            </w:r>
          </w:p>
        </w:tc>
      </w:tr>
      <w:tr>
        <w:trPr/>
        <w:tc>
          <w:tcPr>
            <w:tcW w:w="1451" w:type="dxa"/>
            <w:tcBorders/>
          </w:tcPr>
          <w:p>
            <w:pPr>
              <w:pStyle w:val="TableContents"/>
              <w:bidi w:val="0"/>
              <w:spacing w:before="0" w:after="0"/>
              <w:jc w:val="left"/>
              <w:rPr>
                <w:rFonts w:ascii="Times New Roman" w:hAnsi="Times New Roman"/>
                <w:sz w:val="20"/>
              </w:rPr>
            </w:pPr>
            <w:r>
              <w:rPr>
                <w:rFonts w:ascii="Times New Roman" w:hAnsi="Times New Roman"/>
                <w:sz w:val="20"/>
              </w:rPr>
              <w:t>Section 9.05</w:t>
            </w:r>
          </w:p>
        </w:tc>
        <w:tc>
          <w:tcPr>
            <w:tcW w:w="86" w:type="dxa"/>
            <w:tcBorders/>
            <w:vAlign w:val="bottom"/>
          </w:tcPr>
          <w:p>
            <w:pPr>
              <w:pStyle w:val="TableContents"/>
              <w:bidi w:val="0"/>
              <w:spacing w:before="0" w:after="283"/>
              <w:jc w:val="left"/>
              <w:rPr/>
            </w:pPr>
            <w:r>
              <w:rPr/>
              <w:t> </w:t>
            </w:r>
          </w:p>
        </w:tc>
        <w:tc>
          <w:tcPr>
            <w:tcW w:w="7953" w:type="dxa"/>
            <w:tcBorders/>
            <w:vAlign w:val="bottom"/>
          </w:tcPr>
          <w:p>
            <w:pPr>
              <w:pStyle w:val="TableContents"/>
              <w:bidi w:val="0"/>
              <w:spacing w:before="0" w:after="283"/>
              <w:jc w:val="left"/>
              <w:rPr/>
            </w:pPr>
            <w:r>
              <w:rPr/>
              <w:t>Survival</w:t>
            </w:r>
          </w:p>
        </w:tc>
        <w:tc>
          <w:tcPr>
            <w:tcW w:w="136"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157</w:t>
            </w:r>
          </w:p>
        </w:tc>
        <w:tc>
          <w:tcPr>
            <w:tcW w:w="64" w:type="dxa"/>
            <w:tcBorders/>
            <w:vAlign w:val="bottom"/>
          </w:tcPr>
          <w:p>
            <w:pPr>
              <w:pStyle w:val="TableContents"/>
              <w:bidi w:val="0"/>
              <w:spacing w:before="0" w:after="283"/>
              <w:jc w:val="left"/>
              <w:rPr/>
            </w:pPr>
            <w:r>
              <w:rPr/>
              <w:t> </w:t>
            </w:r>
          </w:p>
        </w:tc>
      </w:tr>
      <w:tr>
        <w:trPr/>
        <w:tc>
          <w:tcPr>
            <w:tcW w:w="1451" w:type="dxa"/>
            <w:tcBorders/>
          </w:tcPr>
          <w:p>
            <w:pPr>
              <w:pStyle w:val="TableContents"/>
              <w:bidi w:val="0"/>
              <w:spacing w:before="0" w:after="0"/>
              <w:jc w:val="left"/>
              <w:rPr>
                <w:rFonts w:ascii="Times New Roman" w:hAnsi="Times New Roman"/>
                <w:sz w:val="20"/>
              </w:rPr>
            </w:pPr>
            <w:r>
              <w:rPr>
                <w:rFonts w:ascii="Times New Roman" w:hAnsi="Times New Roman"/>
                <w:sz w:val="20"/>
              </w:rPr>
              <w:t>Section 9.06</w:t>
            </w:r>
          </w:p>
        </w:tc>
        <w:tc>
          <w:tcPr>
            <w:tcW w:w="86" w:type="dxa"/>
            <w:tcBorders/>
            <w:vAlign w:val="bottom"/>
          </w:tcPr>
          <w:p>
            <w:pPr>
              <w:pStyle w:val="TableContents"/>
              <w:bidi w:val="0"/>
              <w:spacing w:before="0" w:after="283"/>
              <w:jc w:val="left"/>
              <w:rPr/>
            </w:pPr>
            <w:r>
              <w:rPr/>
              <w:t> </w:t>
            </w:r>
          </w:p>
        </w:tc>
        <w:tc>
          <w:tcPr>
            <w:tcW w:w="7953" w:type="dxa"/>
            <w:tcBorders/>
            <w:vAlign w:val="bottom"/>
          </w:tcPr>
          <w:p>
            <w:pPr>
              <w:pStyle w:val="TableContents"/>
              <w:bidi w:val="0"/>
              <w:spacing w:before="0" w:after="283"/>
              <w:jc w:val="left"/>
              <w:rPr/>
            </w:pPr>
            <w:r>
              <w:rPr/>
              <w:t>Counterparts; Integration; Effectiveness; Lender Addendum</w:t>
            </w:r>
          </w:p>
        </w:tc>
        <w:tc>
          <w:tcPr>
            <w:tcW w:w="136"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158</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center"/>
        <w:rPr>
          <w:rFonts w:ascii="Times New Roman" w:hAnsi="Times New Roman"/>
          <w:sz w:val="20"/>
        </w:rPr>
      </w:pPr>
      <w:r>
        <w:rPr>
          <w:rFonts w:ascii="Times New Roman" w:hAnsi="Times New Roman"/>
          <w:sz w:val="20"/>
        </w:rPr>
        <w:t xml:space="preserve">(continued)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271"/>
        <w:gridCol w:w="74"/>
        <w:gridCol w:w="8152"/>
        <w:gridCol w:w="129"/>
        <w:gridCol w:w="70"/>
        <w:gridCol w:w="445"/>
        <w:gridCol w:w="64"/>
      </w:tblGrid>
      <w:tr>
        <w:trPr/>
        <w:tc>
          <w:tcPr>
            <w:tcW w:w="1271" w:type="dxa"/>
            <w:tcBorders/>
            <w:vAlign w:val="center"/>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sz w:val="4"/>
                <w:szCs w:val="4"/>
              </w:rPr>
            </w:pPr>
            <w:r>
              <w:rPr>
                <w:sz w:val="4"/>
                <w:szCs w:val="4"/>
              </w:rPr>
            </w:r>
          </w:p>
        </w:tc>
        <w:tc>
          <w:tcPr>
            <w:tcW w:w="8152"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1271"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8152"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515" w:type="dxa"/>
            <w:gridSpan w:val="2"/>
            <w:tcBorders/>
            <w:vAlign w:val="bottom"/>
          </w:tcPr>
          <w:p>
            <w:pPr>
              <w:pStyle w:val="TableContents"/>
              <w:bidi w:val="0"/>
              <w:spacing w:before="0" w:after="283"/>
              <w:jc w:val="center"/>
              <w:rPr>
                <w:b/>
              </w:rPr>
            </w:pPr>
            <w:r>
              <w:rPr>
                <w:b/>
              </w:rPr>
              <w:t>Page</w:t>
            </w:r>
          </w:p>
        </w:tc>
        <w:tc>
          <w:tcPr>
            <w:tcW w:w="64" w:type="dxa"/>
            <w:tcBorders/>
            <w:vAlign w:val="bottom"/>
          </w:tcPr>
          <w:p>
            <w:pPr>
              <w:pStyle w:val="TableContents"/>
              <w:bidi w:val="0"/>
              <w:spacing w:before="0" w:after="283"/>
              <w:jc w:val="left"/>
              <w:rPr/>
            </w:pPr>
            <w:r>
              <w:rPr/>
              <w:t> </w:t>
            </w:r>
          </w:p>
        </w:tc>
      </w:tr>
      <w:tr>
        <w:trPr>
          <w:trHeight w:val="120" w:hRule="atLeast"/>
        </w:trPr>
        <w:tc>
          <w:tcPr>
            <w:tcW w:w="1271" w:type="dxa"/>
            <w:tcBorders/>
            <w:vAlign w:val="center"/>
          </w:tcPr>
          <w:p>
            <w:pPr>
              <w:pStyle w:val="TableContents"/>
              <w:bidi w:val="0"/>
              <w:spacing w:before="0" w:after="283"/>
              <w:jc w:val="left"/>
              <w:rPr>
                <w:sz w:val="4"/>
                <w:szCs w:val="4"/>
              </w:rPr>
            </w:pPr>
            <w:r>
              <w:rPr>
                <w:sz w:val="4"/>
                <w:szCs w:val="4"/>
              </w:rPr>
            </w:r>
          </w:p>
        </w:tc>
        <w:tc>
          <w:tcPr>
            <w:tcW w:w="8226" w:type="dxa"/>
            <w:gridSpan w:val="2"/>
            <w:tcBorders/>
            <w:vAlign w:val="center"/>
          </w:tcPr>
          <w:p>
            <w:pPr>
              <w:pStyle w:val="TableContents"/>
              <w:bidi w:val="0"/>
              <w:spacing w:before="0" w:after="283"/>
              <w:jc w:val="left"/>
              <w:rPr>
                <w:sz w:val="4"/>
                <w:szCs w:val="4"/>
              </w:rPr>
            </w:pPr>
            <w:r>
              <w:rPr>
                <w:sz w:val="4"/>
                <w:szCs w:val="4"/>
              </w:rPr>
            </w:r>
          </w:p>
        </w:tc>
        <w:tc>
          <w:tcPr>
            <w:tcW w:w="708" w:type="dxa"/>
            <w:gridSpan w:val="4"/>
            <w:tcBorders/>
            <w:vAlign w:val="center"/>
          </w:tcPr>
          <w:p>
            <w:pPr>
              <w:pStyle w:val="TableContents"/>
              <w:bidi w:val="0"/>
              <w:spacing w:before="0" w:after="283"/>
              <w:jc w:val="left"/>
              <w:rPr>
                <w:sz w:val="4"/>
                <w:szCs w:val="4"/>
              </w:rPr>
            </w:pPr>
            <w:r>
              <w:rPr>
                <w:sz w:val="4"/>
                <w:szCs w:val="4"/>
              </w:rPr>
            </w:r>
          </w:p>
        </w:tc>
      </w:tr>
      <w:tr>
        <w:trPr/>
        <w:tc>
          <w:tcPr>
            <w:tcW w:w="1271" w:type="dxa"/>
            <w:tcBorders/>
          </w:tcPr>
          <w:p>
            <w:pPr>
              <w:pStyle w:val="TableContents"/>
              <w:bidi w:val="0"/>
              <w:spacing w:before="0" w:after="0"/>
              <w:jc w:val="left"/>
              <w:rPr>
                <w:rFonts w:ascii="Times New Roman" w:hAnsi="Times New Roman"/>
                <w:sz w:val="20"/>
              </w:rPr>
            </w:pPr>
            <w:r>
              <w:rPr>
                <w:rFonts w:ascii="Times New Roman" w:hAnsi="Times New Roman"/>
                <w:sz w:val="20"/>
              </w:rPr>
              <w:t>Section 9.07</w:t>
            </w:r>
          </w:p>
        </w:tc>
        <w:tc>
          <w:tcPr>
            <w:tcW w:w="74" w:type="dxa"/>
            <w:tcBorders/>
            <w:vAlign w:val="bottom"/>
          </w:tcPr>
          <w:p>
            <w:pPr>
              <w:pStyle w:val="TableContents"/>
              <w:bidi w:val="0"/>
              <w:spacing w:before="0" w:after="283"/>
              <w:jc w:val="left"/>
              <w:rPr/>
            </w:pPr>
            <w:r>
              <w:rPr/>
              <w:t> </w:t>
            </w:r>
          </w:p>
        </w:tc>
        <w:tc>
          <w:tcPr>
            <w:tcW w:w="8152" w:type="dxa"/>
            <w:tcBorders/>
            <w:vAlign w:val="bottom"/>
          </w:tcPr>
          <w:p>
            <w:pPr>
              <w:pStyle w:val="TableContents"/>
              <w:bidi w:val="0"/>
              <w:spacing w:before="0" w:after="283"/>
              <w:jc w:val="left"/>
              <w:rPr/>
            </w:pPr>
            <w:r>
              <w:rPr/>
              <w:t>Severability</w:t>
            </w:r>
          </w:p>
        </w:tc>
        <w:tc>
          <w:tcPr>
            <w:tcW w:w="129"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158</w:t>
            </w:r>
          </w:p>
        </w:tc>
        <w:tc>
          <w:tcPr>
            <w:tcW w:w="64" w:type="dxa"/>
            <w:tcBorders/>
            <w:vAlign w:val="bottom"/>
          </w:tcPr>
          <w:p>
            <w:pPr>
              <w:pStyle w:val="TableContents"/>
              <w:bidi w:val="0"/>
              <w:spacing w:before="0" w:after="283"/>
              <w:jc w:val="left"/>
              <w:rPr/>
            </w:pPr>
            <w:r>
              <w:rPr/>
              <w:t> </w:t>
            </w:r>
          </w:p>
        </w:tc>
      </w:tr>
      <w:tr>
        <w:trPr/>
        <w:tc>
          <w:tcPr>
            <w:tcW w:w="1271" w:type="dxa"/>
            <w:tcBorders/>
          </w:tcPr>
          <w:p>
            <w:pPr>
              <w:pStyle w:val="TableContents"/>
              <w:bidi w:val="0"/>
              <w:spacing w:before="0" w:after="0"/>
              <w:jc w:val="left"/>
              <w:rPr>
                <w:rFonts w:ascii="Times New Roman" w:hAnsi="Times New Roman"/>
                <w:sz w:val="20"/>
              </w:rPr>
            </w:pPr>
            <w:r>
              <w:rPr>
                <w:rFonts w:ascii="Times New Roman" w:hAnsi="Times New Roman"/>
                <w:sz w:val="20"/>
              </w:rPr>
              <w:t>Section 9.08</w:t>
            </w:r>
          </w:p>
        </w:tc>
        <w:tc>
          <w:tcPr>
            <w:tcW w:w="74" w:type="dxa"/>
            <w:tcBorders/>
            <w:vAlign w:val="bottom"/>
          </w:tcPr>
          <w:p>
            <w:pPr>
              <w:pStyle w:val="TableContents"/>
              <w:bidi w:val="0"/>
              <w:spacing w:before="0" w:after="283"/>
              <w:jc w:val="left"/>
              <w:rPr/>
            </w:pPr>
            <w:r>
              <w:rPr/>
              <w:t> </w:t>
            </w:r>
          </w:p>
        </w:tc>
        <w:tc>
          <w:tcPr>
            <w:tcW w:w="8152" w:type="dxa"/>
            <w:tcBorders/>
            <w:vAlign w:val="bottom"/>
          </w:tcPr>
          <w:p>
            <w:pPr>
              <w:pStyle w:val="TableContents"/>
              <w:bidi w:val="0"/>
              <w:spacing w:before="0" w:after="283"/>
              <w:jc w:val="left"/>
              <w:rPr/>
            </w:pPr>
            <w:r>
              <w:rPr/>
              <w:t>Right of Setoff</w:t>
            </w:r>
          </w:p>
        </w:tc>
        <w:tc>
          <w:tcPr>
            <w:tcW w:w="129"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158</w:t>
            </w:r>
          </w:p>
        </w:tc>
        <w:tc>
          <w:tcPr>
            <w:tcW w:w="64" w:type="dxa"/>
            <w:tcBorders/>
            <w:vAlign w:val="bottom"/>
          </w:tcPr>
          <w:p>
            <w:pPr>
              <w:pStyle w:val="TableContents"/>
              <w:bidi w:val="0"/>
              <w:spacing w:before="0" w:after="283"/>
              <w:jc w:val="left"/>
              <w:rPr/>
            </w:pPr>
            <w:r>
              <w:rPr/>
              <w:t> </w:t>
            </w:r>
          </w:p>
        </w:tc>
      </w:tr>
      <w:tr>
        <w:trPr/>
        <w:tc>
          <w:tcPr>
            <w:tcW w:w="1271" w:type="dxa"/>
            <w:tcBorders/>
          </w:tcPr>
          <w:p>
            <w:pPr>
              <w:pStyle w:val="TableContents"/>
              <w:bidi w:val="0"/>
              <w:spacing w:before="0" w:after="0"/>
              <w:jc w:val="left"/>
              <w:rPr>
                <w:rFonts w:ascii="Times New Roman" w:hAnsi="Times New Roman"/>
                <w:sz w:val="20"/>
              </w:rPr>
            </w:pPr>
            <w:r>
              <w:rPr>
                <w:rFonts w:ascii="Times New Roman" w:hAnsi="Times New Roman"/>
                <w:sz w:val="20"/>
              </w:rPr>
              <w:t>Section 9.09</w:t>
            </w:r>
          </w:p>
        </w:tc>
        <w:tc>
          <w:tcPr>
            <w:tcW w:w="74" w:type="dxa"/>
            <w:tcBorders/>
            <w:vAlign w:val="bottom"/>
          </w:tcPr>
          <w:p>
            <w:pPr>
              <w:pStyle w:val="TableContents"/>
              <w:bidi w:val="0"/>
              <w:spacing w:before="0" w:after="283"/>
              <w:jc w:val="left"/>
              <w:rPr/>
            </w:pPr>
            <w:r>
              <w:rPr/>
              <w:t> </w:t>
            </w:r>
          </w:p>
        </w:tc>
        <w:tc>
          <w:tcPr>
            <w:tcW w:w="8152" w:type="dxa"/>
            <w:tcBorders/>
            <w:vAlign w:val="bottom"/>
          </w:tcPr>
          <w:p>
            <w:pPr>
              <w:pStyle w:val="TableContents"/>
              <w:bidi w:val="0"/>
              <w:spacing w:before="0" w:after="283"/>
              <w:jc w:val="left"/>
              <w:rPr/>
            </w:pPr>
            <w:r>
              <w:rPr/>
              <w:t>Governing Law; Jurisdiction; Etc.</w:t>
            </w:r>
          </w:p>
        </w:tc>
        <w:tc>
          <w:tcPr>
            <w:tcW w:w="129"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159</w:t>
            </w:r>
          </w:p>
        </w:tc>
        <w:tc>
          <w:tcPr>
            <w:tcW w:w="64" w:type="dxa"/>
            <w:tcBorders/>
            <w:vAlign w:val="bottom"/>
          </w:tcPr>
          <w:p>
            <w:pPr>
              <w:pStyle w:val="TableContents"/>
              <w:bidi w:val="0"/>
              <w:spacing w:before="0" w:after="283"/>
              <w:jc w:val="left"/>
              <w:rPr/>
            </w:pPr>
            <w:r>
              <w:rPr/>
              <w:t> </w:t>
            </w:r>
          </w:p>
        </w:tc>
      </w:tr>
      <w:tr>
        <w:trPr/>
        <w:tc>
          <w:tcPr>
            <w:tcW w:w="1271" w:type="dxa"/>
            <w:tcBorders/>
          </w:tcPr>
          <w:p>
            <w:pPr>
              <w:pStyle w:val="TableContents"/>
              <w:bidi w:val="0"/>
              <w:spacing w:before="0" w:after="0"/>
              <w:jc w:val="left"/>
              <w:rPr>
                <w:rFonts w:ascii="Times New Roman" w:hAnsi="Times New Roman"/>
                <w:sz w:val="20"/>
              </w:rPr>
            </w:pPr>
            <w:r>
              <w:rPr>
                <w:rFonts w:ascii="Times New Roman" w:hAnsi="Times New Roman"/>
                <w:sz w:val="20"/>
              </w:rPr>
              <w:t>Section 9.10</w:t>
            </w:r>
          </w:p>
        </w:tc>
        <w:tc>
          <w:tcPr>
            <w:tcW w:w="74" w:type="dxa"/>
            <w:tcBorders/>
            <w:vAlign w:val="bottom"/>
          </w:tcPr>
          <w:p>
            <w:pPr>
              <w:pStyle w:val="TableContents"/>
              <w:bidi w:val="0"/>
              <w:spacing w:before="0" w:after="283"/>
              <w:jc w:val="left"/>
              <w:rPr/>
            </w:pPr>
            <w:r>
              <w:rPr/>
              <w:t> </w:t>
            </w:r>
          </w:p>
        </w:tc>
        <w:tc>
          <w:tcPr>
            <w:tcW w:w="8152" w:type="dxa"/>
            <w:tcBorders/>
            <w:vAlign w:val="bottom"/>
          </w:tcPr>
          <w:p>
            <w:pPr>
              <w:pStyle w:val="TableContents"/>
              <w:bidi w:val="0"/>
              <w:spacing w:before="0" w:after="283"/>
              <w:jc w:val="left"/>
              <w:rPr/>
            </w:pPr>
            <w:r>
              <w:rPr/>
              <w:t>WAIVER OF JURY TRIAL</w:t>
            </w:r>
          </w:p>
        </w:tc>
        <w:tc>
          <w:tcPr>
            <w:tcW w:w="129"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160</w:t>
            </w:r>
          </w:p>
        </w:tc>
        <w:tc>
          <w:tcPr>
            <w:tcW w:w="64" w:type="dxa"/>
            <w:tcBorders/>
            <w:vAlign w:val="bottom"/>
          </w:tcPr>
          <w:p>
            <w:pPr>
              <w:pStyle w:val="TableContents"/>
              <w:bidi w:val="0"/>
              <w:spacing w:before="0" w:after="283"/>
              <w:jc w:val="left"/>
              <w:rPr/>
            </w:pPr>
            <w:r>
              <w:rPr/>
              <w:t> </w:t>
            </w:r>
          </w:p>
        </w:tc>
      </w:tr>
      <w:tr>
        <w:trPr/>
        <w:tc>
          <w:tcPr>
            <w:tcW w:w="1271" w:type="dxa"/>
            <w:tcBorders/>
          </w:tcPr>
          <w:p>
            <w:pPr>
              <w:pStyle w:val="TableContents"/>
              <w:bidi w:val="0"/>
              <w:spacing w:before="0" w:after="0"/>
              <w:jc w:val="left"/>
              <w:rPr>
                <w:rFonts w:ascii="Times New Roman" w:hAnsi="Times New Roman"/>
                <w:sz w:val="20"/>
              </w:rPr>
            </w:pPr>
            <w:r>
              <w:rPr>
                <w:rFonts w:ascii="Times New Roman" w:hAnsi="Times New Roman"/>
                <w:sz w:val="20"/>
              </w:rPr>
              <w:t>Section 9.11</w:t>
            </w:r>
          </w:p>
        </w:tc>
        <w:tc>
          <w:tcPr>
            <w:tcW w:w="74" w:type="dxa"/>
            <w:tcBorders/>
            <w:vAlign w:val="bottom"/>
          </w:tcPr>
          <w:p>
            <w:pPr>
              <w:pStyle w:val="TableContents"/>
              <w:bidi w:val="0"/>
              <w:spacing w:before="0" w:after="283"/>
              <w:jc w:val="left"/>
              <w:rPr/>
            </w:pPr>
            <w:r>
              <w:rPr/>
              <w:t> </w:t>
            </w:r>
          </w:p>
        </w:tc>
        <w:tc>
          <w:tcPr>
            <w:tcW w:w="8152" w:type="dxa"/>
            <w:tcBorders/>
            <w:vAlign w:val="bottom"/>
          </w:tcPr>
          <w:p>
            <w:pPr>
              <w:pStyle w:val="TableContents"/>
              <w:bidi w:val="0"/>
              <w:spacing w:before="0" w:after="283"/>
              <w:jc w:val="left"/>
              <w:rPr/>
            </w:pPr>
            <w:r>
              <w:rPr/>
              <w:t>Headings</w:t>
            </w:r>
          </w:p>
        </w:tc>
        <w:tc>
          <w:tcPr>
            <w:tcW w:w="129"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160</w:t>
            </w:r>
          </w:p>
        </w:tc>
        <w:tc>
          <w:tcPr>
            <w:tcW w:w="64" w:type="dxa"/>
            <w:tcBorders/>
            <w:vAlign w:val="bottom"/>
          </w:tcPr>
          <w:p>
            <w:pPr>
              <w:pStyle w:val="TableContents"/>
              <w:bidi w:val="0"/>
              <w:spacing w:before="0" w:after="283"/>
              <w:jc w:val="left"/>
              <w:rPr/>
            </w:pPr>
            <w:r>
              <w:rPr/>
              <w:t> </w:t>
            </w:r>
          </w:p>
        </w:tc>
      </w:tr>
      <w:tr>
        <w:trPr/>
        <w:tc>
          <w:tcPr>
            <w:tcW w:w="1271" w:type="dxa"/>
            <w:tcBorders/>
          </w:tcPr>
          <w:p>
            <w:pPr>
              <w:pStyle w:val="TableContents"/>
              <w:bidi w:val="0"/>
              <w:spacing w:before="0" w:after="0"/>
              <w:jc w:val="left"/>
              <w:rPr>
                <w:rFonts w:ascii="Times New Roman" w:hAnsi="Times New Roman"/>
                <w:sz w:val="20"/>
              </w:rPr>
            </w:pPr>
            <w:r>
              <w:rPr>
                <w:rFonts w:ascii="Times New Roman" w:hAnsi="Times New Roman"/>
                <w:sz w:val="20"/>
              </w:rPr>
              <w:t>Section 9.12</w:t>
            </w:r>
          </w:p>
        </w:tc>
        <w:tc>
          <w:tcPr>
            <w:tcW w:w="74" w:type="dxa"/>
            <w:tcBorders/>
            <w:vAlign w:val="bottom"/>
          </w:tcPr>
          <w:p>
            <w:pPr>
              <w:pStyle w:val="TableContents"/>
              <w:bidi w:val="0"/>
              <w:spacing w:before="0" w:after="283"/>
              <w:jc w:val="left"/>
              <w:rPr/>
            </w:pPr>
            <w:r>
              <w:rPr/>
              <w:t> </w:t>
            </w:r>
          </w:p>
        </w:tc>
        <w:tc>
          <w:tcPr>
            <w:tcW w:w="8152" w:type="dxa"/>
            <w:tcBorders/>
            <w:vAlign w:val="bottom"/>
          </w:tcPr>
          <w:p>
            <w:pPr>
              <w:pStyle w:val="TableContents"/>
              <w:bidi w:val="0"/>
              <w:spacing w:before="0" w:after="283"/>
              <w:jc w:val="left"/>
              <w:rPr/>
            </w:pPr>
            <w:r>
              <w:rPr/>
              <w:t>Treatment of Certain Information; Confidentiality</w:t>
            </w:r>
          </w:p>
        </w:tc>
        <w:tc>
          <w:tcPr>
            <w:tcW w:w="129"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160</w:t>
            </w:r>
          </w:p>
        </w:tc>
        <w:tc>
          <w:tcPr>
            <w:tcW w:w="64" w:type="dxa"/>
            <w:tcBorders/>
            <w:vAlign w:val="bottom"/>
          </w:tcPr>
          <w:p>
            <w:pPr>
              <w:pStyle w:val="TableContents"/>
              <w:bidi w:val="0"/>
              <w:spacing w:before="0" w:after="283"/>
              <w:jc w:val="left"/>
              <w:rPr/>
            </w:pPr>
            <w:r>
              <w:rPr/>
              <w:t> </w:t>
            </w:r>
          </w:p>
        </w:tc>
      </w:tr>
      <w:tr>
        <w:trPr/>
        <w:tc>
          <w:tcPr>
            <w:tcW w:w="1271" w:type="dxa"/>
            <w:tcBorders/>
          </w:tcPr>
          <w:p>
            <w:pPr>
              <w:pStyle w:val="TableContents"/>
              <w:bidi w:val="0"/>
              <w:spacing w:before="0" w:after="0"/>
              <w:jc w:val="left"/>
              <w:rPr>
                <w:rFonts w:ascii="Times New Roman" w:hAnsi="Times New Roman"/>
                <w:sz w:val="20"/>
              </w:rPr>
            </w:pPr>
            <w:r>
              <w:rPr>
                <w:rFonts w:ascii="Times New Roman" w:hAnsi="Times New Roman"/>
                <w:sz w:val="20"/>
              </w:rPr>
              <w:t>Section 9.13</w:t>
            </w:r>
          </w:p>
        </w:tc>
        <w:tc>
          <w:tcPr>
            <w:tcW w:w="74" w:type="dxa"/>
            <w:tcBorders/>
            <w:vAlign w:val="bottom"/>
          </w:tcPr>
          <w:p>
            <w:pPr>
              <w:pStyle w:val="TableContents"/>
              <w:bidi w:val="0"/>
              <w:spacing w:before="0" w:after="283"/>
              <w:jc w:val="left"/>
              <w:rPr/>
            </w:pPr>
            <w:r>
              <w:rPr/>
              <w:t> </w:t>
            </w:r>
          </w:p>
        </w:tc>
        <w:tc>
          <w:tcPr>
            <w:tcW w:w="8152" w:type="dxa"/>
            <w:tcBorders/>
            <w:vAlign w:val="bottom"/>
          </w:tcPr>
          <w:p>
            <w:pPr>
              <w:pStyle w:val="TableContents"/>
              <w:bidi w:val="0"/>
              <w:spacing w:before="0" w:after="283"/>
              <w:jc w:val="left"/>
              <w:rPr/>
            </w:pPr>
            <w:r>
              <w:rPr/>
              <w:t>USA PATRIOT Act</w:t>
            </w:r>
          </w:p>
        </w:tc>
        <w:tc>
          <w:tcPr>
            <w:tcW w:w="129"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161</w:t>
            </w:r>
          </w:p>
        </w:tc>
        <w:tc>
          <w:tcPr>
            <w:tcW w:w="64" w:type="dxa"/>
            <w:tcBorders/>
            <w:vAlign w:val="bottom"/>
          </w:tcPr>
          <w:p>
            <w:pPr>
              <w:pStyle w:val="TableContents"/>
              <w:bidi w:val="0"/>
              <w:spacing w:before="0" w:after="283"/>
              <w:jc w:val="left"/>
              <w:rPr/>
            </w:pPr>
            <w:r>
              <w:rPr/>
              <w:t> </w:t>
            </w:r>
          </w:p>
        </w:tc>
      </w:tr>
      <w:tr>
        <w:trPr/>
        <w:tc>
          <w:tcPr>
            <w:tcW w:w="1271" w:type="dxa"/>
            <w:tcBorders/>
          </w:tcPr>
          <w:p>
            <w:pPr>
              <w:pStyle w:val="TableContents"/>
              <w:bidi w:val="0"/>
              <w:spacing w:before="0" w:after="0"/>
              <w:jc w:val="left"/>
              <w:rPr>
                <w:rFonts w:ascii="Times New Roman" w:hAnsi="Times New Roman"/>
                <w:sz w:val="20"/>
              </w:rPr>
            </w:pPr>
            <w:r>
              <w:rPr>
                <w:rFonts w:ascii="Times New Roman" w:hAnsi="Times New Roman"/>
                <w:sz w:val="20"/>
              </w:rPr>
              <w:t>Section 9.14</w:t>
            </w:r>
          </w:p>
        </w:tc>
        <w:tc>
          <w:tcPr>
            <w:tcW w:w="74" w:type="dxa"/>
            <w:tcBorders/>
            <w:vAlign w:val="bottom"/>
          </w:tcPr>
          <w:p>
            <w:pPr>
              <w:pStyle w:val="TableContents"/>
              <w:bidi w:val="0"/>
              <w:spacing w:before="0" w:after="283"/>
              <w:jc w:val="left"/>
              <w:rPr/>
            </w:pPr>
            <w:r>
              <w:rPr/>
              <w:t> </w:t>
            </w:r>
          </w:p>
        </w:tc>
        <w:tc>
          <w:tcPr>
            <w:tcW w:w="8152" w:type="dxa"/>
            <w:tcBorders/>
            <w:vAlign w:val="bottom"/>
          </w:tcPr>
          <w:p>
            <w:pPr>
              <w:pStyle w:val="TableContents"/>
              <w:bidi w:val="0"/>
              <w:spacing w:before="0" w:after="283"/>
              <w:jc w:val="left"/>
              <w:rPr/>
            </w:pPr>
            <w:r>
              <w:rPr/>
              <w:t>Interest Rate Limitation</w:t>
            </w:r>
          </w:p>
        </w:tc>
        <w:tc>
          <w:tcPr>
            <w:tcW w:w="129"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161</w:t>
            </w:r>
          </w:p>
        </w:tc>
        <w:tc>
          <w:tcPr>
            <w:tcW w:w="64" w:type="dxa"/>
            <w:tcBorders/>
            <w:vAlign w:val="bottom"/>
          </w:tcPr>
          <w:p>
            <w:pPr>
              <w:pStyle w:val="TableContents"/>
              <w:bidi w:val="0"/>
              <w:spacing w:before="0" w:after="283"/>
              <w:jc w:val="left"/>
              <w:rPr/>
            </w:pPr>
            <w:r>
              <w:rPr/>
              <w:t> </w:t>
            </w:r>
          </w:p>
        </w:tc>
      </w:tr>
      <w:tr>
        <w:trPr/>
        <w:tc>
          <w:tcPr>
            <w:tcW w:w="1271" w:type="dxa"/>
            <w:tcBorders/>
          </w:tcPr>
          <w:p>
            <w:pPr>
              <w:pStyle w:val="TableContents"/>
              <w:bidi w:val="0"/>
              <w:spacing w:before="0" w:after="0"/>
              <w:jc w:val="left"/>
              <w:rPr>
                <w:rFonts w:ascii="Times New Roman" w:hAnsi="Times New Roman"/>
                <w:sz w:val="20"/>
              </w:rPr>
            </w:pPr>
            <w:r>
              <w:rPr>
                <w:rFonts w:ascii="Times New Roman" w:hAnsi="Times New Roman"/>
                <w:sz w:val="20"/>
              </w:rPr>
              <w:t>Section 9.15</w:t>
            </w:r>
          </w:p>
        </w:tc>
        <w:tc>
          <w:tcPr>
            <w:tcW w:w="74" w:type="dxa"/>
            <w:tcBorders/>
            <w:vAlign w:val="bottom"/>
          </w:tcPr>
          <w:p>
            <w:pPr>
              <w:pStyle w:val="TableContents"/>
              <w:bidi w:val="0"/>
              <w:spacing w:before="0" w:after="283"/>
              <w:jc w:val="left"/>
              <w:rPr/>
            </w:pPr>
            <w:r>
              <w:rPr/>
              <w:t> </w:t>
            </w:r>
          </w:p>
        </w:tc>
        <w:tc>
          <w:tcPr>
            <w:tcW w:w="8152" w:type="dxa"/>
            <w:tcBorders/>
            <w:vAlign w:val="bottom"/>
          </w:tcPr>
          <w:p>
            <w:pPr>
              <w:pStyle w:val="TableContents"/>
              <w:bidi w:val="0"/>
              <w:spacing w:before="0" w:after="283"/>
              <w:jc w:val="left"/>
              <w:rPr/>
            </w:pPr>
            <w:r>
              <w:rPr/>
              <w:t>Judgment Currency</w:t>
            </w:r>
          </w:p>
        </w:tc>
        <w:tc>
          <w:tcPr>
            <w:tcW w:w="129"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162</w:t>
            </w:r>
          </w:p>
        </w:tc>
        <w:tc>
          <w:tcPr>
            <w:tcW w:w="64" w:type="dxa"/>
            <w:tcBorders/>
            <w:vAlign w:val="bottom"/>
          </w:tcPr>
          <w:p>
            <w:pPr>
              <w:pStyle w:val="TableContents"/>
              <w:bidi w:val="0"/>
              <w:spacing w:before="0" w:after="283"/>
              <w:jc w:val="left"/>
              <w:rPr/>
            </w:pPr>
            <w:r>
              <w:rPr/>
              <w:t> </w:t>
            </w:r>
          </w:p>
        </w:tc>
      </w:tr>
      <w:tr>
        <w:trPr/>
        <w:tc>
          <w:tcPr>
            <w:tcW w:w="1271" w:type="dxa"/>
            <w:tcBorders/>
          </w:tcPr>
          <w:p>
            <w:pPr>
              <w:pStyle w:val="TableContents"/>
              <w:bidi w:val="0"/>
              <w:spacing w:before="0" w:after="0"/>
              <w:jc w:val="left"/>
              <w:rPr>
                <w:rFonts w:ascii="Times New Roman" w:hAnsi="Times New Roman"/>
                <w:sz w:val="20"/>
              </w:rPr>
            </w:pPr>
            <w:r>
              <w:rPr>
                <w:rFonts w:ascii="Times New Roman" w:hAnsi="Times New Roman"/>
                <w:sz w:val="20"/>
              </w:rPr>
              <w:t>Section 9.16</w:t>
            </w:r>
          </w:p>
        </w:tc>
        <w:tc>
          <w:tcPr>
            <w:tcW w:w="74" w:type="dxa"/>
            <w:tcBorders/>
            <w:vAlign w:val="bottom"/>
          </w:tcPr>
          <w:p>
            <w:pPr>
              <w:pStyle w:val="TableContents"/>
              <w:bidi w:val="0"/>
              <w:spacing w:before="0" w:after="283"/>
              <w:jc w:val="left"/>
              <w:rPr/>
            </w:pPr>
            <w:r>
              <w:rPr/>
              <w:t> </w:t>
            </w:r>
          </w:p>
        </w:tc>
        <w:tc>
          <w:tcPr>
            <w:tcW w:w="8152" w:type="dxa"/>
            <w:tcBorders/>
            <w:vAlign w:val="bottom"/>
          </w:tcPr>
          <w:p>
            <w:pPr>
              <w:pStyle w:val="TableContents"/>
              <w:bidi w:val="0"/>
              <w:spacing w:before="0" w:after="283"/>
              <w:jc w:val="left"/>
              <w:rPr/>
            </w:pPr>
            <w:r>
              <w:rPr/>
              <w:t>Acknowledgement and Consent to Bail-In of Affected Financial Institutions</w:t>
            </w:r>
          </w:p>
        </w:tc>
        <w:tc>
          <w:tcPr>
            <w:tcW w:w="129"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162</w:t>
            </w:r>
          </w:p>
        </w:tc>
        <w:tc>
          <w:tcPr>
            <w:tcW w:w="64" w:type="dxa"/>
            <w:tcBorders/>
            <w:vAlign w:val="bottom"/>
          </w:tcPr>
          <w:p>
            <w:pPr>
              <w:pStyle w:val="TableContents"/>
              <w:bidi w:val="0"/>
              <w:spacing w:before="0" w:after="283"/>
              <w:jc w:val="left"/>
              <w:rPr/>
            </w:pPr>
            <w:r>
              <w:rPr/>
              <w:t> </w:t>
            </w:r>
          </w:p>
        </w:tc>
      </w:tr>
      <w:tr>
        <w:trPr/>
        <w:tc>
          <w:tcPr>
            <w:tcW w:w="1271" w:type="dxa"/>
            <w:tcBorders/>
          </w:tcPr>
          <w:p>
            <w:pPr>
              <w:pStyle w:val="TableContents"/>
              <w:bidi w:val="0"/>
              <w:spacing w:before="0" w:after="0"/>
              <w:jc w:val="left"/>
              <w:rPr>
                <w:rFonts w:ascii="Times New Roman" w:hAnsi="Times New Roman"/>
                <w:sz w:val="20"/>
              </w:rPr>
            </w:pPr>
            <w:r>
              <w:rPr>
                <w:rFonts w:ascii="Times New Roman" w:hAnsi="Times New Roman"/>
                <w:sz w:val="20"/>
              </w:rPr>
              <w:t>Section 9.17</w:t>
            </w:r>
          </w:p>
        </w:tc>
        <w:tc>
          <w:tcPr>
            <w:tcW w:w="74" w:type="dxa"/>
            <w:tcBorders/>
            <w:vAlign w:val="bottom"/>
          </w:tcPr>
          <w:p>
            <w:pPr>
              <w:pStyle w:val="TableContents"/>
              <w:bidi w:val="0"/>
              <w:spacing w:before="0" w:after="283"/>
              <w:jc w:val="left"/>
              <w:rPr/>
            </w:pPr>
            <w:r>
              <w:rPr/>
              <w:t> </w:t>
            </w:r>
          </w:p>
        </w:tc>
        <w:tc>
          <w:tcPr>
            <w:tcW w:w="8152" w:type="dxa"/>
            <w:tcBorders/>
            <w:vAlign w:val="bottom"/>
          </w:tcPr>
          <w:p>
            <w:pPr>
              <w:pStyle w:val="TableContents"/>
              <w:bidi w:val="0"/>
              <w:spacing w:before="0" w:after="283"/>
              <w:jc w:val="left"/>
              <w:rPr/>
            </w:pPr>
            <w:r>
              <w:rPr/>
              <w:t>Acknowledgement Regarding Any Supported QFCs</w:t>
            </w:r>
          </w:p>
        </w:tc>
        <w:tc>
          <w:tcPr>
            <w:tcW w:w="129"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163</w:t>
            </w:r>
          </w:p>
        </w:tc>
        <w:tc>
          <w:tcPr>
            <w:tcW w:w="64" w:type="dxa"/>
            <w:tcBorders/>
            <w:vAlign w:val="bottom"/>
          </w:tcPr>
          <w:p>
            <w:pPr>
              <w:pStyle w:val="TableContents"/>
              <w:bidi w:val="0"/>
              <w:spacing w:before="0" w:after="283"/>
              <w:jc w:val="left"/>
              <w:rPr/>
            </w:pPr>
            <w:r>
              <w:rPr/>
              <w:t> </w:t>
            </w:r>
          </w:p>
        </w:tc>
      </w:tr>
      <w:tr>
        <w:trPr/>
        <w:tc>
          <w:tcPr>
            <w:tcW w:w="1271" w:type="dxa"/>
            <w:tcBorders/>
          </w:tcPr>
          <w:p>
            <w:pPr>
              <w:pStyle w:val="TableContents"/>
              <w:bidi w:val="0"/>
              <w:spacing w:before="0" w:after="0"/>
              <w:jc w:val="left"/>
              <w:rPr>
                <w:rFonts w:ascii="Times New Roman" w:hAnsi="Times New Roman"/>
                <w:sz w:val="20"/>
              </w:rPr>
            </w:pPr>
            <w:r>
              <w:rPr>
                <w:rFonts w:ascii="Times New Roman" w:hAnsi="Times New Roman"/>
                <w:sz w:val="20"/>
              </w:rPr>
              <w:t>Section 9.18</w:t>
            </w:r>
          </w:p>
        </w:tc>
        <w:tc>
          <w:tcPr>
            <w:tcW w:w="74" w:type="dxa"/>
            <w:tcBorders/>
            <w:vAlign w:val="bottom"/>
          </w:tcPr>
          <w:p>
            <w:pPr>
              <w:pStyle w:val="TableContents"/>
              <w:bidi w:val="0"/>
              <w:spacing w:before="0" w:after="283"/>
              <w:jc w:val="left"/>
              <w:rPr/>
            </w:pPr>
            <w:r>
              <w:rPr/>
              <w:t> </w:t>
            </w:r>
          </w:p>
        </w:tc>
        <w:tc>
          <w:tcPr>
            <w:tcW w:w="8152" w:type="dxa"/>
            <w:tcBorders/>
            <w:vAlign w:val="bottom"/>
          </w:tcPr>
          <w:p>
            <w:pPr>
              <w:pStyle w:val="TableContents"/>
              <w:bidi w:val="0"/>
              <w:spacing w:before="0" w:after="283"/>
              <w:jc w:val="left"/>
              <w:rPr/>
            </w:pPr>
            <w:r>
              <w:rPr/>
              <w:t>Prepayment Premium</w:t>
            </w:r>
          </w:p>
        </w:tc>
        <w:tc>
          <w:tcPr>
            <w:tcW w:w="129"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164</w:t>
            </w:r>
          </w:p>
        </w:tc>
        <w:tc>
          <w:tcPr>
            <w:tcW w:w="64" w:type="dxa"/>
            <w:tcBorders/>
            <w:vAlign w:val="bottom"/>
          </w:tcPr>
          <w:p>
            <w:pPr>
              <w:pStyle w:val="TableContents"/>
              <w:bidi w:val="0"/>
              <w:spacing w:before="0" w:after="283"/>
              <w:jc w:val="left"/>
              <w:rPr/>
            </w:pPr>
            <w:r>
              <w:rPr/>
              <w:t> </w:t>
            </w:r>
          </w:p>
        </w:tc>
      </w:tr>
      <w:tr>
        <w:trPr/>
        <w:tc>
          <w:tcPr>
            <w:tcW w:w="1271" w:type="dxa"/>
            <w:tcBorders/>
          </w:tcPr>
          <w:p>
            <w:pPr>
              <w:pStyle w:val="TableContents"/>
              <w:bidi w:val="0"/>
              <w:spacing w:before="0" w:after="0"/>
              <w:jc w:val="left"/>
              <w:rPr>
                <w:rFonts w:ascii="Times New Roman" w:hAnsi="Times New Roman"/>
                <w:sz w:val="20"/>
              </w:rPr>
            </w:pPr>
            <w:r>
              <w:rPr>
                <w:rFonts w:ascii="Times New Roman" w:hAnsi="Times New Roman"/>
                <w:sz w:val="20"/>
              </w:rPr>
              <w:t>Section 9.19</w:t>
            </w:r>
          </w:p>
        </w:tc>
        <w:tc>
          <w:tcPr>
            <w:tcW w:w="74" w:type="dxa"/>
            <w:tcBorders/>
            <w:vAlign w:val="bottom"/>
          </w:tcPr>
          <w:p>
            <w:pPr>
              <w:pStyle w:val="TableContents"/>
              <w:bidi w:val="0"/>
              <w:spacing w:before="0" w:after="283"/>
              <w:jc w:val="left"/>
              <w:rPr/>
            </w:pPr>
            <w:r>
              <w:rPr/>
              <w:t> </w:t>
            </w:r>
          </w:p>
        </w:tc>
        <w:tc>
          <w:tcPr>
            <w:tcW w:w="8152" w:type="dxa"/>
            <w:tcBorders/>
            <w:vAlign w:val="bottom"/>
          </w:tcPr>
          <w:p>
            <w:pPr>
              <w:pStyle w:val="TableContents"/>
              <w:bidi w:val="0"/>
              <w:spacing w:before="0" w:after="283"/>
              <w:jc w:val="left"/>
              <w:rPr/>
            </w:pPr>
            <w:r>
              <w:rPr/>
              <w:t>Original Issue Discount Legend</w:t>
            </w:r>
          </w:p>
        </w:tc>
        <w:tc>
          <w:tcPr>
            <w:tcW w:w="129"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164</w:t>
            </w:r>
          </w:p>
        </w:tc>
        <w:tc>
          <w:tcPr>
            <w:tcW w:w="64" w:type="dxa"/>
            <w:tcBorders/>
            <w:vAlign w:val="bottom"/>
          </w:tcPr>
          <w:p>
            <w:pPr>
              <w:pStyle w:val="TableContents"/>
              <w:bidi w:val="0"/>
              <w:spacing w:before="0" w:after="283"/>
              <w:jc w:val="left"/>
              <w:rPr/>
            </w:pPr>
            <w:r>
              <w:rPr/>
              <w:t> </w:t>
            </w:r>
          </w:p>
        </w:tc>
      </w:tr>
      <w:tr>
        <w:trPr/>
        <w:tc>
          <w:tcPr>
            <w:tcW w:w="1271" w:type="dxa"/>
            <w:tcBorders/>
          </w:tcPr>
          <w:p>
            <w:pPr>
              <w:pStyle w:val="TableContents"/>
              <w:bidi w:val="0"/>
              <w:spacing w:before="0" w:after="0"/>
              <w:jc w:val="left"/>
              <w:rPr>
                <w:rFonts w:ascii="Times New Roman" w:hAnsi="Times New Roman"/>
                <w:sz w:val="20"/>
              </w:rPr>
            </w:pPr>
            <w:r>
              <w:rPr>
                <w:rFonts w:ascii="Times New Roman" w:hAnsi="Times New Roman"/>
                <w:sz w:val="20"/>
              </w:rPr>
              <w:t>Section 9.20</w:t>
            </w:r>
          </w:p>
        </w:tc>
        <w:tc>
          <w:tcPr>
            <w:tcW w:w="74" w:type="dxa"/>
            <w:tcBorders/>
            <w:vAlign w:val="bottom"/>
          </w:tcPr>
          <w:p>
            <w:pPr>
              <w:pStyle w:val="TableContents"/>
              <w:bidi w:val="0"/>
              <w:spacing w:before="0" w:after="283"/>
              <w:jc w:val="left"/>
              <w:rPr/>
            </w:pPr>
            <w:r>
              <w:rPr/>
              <w:t> </w:t>
            </w:r>
          </w:p>
        </w:tc>
        <w:tc>
          <w:tcPr>
            <w:tcW w:w="8152" w:type="dxa"/>
            <w:tcBorders/>
            <w:vAlign w:val="bottom"/>
          </w:tcPr>
          <w:p>
            <w:pPr>
              <w:pStyle w:val="TableContents"/>
              <w:bidi w:val="0"/>
              <w:spacing w:before="0" w:after="283"/>
              <w:jc w:val="left"/>
              <w:rPr/>
            </w:pPr>
            <w:r>
              <w:rPr/>
              <w:t>Effect of Amendment and Restatement</w:t>
            </w:r>
          </w:p>
        </w:tc>
        <w:tc>
          <w:tcPr>
            <w:tcW w:w="129"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165</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-v-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SCHEDULE I – Disclosure Supplement </w:t>
      </w:r>
    </w:p>
    <w:p>
      <w:pPr>
        <w:pStyle w:val="TextBody"/>
        <w:bidi w:val="0"/>
        <w:spacing w:before="240" w:after="0"/>
        <w:jc w:val="left"/>
        <w:rPr>
          <w:rFonts w:ascii="Times New Roman" w:hAnsi="Times New Roman"/>
          <w:sz w:val="20"/>
        </w:rPr>
      </w:pPr>
      <w:r>
        <w:rPr>
          <w:rFonts w:ascii="Times New Roman" w:hAnsi="Times New Roman"/>
          <w:sz w:val="20"/>
        </w:rPr>
        <w:t xml:space="preserve">SCHEDULE 2.05 – Existing Letters of Credit </w:t>
      </w:r>
    </w:p>
    <w:p>
      <w:pPr>
        <w:pStyle w:val="TextBody"/>
        <w:bidi w:val="0"/>
        <w:spacing w:before="240" w:after="0"/>
        <w:jc w:val="left"/>
        <w:rPr>
          <w:rFonts w:ascii="Times New Roman" w:hAnsi="Times New Roman"/>
          <w:sz w:val="20"/>
        </w:rPr>
      </w:pPr>
      <w:r>
        <w:rPr>
          <w:rFonts w:ascii="Times New Roman" w:hAnsi="Times New Roman"/>
          <w:sz w:val="20"/>
        </w:rPr>
        <w:t xml:space="preserve">SCHEDULE 5.14 – Post-Closing Matters </w:t>
      </w:r>
    </w:p>
    <w:p>
      <w:pPr>
        <w:pStyle w:val="TextBody"/>
        <w:bidi w:val="0"/>
        <w:spacing w:before="240" w:after="0"/>
        <w:jc w:val="left"/>
        <w:rPr>
          <w:rFonts w:ascii="Times New Roman" w:hAnsi="Times New Roman"/>
          <w:sz w:val="20"/>
        </w:rPr>
      </w:pPr>
      <w:r>
        <w:rPr>
          <w:rFonts w:ascii="Times New Roman" w:hAnsi="Times New Roman"/>
          <w:sz w:val="20"/>
        </w:rPr>
        <w:t xml:space="preserve">SCHEDULE 9.01 – Address for Notice </w:t>
      </w:r>
    </w:p>
    <w:p>
      <w:pPr>
        <w:pStyle w:val="TextBody"/>
        <w:bidi w:val="0"/>
        <w:spacing w:before="240" w:after="0"/>
        <w:jc w:val="left"/>
        <w:rPr>
          <w:rFonts w:ascii="Times New Roman" w:hAnsi="Times New Roman"/>
          <w:sz w:val="20"/>
        </w:rPr>
      </w:pPr>
      <w:r>
        <w:rPr>
          <w:rFonts w:ascii="Times New Roman" w:hAnsi="Times New Roman"/>
          <w:sz w:val="20"/>
        </w:rPr>
        <w:t xml:space="preserve">EXHIBIT A-1 – Form of Revolving Credit Loan Note </w:t>
      </w:r>
    </w:p>
    <w:p>
      <w:pPr>
        <w:pStyle w:val="TextBody"/>
        <w:bidi w:val="0"/>
        <w:spacing w:before="240" w:after="0"/>
        <w:jc w:val="left"/>
        <w:rPr>
          <w:rFonts w:ascii="Times New Roman" w:hAnsi="Times New Roman"/>
          <w:sz w:val="20"/>
        </w:rPr>
      </w:pPr>
      <w:r>
        <w:rPr>
          <w:rFonts w:ascii="Times New Roman" w:hAnsi="Times New Roman"/>
          <w:sz w:val="20"/>
        </w:rPr>
        <w:t xml:space="preserve">EXHIBIT A-2 – Form of Term Loan Note </w:t>
      </w:r>
    </w:p>
    <w:p>
      <w:pPr>
        <w:pStyle w:val="TextBody"/>
        <w:bidi w:val="0"/>
        <w:spacing w:before="240" w:after="0"/>
        <w:jc w:val="left"/>
        <w:rPr>
          <w:rFonts w:ascii="Times New Roman" w:hAnsi="Times New Roman"/>
          <w:sz w:val="20"/>
        </w:rPr>
      </w:pPr>
      <w:r>
        <w:rPr>
          <w:rFonts w:ascii="Times New Roman" w:hAnsi="Times New Roman"/>
          <w:sz w:val="20"/>
        </w:rPr>
        <w:t xml:space="preserve">EXHIBIT B – Form of Assignment and Assumption </w:t>
      </w:r>
    </w:p>
    <w:p>
      <w:pPr>
        <w:pStyle w:val="TextBody"/>
        <w:bidi w:val="0"/>
        <w:spacing w:before="240" w:after="0"/>
        <w:jc w:val="left"/>
        <w:rPr>
          <w:rFonts w:ascii="Times New Roman" w:hAnsi="Times New Roman"/>
          <w:sz w:val="20"/>
        </w:rPr>
      </w:pPr>
      <w:r>
        <w:rPr>
          <w:rFonts w:ascii="Times New Roman" w:hAnsi="Times New Roman"/>
          <w:sz w:val="20"/>
        </w:rPr>
        <w:t xml:space="preserve">EXHIBIT C – Form of Joinder Agreement </w:t>
      </w:r>
    </w:p>
    <w:p>
      <w:pPr>
        <w:pStyle w:val="TextBody"/>
        <w:bidi w:val="0"/>
        <w:spacing w:before="240" w:after="0"/>
        <w:jc w:val="left"/>
        <w:rPr>
          <w:rFonts w:ascii="Times New Roman" w:hAnsi="Times New Roman"/>
          <w:sz w:val="20"/>
        </w:rPr>
      </w:pPr>
      <w:r>
        <w:rPr>
          <w:rFonts w:ascii="Times New Roman" w:hAnsi="Times New Roman"/>
          <w:sz w:val="20"/>
        </w:rPr>
        <w:t xml:space="preserve">EXHIBIT D – Form of Lender Addendum </w:t>
      </w:r>
    </w:p>
    <w:p>
      <w:pPr>
        <w:pStyle w:val="TextBody"/>
        <w:bidi w:val="0"/>
        <w:spacing w:before="240" w:after="0"/>
        <w:jc w:val="left"/>
        <w:rPr>
          <w:rFonts w:ascii="Times New Roman" w:hAnsi="Times New Roman"/>
          <w:sz w:val="20"/>
        </w:rPr>
      </w:pPr>
      <w:r>
        <w:rPr>
          <w:rFonts w:ascii="Times New Roman" w:hAnsi="Times New Roman"/>
          <w:sz w:val="20"/>
        </w:rPr>
        <w:t xml:space="preserve">EXHIBIT E – Form of Borrowing Request </w:t>
      </w:r>
    </w:p>
    <w:p>
      <w:pPr>
        <w:pStyle w:val="TextBody"/>
        <w:bidi w:val="0"/>
        <w:spacing w:before="240" w:after="0"/>
        <w:jc w:val="left"/>
        <w:rPr>
          <w:rFonts w:ascii="Times New Roman" w:hAnsi="Times New Roman"/>
          <w:sz w:val="20"/>
        </w:rPr>
      </w:pPr>
      <w:r>
        <w:rPr>
          <w:rFonts w:ascii="Times New Roman" w:hAnsi="Times New Roman"/>
          <w:sz w:val="20"/>
        </w:rPr>
        <w:t xml:space="preserve">EXHIBIT F – Form of Interest Election Request </w:t>
      </w:r>
    </w:p>
    <w:p>
      <w:pPr>
        <w:pStyle w:val="TextBody"/>
        <w:bidi w:val="0"/>
        <w:spacing w:before="240" w:after="0"/>
        <w:jc w:val="left"/>
        <w:rPr>
          <w:rFonts w:ascii="Times New Roman" w:hAnsi="Times New Roman"/>
          <w:sz w:val="20"/>
        </w:rPr>
      </w:pPr>
      <w:r>
        <w:rPr>
          <w:rFonts w:ascii="Times New Roman" w:hAnsi="Times New Roman"/>
          <w:sz w:val="20"/>
        </w:rPr>
        <w:t xml:space="preserve">EXHIBITS G-1 – G-4 – Forms of U.S. Tax Compliance Certificates </w:t>
      </w:r>
    </w:p>
    <w:p>
      <w:pPr>
        <w:pStyle w:val="TextBody"/>
        <w:bidi w:val="0"/>
        <w:spacing w:before="240" w:after="0"/>
        <w:jc w:val="left"/>
        <w:rPr>
          <w:rFonts w:ascii="Times New Roman" w:hAnsi="Times New Roman"/>
          <w:sz w:val="20"/>
        </w:rPr>
      </w:pPr>
      <w:r>
        <w:rPr>
          <w:rFonts w:ascii="Times New Roman" w:hAnsi="Times New Roman"/>
          <w:sz w:val="20"/>
        </w:rPr>
        <w:t xml:space="preserve">EXHIBIT H – Form of Springing Mortgage Material Real Property Certificate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-vi-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AMENDED AND RESTATED CREDIT AGREEMENT (as amended, restated or supplemented, this “</w:t>
      </w:r>
      <w:r>
        <w:rPr>
          <w:rFonts w:ascii="Times New Roman" w:hAnsi="Times New Roman"/>
          <w:sz w:val="20"/>
          <w:u w:val="single"/>
        </w:rPr>
        <w:t>Agreement</w:t>
      </w:r>
      <w:r>
        <w:rPr>
          <w:rFonts w:ascii="Times New Roman" w:hAnsi="Times New Roman"/>
          <w:sz w:val="20"/>
        </w:rPr>
        <w:t>”) dated as of October 5, 2026, among THE GEO GROUP, INC., a Florida corporation (“</w:t>
      </w:r>
      <w:r>
        <w:rPr>
          <w:rFonts w:ascii="Times New Roman" w:hAnsi="Times New Roman"/>
          <w:sz w:val="20"/>
          <w:u w:val="single"/>
        </w:rPr>
        <w:t>GEO</w:t>
      </w:r>
      <w:r>
        <w:rPr>
          <w:rFonts w:ascii="Times New Roman" w:hAnsi="Times New Roman"/>
          <w:sz w:val="20"/>
        </w:rPr>
        <w:t>”), GEO CORRECTIONS HOLDINGS, INC., a Florida corporation (“</w:t>
      </w:r>
      <w:r>
        <w:rPr>
          <w:rFonts w:ascii="Times New Roman" w:hAnsi="Times New Roman"/>
          <w:sz w:val="20"/>
          <w:u w:val="single"/>
        </w:rPr>
        <w:t>Corrections</w:t>
      </w:r>
      <w:r>
        <w:rPr>
          <w:rFonts w:ascii="Times New Roman" w:hAnsi="Times New Roman"/>
          <w:sz w:val="20"/>
        </w:rPr>
        <w:t>” and, together with GEO, the “</w:t>
      </w:r>
      <w:r>
        <w:rPr>
          <w:rFonts w:ascii="Times New Roman" w:hAnsi="Times New Roman"/>
          <w:sz w:val="20"/>
          <w:u w:val="single"/>
        </w:rPr>
        <w:t>Borrowers</w:t>
      </w:r>
      <w:r>
        <w:rPr>
          <w:rFonts w:ascii="Times New Roman" w:hAnsi="Times New Roman"/>
          <w:sz w:val="20"/>
        </w:rPr>
        <w:t>”), the Lenders referred to herein and BANK OZK, as administrative agent for such Lenders (in such capacity, the “</w:t>
      </w:r>
      <w:r>
        <w:rPr>
          <w:rFonts w:ascii="Times New Roman" w:hAnsi="Times New Roman"/>
          <w:sz w:val="20"/>
          <w:u w:val="single"/>
        </w:rPr>
        <w:t>Administrative Agent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WHEREAS, the Borrowers, the lenders party thereto and the Administrative Agent (as successor to the initial administrative agent named therein) are party to that certain Credit Agreement, dated as of April 18, 2024 (as amended, supplemented or otherwise modified prior to the date hereof, the “</w:t>
      </w:r>
      <w:r>
        <w:rPr>
          <w:rFonts w:ascii="Times New Roman" w:hAnsi="Times New Roman"/>
          <w:sz w:val="20"/>
          <w:u w:val="single"/>
        </w:rPr>
        <w:t>Existing Credit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WHEREAS, the Borrowers have requested that the Existing Credit Agreement be amended and restated in its entirety and that the Lenders make loans and other financial accommodations to the Borrowers, in each case, as more fully set forth in this Agreement; and </w:t>
      </w:r>
    </w:p>
    <w:p>
      <w:pPr>
        <w:pStyle w:val="TextBody"/>
        <w:bidi w:val="0"/>
        <w:spacing w:before="240" w:after="0"/>
        <w:jc w:val="left"/>
        <w:rPr>
          <w:rFonts w:ascii="Times New Roman" w:hAnsi="Times New Roman"/>
          <w:sz w:val="20"/>
        </w:rPr>
      </w:pPr>
      <w:r>
        <w:rPr>
          <w:rFonts w:ascii="Times New Roman" w:hAnsi="Times New Roman"/>
          <w:sz w:val="20"/>
        </w:rPr>
        <w:t xml:space="preserve">WHEREAS, the Lenders have indicated their willingness to lend on the terms and subject to the conditions set forth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NOW, THEREFORE, for good and valuable consideration, the receipt and sufficiency of which are hereby acknowledged by the parties hereto, such parties hereby agree that the Existing Credit Agreement is hereby amended and restated in its entirety as follows: </w:t>
      </w:r>
    </w:p>
    <w:p>
      <w:pPr>
        <w:pStyle w:val="TextBody"/>
        <w:bidi w:val="0"/>
        <w:spacing w:before="480" w:after="0"/>
        <w:jc w:val="center"/>
        <w:rPr>
          <w:rFonts w:ascii="Times New Roman" w:hAnsi="Times New Roman"/>
          <w:sz w:val="20"/>
        </w:rPr>
      </w:pPr>
      <w:r>
        <w:rPr>
          <w:rFonts w:ascii="Times New Roman" w:hAnsi="Times New Roman"/>
          <w:sz w:val="20"/>
        </w:rPr>
        <w:t xml:space="preserve">ARTICLE I </w:t>
      </w:r>
    </w:p>
    <w:p>
      <w:pPr>
        <w:pStyle w:val="TextBody"/>
        <w:bidi w:val="0"/>
        <w:spacing w:before="120" w:after="0"/>
        <w:jc w:val="center"/>
        <w:rPr>
          <w:rFonts w:ascii="Times New Roman" w:hAnsi="Times New Roman"/>
          <w:sz w:val="20"/>
        </w:rPr>
      </w:pPr>
      <w:r>
        <w:rPr>
          <w:rFonts w:ascii="Times New Roman" w:hAnsi="Times New Roman"/>
          <w:sz w:val="20"/>
        </w:rPr>
        <w:t xml:space="preserve">DEFINITIONS </w:t>
      </w:r>
    </w:p>
    <w:p>
      <w:pPr>
        <w:pStyle w:val="TextBody"/>
        <w:bidi w:val="0"/>
        <w:spacing w:before="240" w:after="0"/>
        <w:jc w:val="left"/>
        <w:rPr>
          <w:rFonts w:ascii="Times New Roman" w:hAnsi="Times New Roman"/>
          <w:sz w:val="20"/>
        </w:rPr>
      </w:pPr>
      <w:r>
        <w:rPr>
          <w:rFonts w:ascii="Times New Roman" w:hAnsi="Times New Roman"/>
          <w:sz w:val="20"/>
        </w:rPr>
        <w:t xml:space="preserve">Section 1.01 </w:t>
      </w:r>
      <w:r>
        <w:rPr>
          <w:rFonts w:ascii="Times New Roman" w:hAnsi="Times New Roman"/>
          <w:sz w:val="20"/>
          <w:u w:val="single"/>
        </w:rPr>
        <w:t>Defined Terms</w:t>
      </w:r>
      <w:r>
        <w:rPr>
          <w:rFonts w:ascii="Times New Roman" w:hAnsi="Times New Roman"/>
          <w:sz w:val="20"/>
        </w:rPr>
        <w:t xml:space="preserve">. As used in this Agreement, the following terms have the meanings specified below: </w:t>
      </w:r>
    </w:p>
    <w:p>
      <w:pPr>
        <w:pStyle w:val="TextBody"/>
        <w:bidi w:val="0"/>
        <w:spacing w:before="120" w:after="0"/>
        <w:jc w:val="left"/>
        <w:rPr/>
      </w:pPr>
      <w:r>
        <w:rPr/>
        <w:t>“</w:t>
      </w:r>
      <w:r>
        <w:rPr>
          <w:rFonts w:ascii="Times New Roman" w:hAnsi="Times New Roman"/>
          <w:sz w:val="20"/>
          <w:u w:val="single"/>
        </w:rPr>
        <w:t>2029 Senior Notes</w:t>
      </w:r>
      <w:r>
        <w:rPr>
          <w:rFonts w:ascii="Times New Roman" w:hAnsi="Times New Roman"/>
          <w:sz w:val="20"/>
        </w:rPr>
        <w:t xml:space="preserve">” means the 8.625% Senior Secured Notes due 2029, issued by GEO. </w:t>
      </w:r>
    </w:p>
    <w:p>
      <w:pPr>
        <w:pStyle w:val="TextBody"/>
        <w:bidi w:val="0"/>
        <w:spacing w:before="240" w:after="0"/>
        <w:jc w:val="left"/>
        <w:rPr/>
      </w:pPr>
      <w:r>
        <w:rPr/>
        <w:t>“</w:t>
      </w:r>
      <w:r>
        <w:rPr>
          <w:rFonts w:ascii="Times New Roman" w:hAnsi="Times New Roman"/>
          <w:sz w:val="20"/>
          <w:u w:val="single"/>
        </w:rPr>
        <w:t>2029 Senior Notes Indenture</w:t>
      </w:r>
      <w:r>
        <w:rPr>
          <w:rFonts w:ascii="Times New Roman" w:hAnsi="Times New Roman"/>
          <w:sz w:val="20"/>
        </w:rPr>
        <w:t xml:space="preserve">” means the indenture under which the 2029 Senior Notes are issued. </w:t>
      </w:r>
    </w:p>
    <w:p>
      <w:pPr>
        <w:pStyle w:val="TextBody"/>
        <w:bidi w:val="0"/>
        <w:spacing w:before="240" w:after="0"/>
        <w:jc w:val="left"/>
        <w:rPr/>
      </w:pPr>
      <w:r>
        <w:rPr/>
        <w:t>“</w:t>
      </w:r>
      <w:r>
        <w:rPr>
          <w:rFonts w:ascii="Times New Roman" w:hAnsi="Times New Roman"/>
          <w:sz w:val="20"/>
          <w:u w:val="single"/>
        </w:rPr>
        <w:t>2031 Senior Notes</w:t>
      </w:r>
      <w:r>
        <w:rPr>
          <w:rFonts w:ascii="Times New Roman" w:hAnsi="Times New Roman"/>
          <w:sz w:val="20"/>
        </w:rPr>
        <w:t xml:space="preserve">” means the 10.250% Senior Notes due 2031, issued by GEO. </w:t>
      </w:r>
    </w:p>
    <w:p>
      <w:pPr>
        <w:pStyle w:val="TextBody"/>
        <w:bidi w:val="0"/>
        <w:spacing w:before="240" w:after="0"/>
        <w:jc w:val="left"/>
        <w:rPr/>
      </w:pPr>
      <w:r>
        <w:rPr/>
        <w:t>“</w:t>
      </w:r>
      <w:r>
        <w:rPr>
          <w:rFonts w:ascii="Times New Roman" w:hAnsi="Times New Roman"/>
          <w:sz w:val="20"/>
          <w:u w:val="single"/>
        </w:rPr>
        <w:t>2031 Senior Notes Indenture</w:t>
      </w:r>
      <w:r>
        <w:rPr>
          <w:rFonts w:ascii="Times New Roman" w:hAnsi="Times New Roman"/>
          <w:sz w:val="20"/>
        </w:rPr>
        <w:t xml:space="preserve">” means the indenture under which the 2031 Senior Notes are issued. </w:t>
      </w:r>
    </w:p>
    <w:p>
      <w:pPr>
        <w:pStyle w:val="TextBody"/>
        <w:bidi w:val="0"/>
        <w:spacing w:before="240" w:after="0"/>
        <w:jc w:val="left"/>
        <w:rPr/>
      </w:pPr>
      <w:r>
        <w:rPr/>
        <w:t>“</w:t>
      </w:r>
      <w:r>
        <w:rPr>
          <w:rFonts w:ascii="Times New Roman" w:hAnsi="Times New Roman"/>
          <w:sz w:val="20"/>
          <w:u w:val="single"/>
        </w:rPr>
        <w:t>ABR</w:t>
      </w:r>
      <w:r>
        <w:rPr>
          <w:rFonts w:ascii="Times New Roman" w:hAnsi="Times New Roman"/>
          <w:sz w:val="20"/>
        </w:rPr>
        <w:t xml:space="preserve">”, when used in reference to any Loan or Borrowing, refers to whether such Loan, or the Loans comprising such Borrowing, bear interest at a rate determined by reference to the Alternate Base Rate. </w:t>
      </w:r>
    </w:p>
    <w:p>
      <w:pPr>
        <w:pStyle w:val="TextBody"/>
        <w:bidi w:val="0"/>
        <w:spacing w:before="240" w:after="0"/>
        <w:jc w:val="left"/>
        <w:rPr/>
      </w:pPr>
      <w:r>
        <w:rPr/>
        <w:t>“</w:t>
      </w:r>
      <w:r>
        <w:rPr>
          <w:rFonts w:ascii="Times New Roman" w:hAnsi="Times New Roman"/>
          <w:sz w:val="20"/>
          <w:u w:val="single"/>
        </w:rPr>
        <w:t>ABR Term SOFR Determination Day</w:t>
      </w:r>
      <w:r>
        <w:rPr>
          <w:rFonts w:ascii="Times New Roman" w:hAnsi="Times New Roman"/>
          <w:sz w:val="20"/>
        </w:rPr>
        <w:t xml:space="preserve">” has the meaning assigned thereto in the definition of “Term SOFR”.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Acquired Business</w:t>
      </w:r>
      <w:r>
        <w:rPr>
          <w:rFonts w:ascii="Times New Roman" w:hAnsi="Times New Roman"/>
          <w:sz w:val="20"/>
        </w:rPr>
        <w:t xml:space="preserve">” means any Facility, Person or business (including, in each case, any collection of assets comprising such Facility, Person or business) that is the subject of a Permitted Acquisition or any other acquisition permitted by </w:t>
      </w:r>
      <w:r>
        <w:rPr>
          <w:rFonts w:ascii="Times New Roman" w:hAnsi="Times New Roman"/>
          <w:sz w:val="20"/>
          <w:u w:val="single"/>
        </w:rPr>
        <w:t>Section 6.04</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Additional Mortgages</w:t>
      </w:r>
      <w:r>
        <w:rPr>
          <w:rFonts w:ascii="Times New Roman" w:hAnsi="Times New Roman"/>
          <w:sz w:val="20"/>
        </w:rPr>
        <w:t xml:space="preserve">” has the meaning assigned thereto in the definition of “Mortgages”. </w:t>
      </w:r>
    </w:p>
    <w:p>
      <w:pPr>
        <w:pStyle w:val="TextBody"/>
        <w:bidi w:val="0"/>
        <w:spacing w:before="240" w:after="0"/>
        <w:jc w:val="left"/>
        <w:rPr/>
      </w:pPr>
      <w:r>
        <w:rPr/>
        <w:t>“</w:t>
      </w:r>
      <w:r>
        <w:rPr>
          <w:rFonts w:ascii="Times New Roman" w:hAnsi="Times New Roman"/>
          <w:sz w:val="20"/>
          <w:u w:val="single"/>
        </w:rPr>
        <w:t>Adjusted EBITDA</w:t>
      </w:r>
      <w:r>
        <w:rPr>
          <w:rFonts w:ascii="Times New Roman" w:hAnsi="Times New Roman"/>
          <w:sz w:val="20"/>
        </w:rPr>
        <w:t xml:space="preserve">” means, for any period, (a) EBITDA for such period </w:t>
      </w:r>
      <w:r>
        <w:rPr>
          <w:rFonts w:ascii="Times New Roman" w:hAnsi="Times New Roman"/>
          <w:sz w:val="20"/>
          <w:u w:val="single"/>
        </w:rPr>
        <w:t>minus</w:t>
      </w:r>
      <w:r>
        <w:rPr>
          <w:rFonts w:ascii="Times New Roman" w:hAnsi="Times New Roman"/>
          <w:sz w:val="20"/>
        </w:rPr>
        <w:t xml:space="preserve"> (b) the amount, if a positive number, by which the amount of such EBITDA attributable to Unrestricted Subsidiaries or Other Consolidated Persons (including any public-private partnership of GEO or its Subsidiaries that is an Other Consolidated Person) </w:t>
      </w:r>
      <w:r>
        <w:rPr>
          <w:rFonts w:ascii="Times New Roman" w:hAnsi="Times New Roman"/>
          <w:sz w:val="20"/>
          <w:u w:val="single"/>
        </w:rPr>
        <w:t>minus</w:t>
      </w:r>
      <w:r>
        <w:rPr>
          <w:rFonts w:ascii="Times New Roman" w:hAnsi="Times New Roman"/>
          <w:sz w:val="20"/>
        </w:rPr>
        <w:t xml:space="preserve"> Non-Recourse Debt Service of Unrestricted Subsidiaries or Other Consolidated Persons (including any public-private partnership of GEO or its Subsidiaries that is an Other Consolidated Person) exceeds 20% of such EBITDA. </w:t>
      </w:r>
    </w:p>
    <w:p>
      <w:pPr>
        <w:pStyle w:val="TextBody"/>
        <w:bidi w:val="0"/>
        <w:spacing w:before="240" w:after="0"/>
        <w:jc w:val="left"/>
        <w:rPr/>
      </w:pPr>
      <w:r>
        <w:rPr/>
        <w:t>“</w:t>
      </w:r>
      <w:r>
        <w:rPr>
          <w:rFonts w:ascii="Times New Roman" w:hAnsi="Times New Roman"/>
          <w:sz w:val="20"/>
          <w:u w:val="single"/>
        </w:rPr>
        <w:t>Administrative Agent</w:t>
      </w:r>
      <w:r>
        <w:rPr>
          <w:rFonts w:ascii="Times New Roman" w:hAnsi="Times New Roman"/>
          <w:sz w:val="20"/>
        </w:rPr>
        <w:t xml:space="preserve">” has the meaning assigned thereto in the Preamble hereof. </w:t>
      </w:r>
    </w:p>
    <w:p>
      <w:pPr>
        <w:pStyle w:val="TextBody"/>
        <w:bidi w:val="0"/>
        <w:spacing w:before="240" w:after="0"/>
        <w:jc w:val="left"/>
        <w:rPr/>
      </w:pPr>
      <w:r>
        <w:rPr/>
        <w:t>“</w:t>
      </w:r>
      <w:r>
        <w:rPr>
          <w:rFonts w:ascii="Times New Roman" w:hAnsi="Times New Roman"/>
          <w:sz w:val="20"/>
          <w:u w:val="single"/>
        </w:rPr>
        <w:t>Administrative Questionnaire</w:t>
      </w:r>
      <w:r>
        <w:rPr>
          <w:rFonts w:ascii="Times New Roman" w:hAnsi="Times New Roman"/>
          <w:sz w:val="20"/>
        </w:rPr>
        <w:t xml:space="preserve">” means an Administrative Questionnaire in a form supplied by the Administrative Agent. </w:t>
      </w:r>
    </w:p>
    <w:p>
      <w:pPr>
        <w:pStyle w:val="TextBody"/>
        <w:bidi w:val="0"/>
        <w:spacing w:before="240" w:after="0"/>
        <w:jc w:val="left"/>
        <w:rPr/>
      </w:pPr>
      <w:r>
        <w:rPr/>
        <w:t>“</w:t>
      </w:r>
      <w:r>
        <w:rPr>
          <w:rFonts w:ascii="Times New Roman" w:hAnsi="Times New Roman"/>
          <w:sz w:val="20"/>
          <w:u w:val="single"/>
        </w:rPr>
        <w:t>Affected Financial Institution</w:t>
      </w:r>
      <w:r>
        <w:rPr>
          <w:rFonts w:ascii="Times New Roman" w:hAnsi="Times New Roman"/>
          <w:sz w:val="20"/>
        </w:rPr>
        <w:t xml:space="preserve">” means (a) any EEA Financial Institution or (b) any UK Financial Institution. </w:t>
      </w:r>
    </w:p>
    <w:p>
      <w:pPr>
        <w:pStyle w:val="TextBody"/>
        <w:bidi w:val="0"/>
        <w:spacing w:before="240" w:after="0"/>
        <w:jc w:val="left"/>
        <w:rPr/>
      </w:pPr>
      <w:r>
        <w:rPr/>
        <w:t>“</w:t>
      </w:r>
      <w:r>
        <w:rPr>
          <w:rFonts w:ascii="Times New Roman" w:hAnsi="Times New Roman"/>
          <w:sz w:val="20"/>
          <w:u w:val="single"/>
        </w:rPr>
        <w:t>Affiliate</w:t>
      </w:r>
      <w:r>
        <w:rPr>
          <w:rFonts w:ascii="Times New Roman" w:hAnsi="Times New Roman"/>
          <w:sz w:val="20"/>
        </w:rPr>
        <w:t xml:space="preserve">” means, with respect to a specified Person, another Person that directly, or indirectly through one or more intermediaries, Controls or is Controlled by or is under common Control with the Person specified. </w:t>
      </w:r>
    </w:p>
    <w:p>
      <w:pPr>
        <w:pStyle w:val="TextBody"/>
        <w:bidi w:val="0"/>
        <w:spacing w:before="240" w:after="0"/>
        <w:jc w:val="left"/>
        <w:rPr/>
      </w:pPr>
      <w:r>
        <w:rPr/>
        <w:t>“</w:t>
      </w:r>
      <w:r>
        <w:rPr>
          <w:rFonts w:ascii="Times New Roman" w:hAnsi="Times New Roman"/>
          <w:sz w:val="20"/>
          <w:u w:val="single"/>
        </w:rPr>
        <w:t>Aggregate Credit Facilities Amount</w:t>
      </w:r>
      <w:r>
        <w:rPr>
          <w:rFonts w:ascii="Times New Roman" w:hAnsi="Times New Roman"/>
          <w:sz w:val="20"/>
        </w:rPr>
        <w:t xml:space="preserve">” means, as of any date of determination, an amount equal to the sum of the Term Loan Exposure and the aggregate amount of the Lenders’ Revolving Credit Commitments at such time. </w:t>
      </w:r>
    </w:p>
    <w:p>
      <w:pPr>
        <w:pStyle w:val="TextBody"/>
        <w:bidi w:val="0"/>
        <w:spacing w:before="240" w:after="0"/>
        <w:jc w:val="left"/>
        <w:rPr/>
      </w:pPr>
      <w:r>
        <w:rPr/>
        <w:t>“</w:t>
      </w:r>
      <w:r>
        <w:rPr>
          <w:rFonts w:ascii="Times New Roman" w:hAnsi="Times New Roman"/>
          <w:sz w:val="20"/>
          <w:u w:val="single"/>
        </w:rPr>
        <w:t>Agreed Foreign Currency</w:t>
      </w:r>
      <w:r>
        <w:rPr>
          <w:rFonts w:ascii="Times New Roman" w:hAnsi="Times New Roman"/>
          <w:sz w:val="20"/>
        </w:rPr>
        <w:t xml:space="preserve">” means, in respect of any Letter of Credit requested to be issued by any Issuing Lender, any Foreign Currency approved by the applicable Issuing Lender (in its sole discretion). </w:t>
      </w:r>
    </w:p>
    <w:p>
      <w:pPr>
        <w:pStyle w:val="TextBody"/>
        <w:bidi w:val="0"/>
        <w:spacing w:before="240" w:after="0"/>
        <w:jc w:val="left"/>
        <w:rPr/>
      </w:pPr>
      <w:r>
        <w:rPr/>
        <w:t>“</w:t>
      </w:r>
      <w:r>
        <w:rPr>
          <w:rFonts w:ascii="Times New Roman" w:hAnsi="Times New Roman"/>
          <w:sz w:val="20"/>
          <w:u w:val="single"/>
        </w:rPr>
        <w:t>Agreement</w:t>
      </w:r>
      <w:r>
        <w:rPr>
          <w:rFonts w:ascii="Times New Roman" w:hAnsi="Times New Roman"/>
          <w:sz w:val="20"/>
        </w:rPr>
        <w:t xml:space="preserve">” has the meaning assigned thereto in the Preamble hereof. </w:t>
      </w:r>
    </w:p>
    <w:p>
      <w:pPr>
        <w:pStyle w:val="TextBody"/>
        <w:bidi w:val="0"/>
        <w:spacing w:before="240" w:after="0"/>
        <w:jc w:val="left"/>
        <w:rPr/>
      </w:pPr>
      <w:r>
        <w:rPr/>
        <w:t>“</w:t>
      </w:r>
      <w:r>
        <w:rPr>
          <w:rFonts w:ascii="Times New Roman" w:hAnsi="Times New Roman"/>
          <w:sz w:val="20"/>
          <w:u w:val="single"/>
        </w:rPr>
        <w:t>All-In-Yield</w:t>
      </w:r>
      <w:r>
        <w:rPr>
          <w:rFonts w:ascii="Times New Roman" w:hAnsi="Times New Roman"/>
          <w:sz w:val="20"/>
        </w:rPr>
        <w:t xml:space="preserve">” means, as of any date of determination, and with respect to any Indebtedness, the yield to maturity, in each case, based on the interest rate applicable to such Indebtedness on such date (including any floor but only to the extent any increase in the interest rate floor applicable to such Indebtedness on such date would cause an increase in the interest rate then in effect thereunder, and in such case, the interest rate floor (but not the interest rate margin) applicable to such Indebtedness on such date shall be increased to the extent of such differential between interest rate floors) and giving effect to all upfront or similar fees (including original issue discount where the amount of such discount is equated to interest based on an assumed four-year life to maturity or, if the actual maturity date falls earlier than four years, the lesser number of years) payable with respect to such Indebtedness (but excluding such upfront or similar fees to the extent they constitute commitment, arrangement, structuring, underwriting, agency, amendment or similar fees that are not generally distributed to all Lenders), and without taking into account any fluctuations in Term SOFR.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Alternate Base Rate</w:t>
      </w:r>
      <w:r>
        <w:rPr>
          <w:rFonts w:ascii="Times New Roman" w:hAnsi="Times New Roman"/>
          <w:sz w:val="20"/>
        </w:rPr>
        <w:t xml:space="preserve">” means, for any day, for any Borrowing, a rate per annum equal to the greatest of (a) the Prime Rate in effect on such day, (b) the Federal Funds Rate for such day </w:t>
      </w:r>
      <w:r>
        <w:rPr>
          <w:rFonts w:ascii="Times New Roman" w:hAnsi="Times New Roman"/>
          <w:sz w:val="20"/>
          <w:u w:val="single"/>
        </w:rPr>
        <w:t>plus</w:t>
      </w:r>
      <w:r>
        <w:rPr>
          <w:rFonts w:ascii="Times New Roman" w:hAnsi="Times New Roman"/>
          <w:sz w:val="20"/>
        </w:rPr>
        <w:t xml:space="preserve"> 1/2 of 1% and (c) Term SOFR for a one-month tenor in effect on such day, </w:t>
      </w:r>
      <w:r>
        <w:rPr>
          <w:rFonts w:ascii="Times New Roman" w:hAnsi="Times New Roman"/>
          <w:sz w:val="20"/>
          <w:u w:val="single"/>
        </w:rPr>
        <w:t>plus</w:t>
      </w:r>
      <w:r>
        <w:rPr>
          <w:rFonts w:ascii="Times New Roman" w:hAnsi="Times New Roman"/>
          <w:sz w:val="20"/>
        </w:rPr>
        <w:t xml:space="preserve"> 1%. Any change in the Alternate Base Rate due to a change in the Prime Rate, the Federal Funds Rate or Term SOFR shall be effective from and including the effective date of such change in the Prime Rate, the Federal Funds Rate or Term SOFR, as the case may be. </w:t>
      </w:r>
    </w:p>
    <w:p>
      <w:pPr>
        <w:pStyle w:val="TextBody"/>
        <w:bidi w:val="0"/>
        <w:spacing w:before="240" w:after="0"/>
        <w:jc w:val="left"/>
        <w:rPr/>
      </w:pPr>
      <w:r>
        <w:rPr/>
        <w:t>“</w:t>
      </w:r>
      <w:r>
        <w:rPr>
          <w:rFonts w:ascii="Times New Roman" w:hAnsi="Times New Roman"/>
          <w:sz w:val="20"/>
          <w:u w:val="single"/>
        </w:rPr>
        <w:t>AML Laws</w:t>
      </w:r>
      <w:r>
        <w:rPr>
          <w:rFonts w:ascii="Times New Roman" w:hAnsi="Times New Roman"/>
          <w:sz w:val="20"/>
        </w:rPr>
        <w:t xml:space="preserve">” means all laws, rules, and regulations of any jurisdiction applicable to any Lender or GEO or any of its Subsidiaries from time to time concerning or relating to anti-money laundering. </w:t>
      </w:r>
    </w:p>
    <w:p>
      <w:pPr>
        <w:pStyle w:val="TextBody"/>
        <w:bidi w:val="0"/>
        <w:spacing w:before="240" w:after="0"/>
        <w:jc w:val="left"/>
        <w:rPr/>
      </w:pPr>
      <w:r>
        <w:rPr/>
        <w:t>“</w:t>
      </w:r>
      <w:r>
        <w:rPr>
          <w:rFonts w:ascii="Times New Roman" w:hAnsi="Times New Roman"/>
          <w:sz w:val="20"/>
          <w:u w:val="single"/>
        </w:rPr>
        <w:t>Anti-Corruption Laws</w:t>
      </w:r>
      <w:r>
        <w:rPr>
          <w:rFonts w:ascii="Times New Roman" w:hAnsi="Times New Roman"/>
          <w:sz w:val="20"/>
        </w:rPr>
        <w:t xml:space="preserve">” means all laws, rules, and regulations of any jurisdiction applicable to GEO or any of its Subsidiaries from time to time concerning or relating to bribery or corruption. </w:t>
      </w:r>
    </w:p>
    <w:p>
      <w:pPr>
        <w:pStyle w:val="TextBody"/>
        <w:bidi w:val="0"/>
        <w:spacing w:before="240" w:after="0"/>
        <w:jc w:val="left"/>
        <w:rPr/>
      </w:pPr>
      <w:r>
        <w:rPr/>
        <w:t>“</w:t>
      </w:r>
      <w:r>
        <w:rPr>
          <w:rFonts w:ascii="Times New Roman" w:hAnsi="Times New Roman"/>
          <w:sz w:val="20"/>
          <w:u w:val="single"/>
        </w:rPr>
        <w:t>Applicable Percentage</w:t>
      </w:r>
      <w:r>
        <w:rPr>
          <w:rFonts w:ascii="Times New Roman" w:hAnsi="Times New Roman"/>
          <w:sz w:val="20"/>
        </w:rPr>
        <w:t>” means (a) with respect to any Revolving Credit Lender for purposes of (x)</w:t>
      </w:r>
      <w:r>
        <w:rPr>
          <w:rFonts w:ascii="Times New Roman" w:hAnsi="Times New Roman"/>
          <w:sz w:val="20"/>
          <w:u w:val="single"/>
        </w:rPr>
        <w:t> Section 2.04</w:t>
      </w:r>
      <w:r>
        <w:rPr>
          <w:rFonts w:ascii="Times New Roman" w:hAnsi="Times New Roman"/>
          <w:sz w:val="20"/>
        </w:rPr>
        <w:t xml:space="preserve"> or </w:t>
      </w:r>
      <w:r>
        <w:rPr>
          <w:rFonts w:ascii="Times New Roman" w:hAnsi="Times New Roman"/>
          <w:sz w:val="20"/>
          <w:u w:val="single"/>
        </w:rPr>
        <w:t>2.05</w:t>
      </w:r>
      <w:r>
        <w:rPr>
          <w:rFonts w:ascii="Times New Roman" w:hAnsi="Times New Roman"/>
          <w:sz w:val="20"/>
        </w:rPr>
        <w:t xml:space="preserve">, the percentage of the total Available Revolving Credit Commitments represented by such Revolving Credit Lender’s Available Revolving Credit Commitment, or (y) in respect of any indemnity claim under </w:t>
      </w:r>
      <w:r>
        <w:rPr>
          <w:rFonts w:ascii="Times New Roman" w:hAnsi="Times New Roman"/>
          <w:sz w:val="20"/>
          <w:u w:val="single"/>
        </w:rPr>
        <w:t>Section 9.03(c)</w:t>
      </w:r>
      <w:r>
        <w:rPr>
          <w:rFonts w:ascii="Times New Roman" w:hAnsi="Times New Roman"/>
          <w:sz w:val="20"/>
        </w:rPr>
        <w:t xml:space="preserve"> arising out of an action or omission of the Swingline Lender or any Issuing Lender under this Agreement, the percentage of the total Revolving Credit Commitments represented by such Revolving Credit Lender’s Revolving Credit Commitment, and (b) with respect to any Lender in respect of any indemnity claim under </w:t>
      </w:r>
      <w:r>
        <w:rPr>
          <w:rFonts w:ascii="Times New Roman" w:hAnsi="Times New Roman"/>
          <w:sz w:val="20"/>
          <w:u w:val="single"/>
        </w:rPr>
        <w:t>Section 9.03(c)</w:t>
      </w:r>
      <w:r>
        <w:rPr>
          <w:rFonts w:ascii="Times New Roman" w:hAnsi="Times New Roman"/>
          <w:sz w:val="20"/>
        </w:rPr>
        <w:t xml:space="preserve"> arising out of an action or omission of the Administrative Agent under this Agreement, the percentage of the total Commitments or Loans of all Classes hereunder represented by the aggregate amount of such Lender’s Commitments or Loans of all Classes hereunder; </w:t>
      </w:r>
      <w:r>
        <w:rPr>
          <w:rFonts w:ascii="Times New Roman" w:hAnsi="Times New Roman"/>
          <w:sz w:val="20"/>
          <w:u w:val="single"/>
        </w:rPr>
        <w:t>provided</w:t>
      </w:r>
      <w:r>
        <w:rPr>
          <w:rFonts w:ascii="Times New Roman" w:hAnsi="Times New Roman"/>
          <w:sz w:val="20"/>
        </w:rPr>
        <w:t xml:space="preserve"> that in the case of </w:t>
      </w:r>
      <w:r>
        <w:rPr>
          <w:rFonts w:ascii="Times New Roman" w:hAnsi="Times New Roman"/>
          <w:sz w:val="20"/>
          <w:u w:val="single"/>
        </w:rPr>
        <w:t>Section 2.18</w:t>
      </w:r>
      <w:r>
        <w:rPr>
          <w:rFonts w:ascii="Times New Roman" w:hAnsi="Times New Roman"/>
          <w:sz w:val="20"/>
        </w:rPr>
        <w:t xml:space="preserve"> when a Defaulting Lender shall exist, “Applicable Percentage” shall mean the percentage of the total Commitments (disregarding any Defaulting Lender’s Commitment) represented by such Lender’s Commitment. If the Revolving Credit Commitments have expired or been terminated and/or the Loans have been paid in full, the Applicable Percentages shall be determined based upon the Revolving Credit Commitments and the Loans most recently in effect, giving effect to any assignments. </w:t>
      </w:r>
    </w:p>
    <w:p>
      <w:pPr>
        <w:pStyle w:val="TextBody"/>
        <w:bidi w:val="0"/>
        <w:spacing w:before="240" w:after="0"/>
        <w:jc w:val="left"/>
        <w:rPr/>
      </w:pPr>
      <w:r>
        <w:rPr/>
        <w:t>“</w:t>
      </w:r>
      <w:r>
        <w:rPr>
          <w:rFonts w:ascii="Times New Roman" w:hAnsi="Times New Roman"/>
          <w:sz w:val="20"/>
          <w:u w:val="single"/>
        </w:rPr>
        <w:t>Applicable Period</w:t>
      </w:r>
      <w:r>
        <w:rPr>
          <w:rFonts w:ascii="Times New Roman" w:hAnsi="Times New Roman"/>
          <w:sz w:val="20"/>
        </w:rPr>
        <w:t xml:space="preserve">” has the meaning assigned thereto in the definition of “Applicable Rate”. </w:t>
      </w:r>
    </w:p>
    <w:p>
      <w:pPr>
        <w:pStyle w:val="TextBody"/>
        <w:bidi w:val="0"/>
        <w:spacing w:before="240" w:after="0"/>
        <w:jc w:val="left"/>
        <w:rPr/>
      </w:pPr>
      <w:r>
        <w:rPr/>
        <w:t>“</w:t>
      </w:r>
      <w:r>
        <w:rPr>
          <w:rFonts w:ascii="Times New Roman" w:hAnsi="Times New Roman"/>
          <w:sz w:val="20"/>
          <w:u w:val="single"/>
        </w:rPr>
        <w:t>Applicable Rate</w:t>
      </w:r>
      <w:r>
        <w:rPr>
          <w:rFonts w:ascii="Times New Roman" w:hAnsi="Times New Roman"/>
          <w:sz w:val="20"/>
        </w:rPr>
        <w:t xml:space="preserve">” means, (a) [reserved], (b) for Incremental Term Loans of any Series, such rate or rates of interest as shall be agreed upon at the time the Incremental Term Loan Commitments of such Series are established, and (c) for Revolving Credit Loans and commitment fees, the applicable rate per annum set forth below, based upon the Total Leverage Ratio as of the most recent determination date: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772"/>
        <w:gridCol w:w="124"/>
        <w:gridCol w:w="3060"/>
        <w:gridCol w:w="124"/>
        <w:gridCol w:w="186"/>
        <w:gridCol w:w="1364"/>
        <w:gridCol w:w="275"/>
        <w:gridCol w:w="64"/>
        <w:gridCol w:w="186"/>
        <w:gridCol w:w="1364"/>
        <w:gridCol w:w="275"/>
        <w:gridCol w:w="63"/>
        <w:gridCol w:w="120"/>
        <w:gridCol w:w="1130"/>
        <w:gridCol w:w="281"/>
      </w:tblGrid>
      <w:tr>
        <w:trPr/>
        <w:tc>
          <w:tcPr>
            <w:tcW w:w="772"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3060"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772" w:type="dxa"/>
            <w:tcBorders/>
            <w:vAlign w:val="bottom"/>
          </w:tcPr>
          <w:p>
            <w:pPr>
              <w:pStyle w:val="TableContents"/>
              <w:pBdr>
                <w:bottom w:val="single" w:sz="8" w:space="1" w:color="000000"/>
              </w:pBdr>
              <w:bidi w:val="0"/>
              <w:spacing w:before="0" w:after="0"/>
              <w:jc w:val="left"/>
              <w:rPr>
                <w:rFonts w:ascii="Times New Roman" w:hAnsi="Times New Roman"/>
                <w:sz w:val="20"/>
              </w:rPr>
            </w:pPr>
            <w:r>
              <w:rPr>
                <w:rFonts w:ascii="Times New Roman" w:hAnsi="Times New Roman"/>
                <w:sz w:val="20"/>
              </w:rPr>
              <w:t>Category</w:t>
            </w:r>
          </w:p>
        </w:tc>
        <w:tc>
          <w:tcPr>
            <w:tcW w:w="124" w:type="dxa"/>
            <w:tcBorders/>
            <w:vAlign w:val="bottom"/>
          </w:tcPr>
          <w:p>
            <w:pPr>
              <w:pStyle w:val="TableContents"/>
              <w:bidi w:val="0"/>
              <w:spacing w:before="0" w:after="283"/>
              <w:jc w:val="left"/>
              <w:rPr/>
            </w:pPr>
            <w:r>
              <w:rPr/>
              <w:t>  </w:t>
            </w:r>
          </w:p>
        </w:tc>
        <w:tc>
          <w:tcPr>
            <w:tcW w:w="306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sz w:val="20"/>
              </w:rPr>
            </w:pPr>
            <w:r>
              <w:rPr>
                <w:rFonts w:ascii="Times New Roman" w:hAnsi="Times New Roman"/>
                <w:sz w:val="20"/>
              </w:rPr>
              <w:t>Total Leverage Ratio</w:t>
            </w:r>
          </w:p>
        </w:tc>
        <w:tc>
          <w:tcPr>
            <w:tcW w:w="124" w:type="dxa"/>
            <w:tcBorders/>
            <w:vAlign w:val="bottom"/>
          </w:tcPr>
          <w:p>
            <w:pPr>
              <w:pStyle w:val="TableContents"/>
              <w:bidi w:val="0"/>
              <w:spacing w:before="0" w:after="283"/>
              <w:jc w:val="left"/>
              <w:rPr/>
            </w:pPr>
            <w:r>
              <w:rPr/>
              <w:t>  </w:t>
            </w:r>
          </w:p>
        </w:tc>
        <w:tc>
          <w:tcPr>
            <w:tcW w:w="1550" w:type="dxa"/>
            <w:gridSpan w:val="2"/>
            <w:tcBorders>
              <w:bottom w:val="single" w:sz="8" w:space="0" w:color="000000"/>
            </w:tcBorders>
            <w:tcMar>
              <w:bottom w:w="28" w:type="dxa"/>
            </w:tcMar>
            <w:vAlign w:val="bottom"/>
          </w:tcPr>
          <w:p>
            <w:pPr>
              <w:pStyle w:val="TableContents"/>
              <w:bidi w:val="0"/>
              <w:spacing w:before="0" w:after="283"/>
              <w:jc w:val="center"/>
              <w:rPr/>
            </w:pPr>
            <w:r>
              <w:rPr/>
              <w:t>ABR</w:t>
              <w:br/>
              <w:t>Applicable Rate</w:t>
            </w:r>
          </w:p>
        </w:tc>
        <w:tc>
          <w:tcPr>
            <w:tcW w:w="27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550" w:type="dxa"/>
            <w:gridSpan w:val="2"/>
            <w:tcBorders>
              <w:bottom w:val="single" w:sz="8" w:space="0" w:color="000000"/>
            </w:tcBorders>
            <w:tcMar>
              <w:bottom w:w="28" w:type="dxa"/>
            </w:tcMar>
            <w:vAlign w:val="bottom"/>
          </w:tcPr>
          <w:p>
            <w:pPr>
              <w:pStyle w:val="TableContents"/>
              <w:bidi w:val="0"/>
              <w:spacing w:before="0" w:after="283"/>
              <w:jc w:val="center"/>
              <w:rPr/>
            </w:pPr>
            <w:r>
              <w:rPr/>
              <w:t>SOFR</w:t>
              <w:br/>
              <w:t>Applicable Rate</w:t>
            </w:r>
          </w:p>
        </w:tc>
        <w:tc>
          <w:tcPr>
            <w:tcW w:w="27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bottom"/>
          </w:tcPr>
          <w:p>
            <w:pPr>
              <w:pStyle w:val="TableContents"/>
              <w:bidi w:val="0"/>
              <w:spacing w:before="0" w:after="283"/>
              <w:jc w:val="center"/>
              <w:rPr/>
            </w:pPr>
            <w:r>
              <w:rPr/>
              <w:t>Commitment</w:t>
              <w:br/>
              <w:t>Fee Rate</w:t>
            </w:r>
          </w:p>
        </w:tc>
        <w:tc>
          <w:tcPr>
            <w:tcW w:w="281" w:type="dxa"/>
            <w:tcBorders/>
            <w:vAlign w:val="bottom"/>
          </w:tcPr>
          <w:p>
            <w:pPr>
              <w:pStyle w:val="TableContents"/>
              <w:bidi w:val="0"/>
              <w:spacing w:before="0" w:after="283"/>
              <w:jc w:val="left"/>
              <w:rPr/>
            </w:pPr>
            <w:r>
              <w:rPr/>
              <w:t> </w:t>
            </w:r>
          </w:p>
        </w:tc>
      </w:tr>
      <w:tr>
        <w:trPr/>
        <w:tc>
          <w:tcPr>
            <w:tcW w:w="772" w:type="dxa"/>
            <w:tcBorders/>
            <w:shd w:fill="CCEEFF" w:val="clear"/>
          </w:tcPr>
          <w:p>
            <w:pPr>
              <w:pStyle w:val="TableContents"/>
              <w:bidi w:val="0"/>
              <w:spacing w:before="0" w:after="0"/>
              <w:jc w:val="center"/>
              <w:rPr>
                <w:rFonts w:ascii="Times New Roman" w:hAnsi="Times New Roman"/>
                <w:sz w:val="20"/>
              </w:rPr>
            </w:pPr>
            <w:r>
              <w:rPr>
                <w:rFonts w:ascii="Times New Roman" w:hAnsi="Times New Roman"/>
                <w:sz w:val="20"/>
              </w:rPr>
              <w:t>1</w:t>
            </w:r>
          </w:p>
        </w:tc>
        <w:tc>
          <w:tcPr>
            <w:tcW w:w="124" w:type="dxa"/>
            <w:tcBorders/>
            <w:shd w:fill="CCEEFF" w:val="clear"/>
            <w:vAlign w:val="bottom"/>
          </w:tcPr>
          <w:p>
            <w:pPr>
              <w:pStyle w:val="TableContents"/>
              <w:bidi w:val="0"/>
              <w:spacing w:before="0" w:after="283"/>
              <w:jc w:val="left"/>
              <w:rPr/>
            </w:pPr>
            <w:r>
              <w:rPr/>
              <w:t>  </w:t>
            </w:r>
          </w:p>
        </w:tc>
        <w:tc>
          <w:tcPr>
            <w:tcW w:w="3060" w:type="dxa"/>
            <w:tcBorders/>
            <w:shd w:fill="CCEEFF" w:val="clear"/>
            <w:vAlign w:val="bottom"/>
          </w:tcPr>
          <w:p>
            <w:pPr>
              <w:pStyle w:val="TableContents"/>
              <w:bidi w:val="0"/>
              <w:spacing w:before="0" w:after="283"/>
              <w:jc w:val="center"/>
              <w:rPr/>
            </w:pPr>
            <w:r>
              <w:rPr/>
              <w:t>&gt;5.50 to 1.00</w:t>
            </w:r>
          </w:p>
        </w:tc>
        <w:tc>
          <w:tcPr>
            <w:tcW w:w="124"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364" w:type="dxa"/>
            <w:tcBorders/>
            <w:shd w:fill="CCEEFF" w:val="clear"/>
            <w:vAlign w:val="bottom"/>
          </w:tcPr>
          <w:p>
            <w:pPr>
              <w:pStyle w:val="TableContents"/>
              <w:bidi w:val="0"/>
              <w:spacing w:before="0" w:after="283"/>
              <w:jc w:val="right"/>
              <w:rPr/>
            </w:pPr>
            <w:r>
              <w:rPr/>
              <w:t>2.25</w:t>
            </w:r>
          </w:p>
        </w:tc>
        <w:tc>
          <w:tcPr>
            <w:tcW w:w="27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364" w:type="dxa"/>
            <w:tcBorders/>
            <w:shd w:fill="CCEEFF" w:val="clear"/>
            <w:vAlign w:val="bottom"/>
          </w:tcPr>
          <w:p>
            <w:pPr>
              <w:pStyle w:val="TableContents"/>
              <w:bidi w:val="0"/>
              <w:spacing w:before="0" w:after="283"/>
              <w:jc w:val="right"/>
              <w:rPr/>
            </w:pPr>
            <w:r>
              <w:rPr/>
              <w:t>3.25</w:t>
            </w:r>
          </w:p>
        </w:tc>
        <w:tc>
          <w:tcPr>
            <w:tcW w:w="275"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0.500</w:t>
            </w:r>
          </w:p>
        </w:tc>
        <w:tc>
          <w:tcPr>
            <w:tcW w:w="281" w:type="dxa"/>
            <w:tcBorders/>
            <w:shd w:fill="CCEEFF" w:val="clear"/>
            <w:vAlign w:val="bottom"/>
          </w:tcPr>
          <w:p>
            <w:pPr>
              <w:pStyle w:val="TableContents"/>
              <w:bidi w:val="0"/>
              <w:spacing w:before="0" w:after="283"/>
              <w:jc w:val="left"/>
              <w:rPr/>
            </w:pPr>
            <w:r>
              <w:rPr/>
              <w:t>% </w:t>
            </w:r>
          </w:p>
        </w:tc>
      </w:tr>
      <w:tr>
        <w:trPr/>
        <w:tc>
          <w:tcPr>
            <w:tcW w:w="772" w:type="dxa"/>
            <w:tcBorders/>
          </w:tcPr>
          <w:p>
            <w:pPr>
              <w:pStyle w:val="TableContents"/>
              <w:bidi w:val="0"/>
              <w:spacing w:before="0" w:after="0"/>
              <w:jc w:val="center"/>
              <w:rPr>
                <w:rFonts w:ascii="Times New Roman" w:hAnsi="Times New Roman"/>
                <w:sz w:val="20"/>
              </w:rPr>
            </w:pPr>
            <w:r>
              <w:rPr>
                <w:rFonts w:ascii="Times New Roman" w:hAnsi="Times New Roman"/>
                <w:sz w:val="20"/>
              </w:rPr>
              <w:t>2</w:t>
            </w:r>
          </w:p>
        </w:tc>
        <w:tc>
          <w:tcPr>
            <w:tcW w:w="124" w:type="dxa"/>
            <w:tcBorders/>
            <w:vAlign w:val="bottom"/>
          </w:tcPr>
          <w:p>
            <w:pPr>
              <w:pStyle w:val="TableContents"/>
              <w:bidi w:val="0"/>
              <w:spacing w:before="0" w:after="283"/>
              <w:jc w:val="left"/>
              <w:rPr/>
            </w:pPr>
            <w:r>
              <w:rPr/>
              <w:t>  </w:t>
            </w:r>
          </w:p>
        </w:tc>
        <w:tc>
          <w:tcPr>
            <w:tcW w:w="3060" w:type="dxa"/>
            <w:tcBorders/>
            <w:vAlign w:val="bottom"/>
          </w:tcPr>
          <w:p>
            <w:pPr>
              <w:pStyle w:val="TableContents"/>
              <w:bidi w:val="0"/>
              <w:spacing w:before="0" w:after="283"/>
              <w:jc w:val="center"/>
              <w:rPr/>
            </w:pPr>
            <w:r>
              <w:rPr/>
              <w:t>&gt;4.50 to 1.00 and ≤5.50 to 1.00</w:t>
            </w:r>
          </w:p>
        </w:tc>
        <w:tc>
          <w:tcPr>
            <w:tcW w:w="124"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364" w:type="dxa"/>
            <w:tcBorders/>
            <w:vAlign w:val="bottom"/>
          </w:tcPr>
          <w:p>
            <w:pPr>
              <w:pStyle w:val="TableContents"/>
              <w:bidi w:val="0"/>
              <w:spacing w:before="0" w:after="283"/>
              <w:jc w:val="right"/>
              <w:rPr/>
            </w:pPr>
            <w:r>
              <w:rPr/>
              <w:t>2.00</w:t>
            </w:r>
          </w:p>
        </w:tc>
        <w:tc>
          <w:tcPr>
            <w:tcW w:w="27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364" w:type="dxa"/>
            <w:tcBorders/>
            <w:vAlign w:val="bottom"/>
          </w:tcPr>
          <w:p>
            <w:pPr>
              <w:pStyle w:val="TableContents"/>
              <w:bidi w:val="0"/>
              <w:spacing w:before="0" w:after="283"/>
              <w:jc w:val="right"/>
              <w:rPr/>
            </w:pPr>
            <w:r>
              <w:rPr/>
              <w:t>3.00</w:t>
            </w:r>
          </w:p>
        </w:tc>
        <w:tc>
          <w:tcPr>
            <w:tcW w:w="27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0.500</w:t>
            </w:r>
          </w:p>
        </w:tc>
        <w:tc>
          <w:tcPr>
            <w:tcW w:w="281" w:type="dxa"/>
            <w:tcBorders/>
            <w:vAlign w:val="bottom"/>
          </w:tcPr>
          <w:p>
            <w:pPr>
              <w:pStyle w:val="TableContents"/>
              <w:bidi w:val="0"/>
              <w:spacing w:before="0" w:after="283"/>
              <w:jc w:val="left"/>
              <w:rPr/>
            </w:pPr>
            <w:r>
              <w:rPr/>
              <w:t>% </w:t>
            </w:r>
          </w:p>
        </w:tc>
      </w:tr>
      <w:tr>
        <w:trPr/>
        <w:tc>
          <w:tcPr>
            <w:tcW w:w="772" w:type="dxa"/>
            <w:tcBorders/>
            <w:shd w:fill="CCEEFF" w:val="clear"/>
          </w:tcPr>
          <w:p>
            <w:pPr>
              <w:pStyle w:val="TableContents"/>
              <w:bidi w:val="0"/>
              <w:spacing w:before="0" w:after="0"/>
              <w:jc w:val="center"/>
              <w:rPr>
                <w:rFonts w:ascii="Times New Roman" w:hAnsi="Times New Roman"/>
                <w:sz w:val="20"/>
              </w:rPr>
            </w:pPr>
            <w:r>
              <w:rPr>
                <w:rFonts w:ascii="Times New Roman" w:hAnsi="Times New Roman"/>
                <w:sz w:val="20"/>
              </w:rPr>
              <w:t>3</w:t>
            </w:r>
          </w:p>
        </w:tc>
        <w:tc>
          <w:tcPr>
            <w:tcW w:w="124" w:type="dxa"/>
            <w:tcBorders/>
            <w:shd w:fill="CCEEFF" w:val="clear"/>
            <w:vAlign w:val="bottom"/>
          </w:tcPr>
          <w:p>
            <w:pPr>
              <w:pStyle w:val="TableContents"/>
              <w:bidi w:val="0"/>
              <w:spacing w:before="0" w:after="283"/>
              <w:jc w:val="left"/>
              <w:rPr/>
            </w:pPr>
            <w:r>
              <w:rPr/>
              <w:t>  </w:t>
            </w:r>
          </w:p>
        </w:tc>
        <w:tc>
          <w:tcPr>
            <w:tcW w:w="3060" w:type="dxa"/>
            <w:tcBorders/>
            <w:shd w:fill="CCEEFF" w:val="clear"/>
            <w:vAlign w:val="bottom"/>
          </w:tcPr>
          <w:p>
            <w:pPr>
              <w:pStyle w:val="TableContents"/>
              <w:bidi w:val="0"/>
              <w:spacing w:before="0" w:after="283"/>
              <w:jc w:val="center"/>
              <w:rPr/>
            </w:pPr>
            <w:r>
              <w:rPr/>
              <w:t>&gt;3.50 to 1.00 and ≤4.50 to 1.00</w:t>
            </w:r>
          </w:p>
        </w:tc>
        <w:tc>
          <w:tcPr>
            <w:tcW w:w="124"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364" w:type="dxa"/>
            <w:tcBorders/>
            <w:shd w:fill="CCEEFF" w:val="clear"/>
            <w:vAlign w:val="bottom"/>
          </w:tcPr>
          <w:p>
            <w:pPr>
              <w:pStyle w:val="TableContents"/>
              <w:bidi w:val="0"/>
              <w:spacing w:before="0" w:after="283"/>
              <w:jc w:val="right"/>
              <w:rPr/>
            </w:pPr>
            <w:r>
              <w:rPr/>
              <w:t>1.75</w:t>
            </w:r>
          </w:p>
        </w:tc>
        <w:tc>
          <w:tcPr>
            <w:tcW w:w="27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364" w:type="dxa"/>
            <w:tcBorders/>
            <w:shd w:fill="CCEEFF" w:val="clear"/>
            <w:vAlign w:val="bottom"/>
          </w:tcPr>
          <w:p>
            <w:pPr>
              <w:pStyle w:val="TableContents"/>
              <w:bidi w:val="0"/>
              <w:spacing w:before="0" w:after="283"/>
              <w:jc w:val="right"/>
              <w:rPr/>
            </w:pPr>
            <w:r>
              <w:rPr/>
              <w:t>2.75</w:t>
            </w:r>
          </w:p>
        </w:tc>
        <w:tc>
          <w:tcPr>
            <w:tcW w:w="275"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0.375</w:t>
            </w:r>
          </w:p>
        </w:tc>
        <w:tc>
          <w:tcPr>
            <w:tcW w:w="281" w:type="dxa"/>
            <w:tcBorders/>
            <w:shd w:fill="CCEEFF" w:val="clear"/>
            <w:vAlign w:val="bottom"/>
          </w:tcPr>
          <w:p>
            <w:pPr>
              <w:pStyle w:val="TableContents"/>
              <w:bidi w:val="0"/>
              <w:spacing w:before="0" w:after="283"/>
              <w:jc w:val="left"/>
              <w:rPr/>
            </w:pPr>
            <w:r>
              <w:rPr/>
              <w:t>% </w:t>
            </w:r>
          </w:p>
        </w:tc>
      </w:tr>
      <w:tr>
        <w:trPr/>
        <w:tc>
          <w:tcPr>
            <w:tcW w:w="772" w:type="dxa"/>
            <w:tcBorders/>
          </w:tcPr>
          <w:p>
            <w:pPr>
              <w:pStyle w:val="TableContents"/>
              <w:bidi w:val="0"/>
              <w:spacing w:before="0" w:after="0"/>
              <w:jc w:val="center"/>
              <w:rPr>
                <w:rFonts w:ascii="Times New Roman" w:hAnsi="Times New Roman"/>
                <w:sz w:val="20"/>
              </w:rPr>
            </w:pPr>
            <w:r>
              <w:rPr>
                <w:rFonts w:ascii="Times New Roman" w:hAnsi="Times New Roman"/>
                <w:sz w:val="20"/>
              </w:rPr>
              <w:t>4</w:t>
            </w:r>
          </w:p>
        </w:tc>
        <w:tc>
          <w:tcPr>
            <w:tcW w:w="124" w:type="dxa"/>
            <w:tcBorders/>
            <w:vAlign w:val="bottom"/>
          </w:tcPr>
          <w:p>
            <w:pPr>
              <w:pStyle w:val="TableContents"/>
              <w:bidi w:val="0"/>
              <w:spacing w:before="0" w:after="283"/>
              <w:jc w:val="left"/>
              <w:rPr/>
            </w:pPr>
            <w:r>
              <w:rPr/>
              <w:t>  </w:t>
            </w:r>
          </w:p>
        </w:tc>
        <w:tc>
          <w:tcPr>
            <w:tcW w:w="3060" w:type="dxa"/>
            <w:tcBorders/>
            <w:vAlign w:val="bottom"/>
          </w:tcPr>
          <w:p>
            <w:pPr>
              <w:pStyle w:val="TableContents"/>
              <w:bidi w:val="0"/>
              <w:spacing w:before="0" w:after="283"/>
              <w:jc w:val="center"/>
              <w:rPr/>
            </w:pPr>
            <w:r>
              <w:rPr/>
              <w:t>&gt;2.50 to 1.00 and ≤3.50 to 1.00</w:t>
            </w:r>
          </w:p>
        </w:tc>
        <w:tc>
          <w:tcPr>
            <w:tcW w:w="124"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364" w:type="dxa"/>
            <w:tcBorders/>
            <w:vAlign w:val="bottom"/>
          </w:tcPr>
          <w:p>
            <w:pPr>
              <w:pStyle w:val="TableContents"/>
              <w:bidi w:val="0"/>
              <w:spacing w:before="0" w:after="283"/>
              <w:jc w:val="right"/>
              <w:rPr/>
            </w:pPr>
            <w:r>
              <w:rPr/>
              <w:t>1.50</w:t>
            </w:r>
          </w:p>
        </w:tc>
        <w:tc>
          <w:tcPr>
            <w:tcW w:w="27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364" w:type="dxa"/>
            <w:tcBorders/>
            <w:vAlign w:val="bottom"/>
          </w:tcPr>
          <w:p>
            <w:pPr>
              <w:pStyle w:val="TableContents"/>
              <w:bidi w:val="0"/>
              <w:spacing w:before="0" w:after="283"/>
              <w:jc w:val="right"/>
              <w:rPr/>
            </w:pPr>
            <w:r>
              <w:rPr/>
              <w:t>2.50</w:t>
            </w:r>
          </w:p>
        </w:tc>
        <w:tc>
          <w:tcPr>
            <w:tcW w:w="27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0.300</w:t>
            </w:r>
          </w:p>
        </w:tc>
        <w:tc>
          <w:tcPr>
            <w:tcW w:w="281"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tbl>
      <w:tblPr>
        <w:tblW w:w="4600" w:type="pct"/>
        <w:jc w:val="center"/>
        <w:tblInd w:w="0" w:type="dxa"/>
        <w:tblLayout w:type="fixed"/>
        <w:tblCellMar>
          <w:top w:w="0" w:type="dxa"/>
          <w:left w:w="0" w:type="dxa"/>
          <w:bottom w:w="0" w:type="dxa"/>
          <w:right w:w="0" w:type="dxa"/>
        </w:tblCellMar>
      </w:tblPr>
      <w:tblGrid>
        <w:gridCol w:w="943"/>
        <w:gridCol w:w="381"/>
        <w:gridCol w:w="2693"/>
        <w:gridCol w:w="381"/>
        <w:gridCol w:w="1571"/>
        <w:gridCol w:w="294"/>
        <w:gridCol w:w="1571"/>
        <w:gridCol w:w="294"/>
        <w:gridCol w:w="1260"/>
      </w:tblGrid>
      <w:tr>
        <w:trPr/>
        <w:tc>
          <w:tcPr>
            <w:tcW w:w="943" w:type="dxa"/>
            <w:tcBorders/>
            <w:vAlign w:val="center"/>
          </w:tcPr>
          <w:p>
            <w:pPr>
              <w:pStyle w:val="TableContents"/>
              <w:bidi w:val="0"/>
              <w:spacing w:before="0" w:after="283"/>
              <w:jc w:val="left"/>
              <w:rPr>
                <w:sz w:val="4"/>
                <w:szCs w:val="4"/>
              </w:rPr>
            </w:pPr>
            <w:r>
              <w:rPr>
                <w:sz w:val="4"/>
                <w:szCs w:val="4"/>
              </w:rPr>
            </w:r>
          </w:p>
        </w:tc>
        <w:tc>
          <w:tcPr>
            <w:tcW w:w="381" w:type="dxa"/>
            <w:tcBorders/>
            <w:vAlign w:val="bottom"/>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381" w:type="dxa"/>
            <w:tcBorders/>
            <w:vAlign w:val="bottom"/>
          </w:tcPr>
          <w:p>
            <w:pPr>
              <w:pStyle w:val="TableContents"/>
              <w:bidi w:val="0"/>
              <w:spacing w:before="0" w:after="283"/>
              <w:jc w:val="left"/>
              <w:rPr>
                <w:sz w:val="4"/>
                <w:szCs w:val="4"/>
              </w:rPr>
            </w:pPr>
            <w:r>
              <w:rPr>
                <w:sz w:val="4"/>
                <w:szCs w:val="4"/>
              </w:rPr>
            </w:r>
          </w:p>
        </w:tc>
        <w:tc>
          <w:tcPr>
            <w:tcW w:w="1571" w:type="dxa"/>
            <w:tcBorders/>
            <w:vAlign w:val="center"/>
          </w:tcPr>
          <w:p>
            <w:pPr>
              <w:pStyle w:val="TableContents"/>
              <w:bidi w:val="0"/>
              <w:spacing w:before="0" w:after="283"/>
              <w:jc w:val="left"/>
              <w:rPr>
                <w:sz w:val="4"/>
                <w:szCs w:val="4"/>
              </w:rPr>
            </w:pPr>
            <w:r>
              <w:rPr>
                <w:sz w:val="4"/>
                <w:szCs w:val="4"/>
              </w:rPr>
            </w:r>
          </w:p>
        </w:tc>
        <w:tc>
          <w:tcPr>
            <w:tcW w:w="294" w:type="dxa"/>
            <w:tcBorders/>
            <w:vAlign w:val="bottom"/>
          </w:tcPr>
          <w:p>
            <w:pPr>
              <w:pStyle w:val="TableContents"/>
              <w:bidi w:val="0"/>
              <w:spacing w:before="0" w:after="283"/>
              <w:jc w:val="left"/>
              <w:rPr>
                <w:sz w:val="4"/>
                <w:szCs w:val="4"/>
              </w:rPr>
            </w:pPr>
            <w:r>
              <w:rPr>
                <w:sz w:val="4"/>
                <w:szCs w:val="4"/>
              </w:rPr>
            </w:r>
          </w:p>
        </w:tc>
        <w:tc>
          <w:tcPr>
            <w:tcW w:w="1571" w:type="dxa"/>
            <w:tcBorders/>
            <w:vAlign w:val="center"/>
          </w:tcPr>
          <w:p>
            <w:pPr>
              <w:pStyle w:val="TableContents"/>
              <w:bidi w:val="0"/>
              <w:spacing w:before="0" w:after="283"/>
              <w:jc w:val="left"/>
              <w:rPr>
                <w:sz w:val="4"/>
                <w:szCs w:val="4"/>
              </w:rPr>
            </w:pPr>
            <w:r>
              <w:rPr>
                <w:sz w:val="4"/>
                <w:szCs w:val="4"/>
              </w:rPr>
            </w:r>
          </w:p>
        </w:tc>
        <w:tc>
          <w:tcPr>
            <w:tcW w:w="294" w:type="dxa"/>
            <w:tcBorders/>
            <w:vAlign w:val="bottom"/>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r>
      <w:tr>
        <w:trPr/>
        <w:tc>
          <w:tcPr>
            <w:tcW w:w="943" w:type="dxa"/>
            <w:tcBorders/>
            <w:vAlign w:val="bottom"/>
          </w:tcPr>
          <w:p>
            <w:pPr>
              <w:pStyle w:val="TableContents"/>
              <w:pBdr>
                <w:bottom w:val="single" w:sz="8" w:space="1" w:color="000000"/>
              </w:pBdr>
              <w:bidi w:val="0"/>
              <w:spacing w:before="0" w:after="0"/>
              <w:jc w:val="left"/>
              <w:rPr>
                <w:rFonts w:ascii="Times New Roman" w:hAnsi="Times New Roman"/>
                <w:sz w:val="20"/>
              </w:rPr>
            </w:pPr>
            <w:r>
              <w:rPr>
                <w:rFonts w:ascii="Times New Roman" w:hAnsi="Times New Roman"/>
                <w:sz w:val="20"/>
              </w:rPr>
              <w:t>Category</w:t>
            </w:r>
          </w:p>
        </w:tc>
        <w:tc>
          <w:tcPr>
            <w:tcW w:w="381" w:type="dxa"/>
            <w:tcBorders/>
            <w:vAlign w:val="bottom"/>
          </w:tcPr>
          <w:p>
            <w:pPr>
              <w:pStyle w:val="TableContents"/>
              <w:bidi w:val="0"/>
              <w:spacing w:before="0" w:after="283"/>
              <w:jc w:val="left"/>
              <w:rPr/>
            </w:pPr>
            <w:r>
              <w:rPr/>
              <w:t>  </w:t>
            </w:r>
          </w:p>
        </w:tc>
        <w:tc>
          <w:tcPr>
            <w:tcW w:w="269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sz w:val="20"/>
              </w:rPr>
            </w:pPr>
            <w:r>
              <w:rPr>
                <w:rFonts w:ascii="Times New Roman" w:hAnsi="Times New Roman"/>
                <w:sz w:val="20"/>
              </w:rPr>
              <w:t>Total Leverage Ratio</w:t>
            </w:r>
          </w:p>
        </w:tc>
        <w:tc>
          <w:tcPr>
            <w:tcW w:w="381" w:type="dxa"/>
            <w:tcBorders/>
            <w:vAlign w:val="bottom"/>
          </w:tcPr>
          <w:p>
            <w:pPr>
              <w:pStyle w:val="TableContents"/>
              <w:bidi w:val="0"/>
              <w:spacing w:before="0" w:after="283"/>
              <w:jc w:val="left"/>
              <w:rPr/>
            </w:pPr>
            <w:r>
              <w:rPr/>
              <w:t>  </w:t>
            </w:r>
          </w:p>
        </w:tc>
        <w:tc>
          <w:tcPr>
            <w:tcW w:w="1571" w:type="dxa"/>
            <w:tcBorders>
              <w:bottom w:val="single" w:sz="8" w:space="0" w:color="000000"/>
            </w:tcBorders>
            <w:tcMar>
              <w:bottom w:w="28" w:type="dxa"/>
            </w:tcMar>
            <w:vAlign w:val="bottom"/>
          </w:tcPr>
          <w:p>
            <w:pPr>
              <w:pStyle w:val="TableContents"/>
              <w:bidi w:val="0"/>
              <w:spacing w:before="0" w:after="283"/>
              <w:jc w:val="center"/>
              <w:rPr/>
            </w:pPr>
            <w:r>
              <w:rPr/>
              <w:t>ABR</w:t>
              <w:br/>
              <w:t>Applicable Rate</w:t>
            </w:r>
          </w:p>
        </w:tc>
        <w:tc>
          <w:tcPr>
            <w:tcW w:w="294" w:type="dxa"/>
            <w:tcBorders/>
            <w:vAlign w:val="bottom"/>
          </w:tcPr>
          <w:p>
            <w:pPr>
              <w:pStyle w:val="TableContents"/>
              <w:bidi w:val="0"/>
              <w:spacing w:before="0" w:after="283"/>
              <w:jc w:val="left"/>
              <w:rPr/>
            </w:pPr>
            <w:r>
              <w:rPr/>
              <w:t> </w:t>
            </w:r>
          </w:p>
        </w:tc>
        <w:tc>
          <w:tcPr>
            <w:tcW w:w="1571" w:type="dxa"/>
            <w:tcBorders>
              <w:bottom w:val="single" w:sz="8" w:space="0" w:color="000000"/>
            </w:tcBorders>
            <w:tcMar>
              <w:bottom w:w="28" w:type="dxa"/>
            </w:tcMar>
            <w:vAlign w:val="bottom"/>
          </w:tcPr>
          <w:p>
            <w:pPr>
              <w:pStyle w:val="TableContents"/>
              <w:bidi w:val="0"/>
              <w:spacing w:before="0" w:after="283"/>
              <w:jc w:val="center"/>
              <w:rPr/>
            </w:pPr>
            <w:r>
              <w:rPr/>
              <w:t>SOFR</w:t>
              <w:br/>
              <w:t>Applicable Rate</w:t>
            </w:r>
          </w:p>
        </w:tc>
        <w:tc>
          <w:tcPr>
            <w:tcW w:w="294" w:type="dxa"/>
            <w:tcBorders/>
            <w:vAlign w:val="bottom"/>
          </w:tcPr>
          <w:p>
            <w:pPr>
              <w:pStyle w:val="TableContents"/>
              <w:bidi w:val="0"/>
              <w:spacing w:before="0" w:after="283"/>
              <w:jc w:val="left"/>
              <w:rPr/>
            </w:pPr>
            <w:r>
              <w:rPr/>
              <w:t> </w:t>
            </w:r>
          </w:p>
        </w:tc>
        <w:tc>
          <w:tcPr>
            <w:tcW w:w="1260" w:type="dxa"/>
            <w:tcBorders>
              <w:bottom w:val="single" w:sz="8" w:space="0" w:color="000000"/>
            </w:tcBorders>
            <w:tcMar>
              <w:bottom w:w="28" w:type="dxa"/>
            </w:tcMar>
            <w:vAlign w:val="bottom"/>
          </w:tcPr>
          <w:p>
            <w:pPr>
              <w:pStyle w:val="TableContents"/>
              <w:bidi w:val="0"/>
              <w:spacing w:before="0" w:after="283"/>
              <w:jc w:val="center"/>
              <w:rPr/>
            </w:pPr>
            <w:r>
              <w:rPr/>
              <w:t>Commitment</w:t>
              <w:br/>
              <w:t>Fee Rate</w:t>
            </w:r>
          </w:p>
        </w:tc>
      </w:tr>
      <w:tr>
        <w:trPr/>
        <w:tc>
          <w:tcPr>
            <w:tcW w:w="943" w:type="dxa"/>
            <w:tcBorders/>
            <w:shd w:fill="CCEEFF" w:val="clear"/>
          </w:tcPr>
          <w:p>
            <w:pPr>
              <w:pStyle w:val="TableContents"/>
              <w:bidi w:val="0"/>
              <w:spacing w:before="0" w:after="0"/>
              <w:jc w:val="center"/>
              <w:rPr>
                <w:rFonts w:ascii="Times New Roman" w:hAnsi="Times New Roman"/>
                <w:sz w:val="20"/>
              </w:rPr>
            </w:pPr>
            <w:r>
              <w:rPr>
                <w:rFonts w:ascii="Times New Roman" w:hAnsi="Times New Roman"/>
                <w:sz w:val="20"/>
              </w:rPr>
              <w:t>5</w:t>
            </w:r>
          </w:p>
        </w:tc>
        <w:tc>
          <w:tcPr>
            <w:tcW w:w="381" w:type="dxa"/>
            <w:tcBorders/>
            <w:shd w:fill="CCEEFF" w:val="clear"/>
            <w:vAlign w:val="bottom"/>
          </w:tcPr>
          <w:p>
            <w:pPr>
              <w:pStyle w:val="TableContents"/>
              <w:bidi w:val="0"/>
              <w:spacing w:before="0" w:after="283"/>
              <w:jc w:val="left"/>
              <w:rPr/>
            </w:pPr>
            <w:r>
              <w:rPr/>
              <w:t>  </w:t>
            </w:r>
          </w:p>
        </w:tc>
        <w:tc>
          <w:tcPr>
            <w:tcW w:w="2693" w:type="dxa"/>
            <w:tcBorders/>
            <w:shd w:fill="CCEEFF" w:val="clear"/>
            <w:vAlign w:val="bottom"/>
          </w:tcPr>
          <w:p>
            <w:pPr>
              <w:pStyle w:val="TableContents"/>
              <w:bidi w:val="0"/>
              <w:spacing w:before="0" w:after="283"/>
              <w:jc w:val="center"/>
              <w:rPr/>
            </w:pPr>
            <w:r>
              <w:rPr/>
              <w:t>≤</w:t>
            </w:r>
            <w:r>
              <w:rPr/>
              <w:t>2.50 to 1.00</w:t>
            </w:r>
          </w:p>
        </w:tc>
        <w:tc>
          <w:tcPr>
            <w:tcW w:w="381" w:type="dxa"/>
            <w:tcBorders/>
            <w:shd w:fill="CCEEFF" w:val="clear"/>
            <w:vAlign w:val="bottom"/>
          </w:tcPr>
          <w:p>
            <w:pPr>
              <w:pStyle w:val="TableContents"/>
              <w:bidi w:val="0"/>
              <w:spacing w:before="0" w:after="283"/>
              <w:jc w:val="left"/>
              <w:rPr/>
            </w:pPr>
            <w:r>
              <w:rPr/>
              <w:t>  </w:t>
            </w:r>
          </w:p>
        </w:tc>
        <w:tc>
          <w:tcPr>
            <w:tcW w:w="1571" w:type="dxa"/>
            <w:tcBorders/>
            <w:shd w:fill="CCEEFF" w:val="clear"/>
            <w:vAlign w:val="bottom"/>
          </w:tcPr>
          <w:p>
            <w:pPr>
              <w:pStyle w:val="TableContents"/>
              <w:bidi w:val="0"/>
              <w:spacing w:before="0" w:after="283"/>
              <w:jc w:val="center"/>
              <w:rPr/>
            </w:pPr>
            <w:r>
              <w:rPr/>
              <w:t>1.25%</w:t>
            </w:r>
          </w:p>
        </w:tc>
        <w:tc>
          <w:tcPr>
            <w:tcW w:w="294" w:type="dxa"/>
            <w:tcBorders/>
            <w:shd w:fill="CCEEFF" w:val="clear"/>
            <w:vAlign w:val="bottom"/>
          </w:tcPr>
          <w:p>
            <w:pPr>
              <w:pStyle w:val="TableContents"/>
              <w:bidi w:val="0"/>
              <w:spacing w:before="0" w:after="283"/>
              <w:jc w:val="left"/>
              <w:rPr/>
            </w:pPr>
            <w:r>
              <w:rPr/>
              <w:t> </w:t>
            </w:r>
          </w:p>
        </w:tc>
        <w:tc>
          <w:tcPr>
            <w:tcW w:w="1571" w:type="dxa"/>
            <w:tcBorders/>
            <w:shd w:fill="CCEEFF" w:val="clear"/>
            <w:vAlign w:val="bottom"/>
          </w:tcPr>
          <w:p>
            <w:pPr>
              <w:pStyle w:val="TableContents"/>
              <w:bidi w:val="0"/>
              <w:spacing w:before="0" w:after="283"/>
              <w:jc w:val="center"/>
              <w:rPr/>
            </w:pPr>
            <w:r>
              <w:rPr/>
              <w:t>2.25%</w:t>
            </w:r>
          </w:p>
        </w:tc>
        <w:tc>
          <w:tcPr>
            <w:tcW w:w="294" w:type="dxa"/>
            <w:tcBorders/>
            <w:shd w:fill="CCEEFF" w:val="clear"/>
            <w:vAlign w:val="bottom"/>
          </w:tcPr>
          <w:p>
            <w:pPr>
              <w:pStyle w:val="TableContents"/>
              <w:bidi w:val="0"/>
              <w:spacing w:before="0" w:after="283"/>
              <w:jc w:val="left"/>
              <w:rPr/>
            </w:pPr>
            <w:r>
              <w:rPr/>
              <w:t> </w:t>
            </w:r>
          </w:p>
        </w:tc>
        <w:tc>
          <w:tcPr>
            <w:tcW w:w="1260" w:type="dxa"/>
            <w:tcBorders/>
            <w:shd w:fill="CCEEFF" w:val="clear"/>
            <w:vAlign w:val="bottom"/>
          </w:tcPr>
          <w:p>
            <w:pPr>
              <w:pStyle w:val="TableContents"/>
              <w:bidi w:val="0"/>
              <w:spacing w:before="0" w:after="283"/>
              <w:jc w:val="center"/>
              <w:rPr/>
            </w:pPr>
            <w:r>
              <w:rPr/>
              <w:t>0.250%</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purposes of the foregoing, (i) the Total Leverage Ratio shall be determined as of the end of each fiscal quarter of GEO based upon GEO’s consolidated financial statements delivered pursuant to </w:t>
      </w:r>
      <w:r>
        <w:rPr>
          <w:rFonts w:ascii="Times New Roman" w:hAnsi="Times New Roman"/>
          <w:sz w:val="20"/>
          <w:u w:val="single"/>
        </w:rPr>
        <w:t>Section 5.01(a)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as applicable and (ii) each change in the Applicable Rate resulting from a change in the Total Leverage Ratio shall be effective during the period commencing on and including the date 10 Business Days after delivery to the Administrative Agent of such consolidated financial statements indicating such change and ending on the date immediately preceding the effective date of the next such change; </w:t>
      </w:r>
      <w:r>
        <w:rPr>
          <w:rFonts w:ascii="Times New Roman" w:hAnsi="Times New Roman"/>
          <w:sz w:val="20"/>
          <w:u w:val="single"/>
        </w:rPr>
        <w:t>provided</w:t>
      </w:r>
      <w:r>
        <w:rPr>
          <w:rFonts w:ascii="Times New Roman" w:hAnsi="Times New Roman"/>
          <w:sz w:val="20"/>
        </w:rPr>
        <w:t xml:space="preserve"> that (x) the Total Leverage Ratio shall be deemed to be in Category 5 from the Effective Date through the date 10 Business Days after the first delivery to the Administrative Agent of GEO’s consolidated financial statements delivered pursuant to </w:t>
      </w:r>
      <w:r>
        <w:rPr>
          <w:rFonts w:ascii="Times New Roman" w:hAnsi="Times New Roman"/>
          <w:sz w:val="20"/>
          <w:u w:val="single"/>
        </w:rPr>
        <w:t>Section 5.01(a)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as applicable, with respect to a fiscal quarter or year, as applicable, ending on or after the end of the first fiscal quarter ending after the Effective Date and indicating a change in the Applicable Rate resulting from a change in the Total Leverage Ratio as of the end of such fiscal quarter or year and (y) the Total Leverage Ratio shall be deemed to be in Category 1 (A) at any time that an Event of Default has occurred and is continuing and (B) if GEO fails to timely deliver the consolidated financial statements required to be delivered by it pursuant to </w:t>
      </w:r>
      <w:r>
        <w:rPr>
          <w:rFonts w:ascii="Times New Roman" w:hAnsi="Times New Roman"/>
          <w:sz w:val="20"/>
          <w:u w:val="single"/>
        </w:rPr>
        <w:t>Section 5.01(a)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as applicable, during the period from the expiration of the time for delivery thereof until such consolidated financial statements are delivered. In the event that the information regarding the Total Leverage Ratio contained in the financial statements delivered pursuant to </w:t>
      </w:r>
      <w:r>
        <w:rPr>
          <w:rFonts w:ascii="Times New Roman" w:hAnsi="Times New Roman"/>
          <w:sz w:val="20"/>
          <w:u w:val="single"/>
        </w:rPr>
        <w:t>Section 5.01(a)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is shown to be inaccurate, and such inaccuracy, if corrected, would have led to the application of a higher Applicable Rate for any period (“</w:t>
      </w:r>
      <w:r>
        <w:rPr>
          <w:rFonts w:ascii="Times New Roman" w:hAnsi="Times New Roman"/>
          <w:sz w:val="20"/>
          <w:u w:val="single"/>
        </w:rPr>
        <w:t>Applicable Period</w:t>
      </w:r>
      <w:r>
        <w:rPr>
          <w:rFonts w:ascii="Times New Roman" w:hAnsi="Times New Roman"/>
          <w:sz w:val="20"/>
        </w:rPr>
        <w:t xml:space="preserve">”) than the Applicable Rate actually applied for such Applicable Period, then (i) the Borrowers shall immediately deliver to the Administrative Agent updated financial statements for such Applicable Period, (ii) the Applicable Rate shall be determined as if the correct Applicable Rate (as set forth in the table above) were applicable for such Applicable Period, and (iii) the Borrowers shall immediately deliver to the Administrative Agent full payment in respect of the accrued additional interest as a result of such increased Applicable Rate for such Applicable Period, which payment shall be promptly applied by the Administrative Agent to the affected Obligations.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contained in this definition, the determination of the Applicable Rate for any period shall be subject to the provisions of </w:t>
      </w:r>
      <w:r>
        <w:rPr>
          <w:rFonts w:ascii="Times New Roman" w:hAnsi="Times New Roman"/>
          <w:sz w:val="20"/>
          <w:u w:val="single"/>
        </w:rPr>
        <w:t>Section 2.12(f)</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Approved Fund</w:t>
      </w:r>
      <w:r>
        <w:rPr>
          <w:rFonts w:ascii="Times New Roman" w:hAnsi="Times New Roman"/>
          <w:sz w:val="20"/>
        </w:rPr>
        <w:t xml:space="preserve">” means any Fund that is administered or managed by (a) a Lender, (b) an Affiliate of a Lender or (c) an entity or an Affiliate of an entity that administers or manages a Lender. </w:t>
      </w:r>
    </w:p>
    <w:p>
      <w:pPr>
        <w:pStyle w:val="TextBody"/>
        <w:bidi w:val="0"/>
        <w:spacing w:before="240" w:after="0"/>
        <w:jc w:val="left"/>
        <w:rPr/>
      </w:pPr>
      <w:r>
        <w:rPr/>
        <w:t>“</w:t>
      </w:r>
      <w:r>
        <w:rPr>
          <w:rFonts w:ascii="Times New Roman" w:hAnsi="Times New Roman"/>
          <w:sz w:val="20"/>
          <w:u w:val="single"/>
        </w:rPr>
        <w:t>Assignment Agreement</w:t>
      </w:r>
      <w:r>
        <w:rPr>
          <w:rFonts w:ascii="Times New Roman" w:hAnsi="Times New Roman"/>
          <w:sz w:val="20"/>
        </w:rPr>
        <w:t xml:space="preserve">” has the meaning assigned thereto in the Collateral Agreement. </w:t>
      </w:r>
    </w:p>
    <w:p>
      <w:pPr>
        <w:pStyle w:val="TextBody"/>
        <w:bidi w:val="0"/>
        <w:spacing w:before="240" w:after="0"/>
        <w:jc w:val="left"/>
        <w:rPr/>
      </w:pPr>
      <w:r>
        <w:rPr/>
        <w:t>“</w:t>
      </w:r>
      <w:r>
        <w:rPr>
          <w:rFonts w:ascii="Times New Roman" w:hAnsi="Times New Roman"/>
          <w:sz w:val="20"/>
          <w:u w:val="single"/>
        </w:rPr>
        <w:t>Assignment and Assumption</w:t>
      </w:r>
      <w:r>
        <w:rPr>
          <w:rFonts w:ascii="Times New Roman" w:hAnsi="Times New Roman"/>
          <w:sz w:val="20"/>
        </w:rPr>
        <w:t xml:space="preserve">” means an Assignment and Assumption entered into by a Lender and an assignee (with the consent of any party whose consent is required by </w:t>
      </w:r>
      <w:r>
        <w:rPr>
          <w:rFonts w:ascii="Times New Roman" w:hAnsi="Times New Roman"/>
          <w:sz w:val="20"/>
          <w:u w:val="single"/>
        </w:rPr>
        <w:t>Section 9.04</w:t>
      </w:r>
      <w:r>
        <w:rPr>
          <w:rFonts w:ascii="Times New Roman" w:hAnsi="Times New Roman"/>
          <w:sz w:val="20"/>
        </w:rPr>
        <w:t xml:space="preserve">), and accepted by the Administrative Agent, in substantially the form of </w:t>
      </w:r>
      <w:r>
        <w:rPr>
          <w:rFonts w:ascii="Times New Roman" w:hAnsi="Times New Roman"/>
          <w:sz w:val="20"/>
          <w:u w:val="single"/>
        </w:rPr>
        <w:t>Exhibit B</w:t>
      </w:r>
      <w:r>
        <w:rPr>
          <w:rFonts w:ascii="Times New Roman" w:hAnsi="Times New Roman"/>
          <w:sz w:val="20"/>
        </w:rPr>
        <w:t xml:space="preserve"> or any other form approved by the Administrative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Assuming Lender</w:t>
      </w:r>
      <w:r>
        <w:rPr>
          <w:rFonts w:ascii="Times New Roman" w:hAnsi="Times New Roman"/>
          <w:sz w:val="20"/>
        </w:rPr>
        <w:t xml:space="preserve">” has the meaning assigned thereto in </w:t>
      </w:r>
      <w:r>
        <w:rPr>
          <w:rFonts w:ascii="Times New Roman" w:hAnsi="Times New Roman"/>
          <w:sz w:val="20"/>
          <w:u w:val="single"/>
        </w:rPr>
        <w:t>Section 2.08(e)(i)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Auction</w:t>
      </w:r>
      <w:r>
        <w:rPr>
          <w:rFonts w:ascii="Times New Roman" w:hAnsi="Times New Roman"/>
          <w:sz w:val="20"/>
        </w:rPr>
        <w:t xml:space="preserve">” has the meaning assigned thereto in </w:t>
      </w:r>
      <w:r>
        <w:rPr>
          <w:rFonts w:ascii="Times New Roman" w:hAnsi="Times New Roman"/>
          <w:sz w:val="20"/>
          <w:u w:val="single"/>
        </w:rPr>
        <w:t>Section 9.04(b)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Auction Manager</w:t>
      </w:r>
      <w:r>
        <w:rPr>
          <w:rFonts w:ascii="Times New Roman" w:hAnsi="Times New Roman"/>
          <w:sz w:val="20"/>
        </w:rPr>
        <w:t xml:space="preserve">” means (a) the Administrative Agent in its capacity as Auction Manager or (b) any other financial institution or advisor agreed by GEO and the Administrative Agent (whether or not an affiliate of the Administrative Agent) to act as an arranger in connection with any purchases pursuant to </w:t>
      </w:r>
      <w:r>
        <w:rPr>
          <w:rFonts w:ascii="Times New Roman" w:hAnsi="Times New Roman"/>
          <w:sz w:val="20"/>
          <w:u w:val="single"/>
        </w:rPr>
        <w:t>Section 9.04(b);</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the Borrowers or GEO shall not designate the Administrative Agent as the Auction Manager without the written consent of the Administrative Agent (it being understood that the Administrative Agent shall be under no obligation to agree to act as the Auction Manager). </w:t>
      </w:r>
    </w:p>
    <w:p>
      <w:pPr>
        <w:pStyle w:val="TextBody"/>
        <w:bidi w:val="0"/>
        <w:spacing w:before="240" w:after="0"/>
        <w:jc w:val="left"/>
        <w:rPr/>
      </w:pPr>
      <w:r>
        <w:rPr/>
        <w:t>“</w:t>
      </w:r>
      <w:r>
        <w:rPr>
          <w:rFonts w:ascii="Times New Roman" w:hAnsi="Times New Roman"/>
          <w:sz w:val="20"/>
          <w:u w:val="single"/>
        </w:rPr>
        <w:t>Auto-Extension Letter of Credit</w:t>
      </w:r>
      <w:r>
        <w:rPr>
          <w:rFonts w:ascii="Times New Roman" w:hAnsi="Times New Roman"/>
          <w:sz w:val="20"/>
        </w:rPr>
        <w:t xml:space="preserve">” has the meaning assigned thereto in </w:t>
      </w:r>
      <w:r>
        <w:rPr>
          <w:rFonts w:ascii="Times New Roman" w:hAnsi="Times New Roman"/>
          <w:sz w:val="20"/>
          <w:u w:val="single"/>
        </w:rPr>
        <w:t>Section 2.05(b)(ii)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Available Amount</w:t>
      </w:r>
      <w:r>
        <w:rPr>
          <w:rFonts w:ascii="Times New Roman" w:hAnsi="Times New Roman"/>
          <w:sz w:val="20"/>
        </w:rPr>
        <w:t xml:space="preserve">” has the meaning assigned thereto in </w:t>
      </w:r>
      <w:r>
        <w:rPr>
          <w:rFonts w:ascii="Times New Roman" w:hAnsi="Times New Roman"/>
          <w:sz w:val="20"/>
          <w:u w:val="single"/>
        </w:rPr>
        <w:t>Section 6.05(b)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Available Revolving Credit Commitment</w:t>
      </w:r>
      <w:r>
        <w:rPr>
          <w:rFonts w:ascii="Times New Roman" w:hAnsi="Times New Roman"/>
          <w:sz w:val="20"/>
        </w:rPr>
        <w:t xml:space="preserve">” means, with respect to any Lender at any time, such Lender’s Revolving Credit Commitment at such time, </w:t>
      </w:r>
      <w:r>
        <w:rPr>
          <w:rFonts w:ascii="Times New Roman" w:hAnsi="Times New Roman"/>
          <w:sz w:val="20"/>
          <w:u w:val="single"/>
        </w:rPr>
        <w:t>minus</w:t>
      </w:r>
      <w:r>
        <w:rPr>
          <w:rFonts w:ascii="Times New Roman" w:hAnsi="Times New Roman"/>
          <w:sz w:val="20"/>
        </w:rPr>
        <w:t xml:space="preserve"> (b) such Lender’s Revolving Credit Exposure at such time. </w:t>
      </w:r>
    </w:p>
    <w:p>
      <w:pPr>
        <w:pStyle w:val="TextBody"/>
        <w:bidi w:val="0"/>
        <w:spacing w:before="240" w:after="0"/>
        <w:jc w:val="left"/>
        <w:rPr/>
      </w:pPr>
      <w:r>
        <w:rPr/>
        <w:t>“</w:t>
      </w:r>
      <w:r>
        <w:rPr>
          <w:rFonts w:ascii="Times New Roman" w:hAnsi="Times New Roman"/>
          <w:sz w:val="20"/>
          <w:u w:val="single"/>
        </w:rPr>
        <w:t>Available Tenor</w:t>
      </w:r>
      <w:r>
        <w:rPr>
          <w:rFonts w:ascii="Times New Roman" w:hAnsi="Times New Roman"/>
          <w:sz w:val="20"/>
        </w:rPr>
        <w:t xml:space="preserve">” means, as of any date of determination and with respect to the then-current Benchmark, as applicable, (a) if such Benchmark is a term rate, any tenor for such Benchmark (or component thereof) that is or may be used for determining the length of an interest period pursuant to this Agreement or (b) otherwise, any payment period for interest calculated with reference to such Benchmark (or component thereof) that is or may be used for determining any frequency of making payments of interest calculated with reference to such Benchmark pursuant to this Agreement, in each case, as of such date and not including, for the avoidance of doubt, any tenor for such Benchmark that is then-removed from the definition of “Interest Period” pursuant to </w:t>
      </w:r>
      <w:r>
        <w:rPr>
          <w:rFonts w:ascii="Times New Roman" w:hAnsi="Times New Roman"/>
          <w:sz w:val="20"/>
          <w:u w:val="single"/>
        </w:rPr>
        <w:t>Section 2.24(d)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Bail-In Action</w:t>
      </w:r>
      <w:r>
        <w:rPr>
          <w:rFonts w:ascii="Times New Roman" w:hAnsi="Times New Roman"/>
          <w:sz w:val="20"/>
        </w:rPr>
        <w:t xml:space="preserve">” means the exercise of any Write-Down and Conversion Powers by the applicable Resolution Authority in respect of any liability of an Affected Financial Institution. </w:t>
      </w:r>
    </w:p>
    <w:p>
      <w:pPr>
        <w:pStyle w:val="TextBody"/>
        <w:bidi w:val="0"/>
        <w:spacing w:before="240" w:after="0"/>
        <w:jc w:val="left"/>
        <w:rPr/>
      </w:pPr>
      <w:r>
        <w:rPr/>
        <w:t>“</w:t>
      </w:r>
      <w:r>
        <w:rPr>
          <w:rFonts w:ascii="Times New Roman" w:hAnsi="Times New Roman"/>
          <w:sz w:val="20"/>
          <w:u w:val="single"/>
        </w:rPr>
        <w:t>Bail-In Legislation</w:t>
      </w:r>
      <w:r>
        <w:rPr>
          <w:rFonts w:ascii="Times New Roman" w:hAnsi="Times New Roman"/>
          <w:sz w:val="20"/>
        </w:rPr>
        <w:t xml:space="preserve">” means (a) with respect to any EEA Member Country implementing Article 55 of Directive 2014/59/EU of the European Parliament and of the Council of the European Union, the implementing law, regulation, rule or requirement for such EEA Member Country from time to time that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 </w:t>
      </w:r>
    </w:p>
    <w:p>
      <w:pPr>
        <w:pStyle w:val="TextBody"/>
        <w:bidi w:val="0"/>
        <w:spacing w:before="240" w:after="0"/>
        <w:jc w:val="left"/>
        <w:rPr/>
      </w:pPr>
      <w:r>
        <w:rPr/>
        <w:t>“</w:t>
      </w:r>
      <w:r>
        <w:rPr>
          <w:rFonts w:ascii="Times New Roman" w:hAnsi="Times New Roman"/>
          <w:sz w:val="20"/>
          <w:u w:val="single"/>
        </w:rPr>
        <w:t>Bank Parent</w:t>
      </w:r>
      <w:r>
        <w:rPr>
          <w:rFonts w:ascii="Times New Roman" w:hAnsi="Times New Roman"/>
          <w:sz w:val="20"/>
        </w:rPr>
        <w:t xml:space="preserve">” means, with respect to any Lender, any Person of which such Lender is, directly or indirectly, a Subsidiary.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Bankruptcy Event</w:t>
      </w:r>
      <w:r>
        <w:rPr>
          <w:rFonts w:ascii="Times New Roman" w:hAnsi="Times New Roman"/>
          <w:sz w:val="20"/>
        </w:rPr>
        <w:t xml:space="preserve">” means, with respect to any Person, such Person becomes the subject of a bankruptcy or insolvency proceeding, or has had a receiver, conservator, trustee, administrator, custodian, assignee for the benefit of creditors, liquidator, administrative receiver, administrator, compulsory administrator, provisional liquidator, receiver and manager, controller or similar Person charged with the reorganization or liquidation of its business appointed for it, or, in the good faith determination of the Administrative Agent, has taken any action in furtherance of, or indicating its consent to, approval of, or acquiescence in, any such proceeding or appointment. </w:t>
      </w:r>
    </w:p>
    <w:p>
      <w:pPr>
        <w:pStyle w:val="TextBody"/>
        <w:bidi w:val="0"/>
        <w:spacing w:before="240" w:after="0"/>
        <w:jc w:val="left"/>
        <w:rPr/>
      </w:pPr>
      <w:r>
        <w:rPr/>
        <w:t>“</w:t>
      </w:r>
      <w:r>
        <w:rPr>
          <w:rFonts w:ascii="Times New Roman" w:hAnsi="Times New Roman"/>
          <w:sz w:val="20"/>
          <w:u w:val="single"/>
        </w:rPr>
        <w:t>Benchmark</w:t>
      </w:r>
      <w:r>
        <w:rPr>
          <w:rFonts w:ascii="Times New Roman" w:hAnsi="Times New Roman"/>
          <w:sz w:val="20"/>
        </w:rPr>
        <w:t xml:space="preserve">” means, initially, the Term SOFR Reference Rate; </w:t>
      </w:r>
      <w:r>
        <w:rPr>
          <w:rFonts w:ascii="Times New Roman" w:hAnsi="Times New Roman"/>
          <w:sz w:val="20"/>
          <w:u w:val="single"/>
        </w:rPr>
        <w:t>provided</w:t>
      </w:r>
      <w:r>
        <w:rPr>
          <w:rFonts w:ascii="Times New Roman" w:hAnsi="Times New Roman"/>
          <w:sz w:val="20"/>
        </w:rPr>
        <w:t xml:space="preserve"> that if a Benchmark Transition Event and its related Benchmark Replacement Date have occurred with respect to the Term SOFR Reference Rate or the then-current Benchmark, then “Benchmark” shall mean the applicable Benchmark Replacement to the extent that such Benchmark Replacement has replaced such prior benchmark rate pursuant to </w:t>
      </w:r>
      <w:r>
        <w:rPr>
          <w:rFonts w:ascii="Times New Roman" w:hAnsi="Times New Roman"/>
          <w:sz w:val="20"/>
          <w:u w:val="single"/>
        </w:rPr>
        <w:t>Section 2.24(a)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Benchmark Replacement</w:t>
      </w:r>
      <w:r>
        <w:rPr>
          <w:rFonts w:ascii="Times New Roman" w:hAnsi="Times New Roman"/>
          <w:sz w:val="20"/>
        </w:rPr>
        <w:t xml:space="preserve">” means, for any Available Tenor, the first alternative set forth in the order below that can be determined by the Administrative Agent for the applicable Benchmark Replacement Date: </w:t>
      </w:r>
    </w:p>
    <w:p>
      <w:pPr>
        <w:pStyle w:val="TextBody"/>
        <w:bidi w:val="0"/>
        <w:spacing w:before="120" w:after="0"/>
        <w:jc w:val="left"/>
        <w:rPr>
          <w:rFonts w:ascii="Times New Roman" w:hAnsi="Times New Roman"/>
          <w:sz w:val="20"/>
        </w:rPr>
      </w:pPr>
      <w:r>
        <w:rPr>
          <w:rFonts w:ascii="Times New Roman" w:hAnsi="Times New Roman"/>
          <w:sz w:val="20"/>
        </w:rPr>
        <w:t xml:space="preserve">(a) Daily Simple SOFR; or </w:t>
      </w:r>
    </w:p>
    <w:p>
      <w:pPr>
        <w:pStyle w:val="TextBody"/>
        <w:bidi w:val="0"/>
        <w:spacing w:before="240" w:after="0"/>
        <w:jc w:val="left"/>
        <w:rPr>
          <w:rFonts w:ascii="Times New Roman" w:hAnsi="Times New Roman"/>
          <w:sz w:val="20"/>
        </w:rPr>
      </w:pPr>
      <w:r>
        <w:rPr>
          <w:rFonts w:ascii="Times New Roman" w:hAnsi="Times New Roman"/>
          <w:sz w:val="20"/>
        </w:rPr>
        <w:t xml:space="preserve">(b) the sum of: (i) the alternate benchmark rate that has been selected by the Administrative Agent and the Borrowers giving due consideration to (A) any selection or recommendation of a replacement benchmark rate or the mechanism for determining such a rate by the Relevant Governmental Body or (B) any evolving or then-prevailing market convention for determining a benchmark rate as a replacement to the then-current Benchmark for Dollar-denominated syndicated credit facilities at such time and (ii) the related Benchmark Replacement Adjustment. </w:t>
      </w:r>
    </w:p>
    <w:p>
      <w:pPr>
        <w:pStyle w:val="TextBody"/>
        <w:bidi w:val="0"/>
        <w:spacing w:before="240" w:after="0"/>
        <w:jc w:val="left"/>
        <w:rPr>
          <w:rFonts w:ascii="Times New Roman" w:hAnsi="Times New Roman"/>
          <w:sz w:val="20"/>
        </w:rPr>
      </w:pPr>
      <w:r>
        <w:rPr>
          <w:rFonts w:ascii="Times New Roman" w:hAnsi="Times New Roman"/>
          <w:sz w:val="20"/>
        </w:rPr>
        <w:t xml:space="preserve">If the Benchmark Replacement as determined pursuant to clause (a) or (b) above would be less than the Floor, the Benchmark Replacement will be deemed to be equal to the Floor for the purposes of this Agreement and the other Loan Documents. </w:t>
      </w:r>
    </w:p>
    <w:p>
      <w:pPr>
        <w:pStyle w:val="TextBody"/>
        <w:bidi w:val="0"/>
        <w:spacing w:before="240" w:after="0"/>
        <w:jc w:val="left"/>
        <w:rPr/>
      </w:pPr>
      <w:r>
        <w:rPr/>
        <w:t>“</w:t>
      </w:r>
      <w:r>
        <w:rPr>
          <w:rFonts w:ascii="Times New Roman" w:hAnsi="Times New Roman"/>
          <w:sz w:val="20"/>
          <w:u w:val="single"/>
        </w:rPr>
        <w:t>Benchmark Replacement Adjustment</w:t>
      </w:r>
      <w:r>
        <w:rPr>
          <w:rFonts w:ascii="Times New Roman" w:hAnsi="Times New Roman"/>
          <w:sz w:val="20"/>
        </w:rPr>
        <w:t xml:space="preserve">” means, with respect to any replacement of the then-current Benchmark with an Unadjusted Benchmark Replacement, the spread adjustment, or method for calculating or determining such spread adjustment, (which may be a positive or negative value or zero), that has been selected by the Administrative Agent and the Borrowers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at such time. </w:t>
      </w:r>
    </w:p>
    <w:p>
      <w:pPr>
        <w:pStyle w:val="TextBody"/>
        <w:bidi w:val="0"/>
        <w:spacing w:before="240" w:after="0"/>
        <w:jc w:val="left"/>
        <w:rPr/>
      </w:pPr>
      <w:r>
        <w:rPr/>
        <w:t>“</w:t>
      </w:r>
      <w:r>
        <w:rPr>
          <w:rFonts w:ascii="Times New Roman" w:hAnsi="Times New Roman"/>
          <w:sz w:val="20"/>
          <w:u w:val="single"/>
        </w:rPr>
        <w:t>Benchmark Replacement Date</w:t>
      </w:r>
      <w:r>
        <w:rPr>
          <w:rFonts w:ascii="Times New Roman" w:hAnsi="Times New Roman"/>
          <w:sz w:val="20"/>
        </w:rPr>
        <w:t xml:space="preserve">” means a date and time determined by the Administrative Agent, which date shall be no later than the earliest to occur of the following events with respect to the then-current Benchmark: </w:t>
      </w:r>
    </w:p>
    <w:p>
      <w:pPr>
        <w:pStyle w:val="TextBody"/>
        <w:bidi w:val="0"/>
        <w:spacing w:before="120" w:after="0"/>
        <w:jc w:val="left"/>
        <w:rPr>
          <w:rFonts w:ascii="Times New Roman" w:hAnsi="Times New Roman"/>
          <w:sz w:val="20"/>
        </w:rPr>
      </w:pPr>
      <w:r>
        <w:rPr>
          <w:rFonts w:ascii="Times New Roman" w:hAnsi="Times New Roman"/>
          <w:sz w:val="20"/>
        </w:rPr>
        <w:t xml:space="preserve">(a) 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in the case of clause (c) of the definition of “Benchmark Transition Event,” the first date on which such Benchmark (or the published component used in the calculation thereof) has been determined and announced by or on behalf of the administrator of such Benchmark (or such component thereof) or the regulatory supervisor for the administrator of such Benchmark (or such component thereof) to be non-representative; </w:t>
      </w:r>
      <w:r>
        <w:rPr>
          <w:rFonts w:ascii="Times New Roman" w:hAnsi="Times New Roman"/>
          <w:sz w:val="20"/>
          <w:u w:val="single"/>
        </w:rPr>
        <w:t>provided</w:t>
      </w:r>
      <w:r>
        <w:rPr>
          <w:rFonts w:ascii="Times New Roman" w:hAnsi="Times New Roman"/>
          <w:sz w:val="20"/>
        </w:rPr>
        <w:t xml:space="preserve"> that such non-representativeness will be determined by reference to the most recent statement or publication referenced in such clause (c) and even if any Available Tenor of such Benchmark (or such component thereof) continues to be provided on such date. </w:t>
      </w:r>
    </w:p>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 </w:t>
      </w:r>
    </w:p>
    <w:p>
      <w:pPr>
        <w:pStyle w:val="TextBody"/>
        <w:bidi w:val="0"/>
        <w:spacing w:before="240" w:after="0"/>
        <w:jc w:val="left"/>
        <w:rPr/>
      </w:pPr>
      <w:r>
        <w:rPr/>
        <w:t>“</w:t>
      </w:r>
      <w:r>
        <w:rPr>
          <w:rFonts w:ascii="Times New Roman" w:hAnsi="Times New Roman"/>
          <w:sz w:val="20"/>
          <w:u w:val="single"/>
        </w:rPr>
        <w:t>Benchmark Transition Event</w:t>
      </w:r>
      <w:r>
        <w:rPr>
          <w:rFonts w:ascii="Times New Roman" w:hAnsi="Times New Roman"/>
          <w:sz w:val="20"/>
        </w:rPr>
        <w:t xml:space="preserve">” means the occurrence of one or more of the following events with respect to the then-current Benchmark: </w:t>
      </w:r>
    </w:p>
    <w:p>
      <w:pPr>
        <w:pStyle w:val="TextBody"/>
        <w:bidi w:val="0"/>
        <w:spacing w:before="240" w:after="0"/>
        <w:jc w:val="left"/>
        <w:rPr>
          <w:rFonts w:ascii="Times New Roman" w:hAnsi="Times New Roman"/>
          <w:sz w:val="20"/>
        </w:rPr>
      </w:pPr>
      <w:r>
        <w:rPr>
          <w:rFonts w:ascii="Times New Roman" w:hAnsi="Times New Roman"/>
          <w:sz w:val="20"/>
        </w:rPr>
        <w:t xml:space="preserve">(a) 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w:t>
      </w:r>
    </w:p>
    <w:p>
      <w:pPr>
        <w:pStyle w:val="TextBody"/>
        <w:bidi w:val="0"/>
        <w:spacing w:before="240" w:after="0"/>
        <w:jc w:val="left"/>
        <w:rPr>
          <w:rFonts w:ascii="Times New Roman" w:hAnsi="Times New Roman"/>
          <w:sz w:val="20"/>
        </w:rPr>
      </w:pPr>
      <w:r>
        <w:rPr>
          <w:rFonts w:ascii="Times New Roman" w:hAnsi="Times New Roman"/>
          <w:sz w:val="20"/>
        </w:rPr>
        <w:t xml:space="preserve">(b) a public statement or publication of information by the regulatory supervisor for the administrator of such Benchmark (or the published component used in the calculation thereof), the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 </w:t>
      </w:r>
    </w:p>
    <w:p>
      <w:pPr>
        <w:pStyle w:val="TextBody"/>
        <w:bidi w:val="0"/>
        <w:spacing w:before="240" w:after="0"/>
        <w:jc w:val="left"/>
        <w:rPr>
          <w:rFonts w:ascii="Times New Roman" w:hAnsi="Times New Roman"/>
          <w:sz w:val="20"/>
        </w:rPr>
      </w:pPr>
      <w:r>
        <w:rPr>
          <w:rFonts w:ascii="Times New Roman" w:hAnsi="Times New Roman"/>
          <w:sz w:val="20"/>
        </w:rPr>
        <w:t xml:space="preserve">(c) a public statement or publication of information by or on behalf of the administrator of such Benchmark (or the published component used in the calculation thereof) or the regulatory supervisor for the administrator of such Benchmark (or such component thereof) announcing that all Available Tenors of such Benchmark (or such component thereof) are not, or as of a specified future date will not be, representative.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 </w:t>
      </w:r>
    </w:p>
    <w:p>
      <w:pPr>
        <w:pStyle w:val="TextBody"/>
        <w:bidi w:val="0"/>
        <w:spacing w:before="240" w:after="0"/>
        <w:jc w:val="left"/>
        <w:rPr/>
      </w:pPr>
      <w:r>
        <w:rPr/>
        <w:t>“</w:t>
      </w:r>
      <w:r>
        <w:rPr>
          <w:rFonts w:ascii="Times New Roman" w:hAnsi="Times New Roman"/>
          <w:sz w:val="20"/>
          <w:u w:val="single"/>
        </w:rPr>
        <w:t>Benchmark Unavailability Period</w:t>
      </w:r>
      <w:r>
        <w:rPr>
          <w:rFonts w:ascii="Times New Roman" w:hAnsi="Times New Roman"/>
          <w:sz w:val="20"/>
        </w:rPr>
        <w:t xml:space="preserve">” means the period (if any) (a) beginning at the time that a Benchmark Replacement Date has occurred if, at such time, no Benchmark Replacement has replaced the then-current Benchmark for all purposes hereunder and under any Loan Document in accordance with </w:t>
      </w:r>
      <w:r>
        <w:rPr>
          <w:rFonts w:ascii="Times New Roman" w:hAnsi="Times New Roman"/>
          <w:sz w:val="20"/>
          <w:u w:val="single"/>
        </w:rPr>
        <w:t>Section 2.24</w:t>
      </w:r>
      <w:r>
        <w:rPr>
          <w:rFonts w:ascii="Times New Roman" w:hAnsi="Times New Roman"/>
          <w:sz w:val="20"/>
        </w:rPr>
        <w:t xml:space="preserve"> and (b) ending at the time that a Benchmark Replacement has replaced the then-current Benchmark for all purposes hereunder and under any Loan Document in accordance with </w:t>
      </w:r>
      <w:r>
        <w:rPr>
          <w:rFonts w:ascii="Times New Roman" w:hAnsi="Times New Roman"/>
          <w:sz w:val="20"/>
          <w:u w:val="single"/>
        </w:rPr>
        <w:t>Section 2.24</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Beneficial Ownership Regulation</w:t>
      </w:r>
      <w:r>
        <w:rPr>
          <w:rFonts w:ascii="Times New Roman" w:hAnsi="Times New Roman"/>
          <w:sz w:val="20"/>
        </w:rPr>
        <w:t xml:space="preserve">” means 31 C.F.R. § 1010.230. </w:t>
      </w:r>
    </w:p>
    <w:p>
      <w:pPr>
        <w:pStyle w:val="TextBody"/>
        <w:bidi w:val="0"/>
        <w:spacing w:before="240" w:after="0"/>
        <w:jc w:val="left"/>
        <w:rPr/>
      </w:pPr>
      <w:r>
        <w:rPr/>
        <w:t>“</w:t>
      </w:r>
      <w:r>
        <w:rPr>
          <w:rFonts w:ascii="Times New Roman" w:hAnsi="Times New Roman"/>
          <w:sz w:val="20"/>
          <w:u w:val="single"/>
        </w:rPr>
        <w:t>Board</w:t>
      </w:r>
      <w:r>
        <w:rPr>
          <w:rFonts w:ascii="Times New Roman" w:hAnsi="Times New Roman"/>
          <w:sz w:val="20"/>
        </w:rPr>
        <w:t xml:space="preserve">” means the Board of Governors of the Federal Reserve System of the United States. </w:t>
      </w:r>
    </w:p>
    <w:p>
      <w:pPr>
        <w:pStyle w:val="TextBody"/>
        <w:bidi w:val="0"/>
        <w:spacing w:before="240" w:after="0"/>
        <w:jc w:val="left"/>
        <w:rPr/>
      </w:pPr>
      <w:r>
        <w:rPr/>
        <w:t>“</w:t>
      </w:r>
      <w:r>
        <w:rPr>
          <w:rFonts w:ascii="Times New Roman" w:hAnsi="Times New Roman"/>
          <w:sz w:val="20"/>
          <w:u w:val="single"/>
        </w:rPr>
        <w:t>Borrower Materials</w:t>
      </w:r>
      <w:r>
        <w:rPr>
          <w:rFonts w:ascii="Times New Roman" w:hAnsi="Times New Roman"/>
          <w:sz w:val="20"/>
        </w:rPr>
        <w:t xml:space="preserve">” has the meaning assigned thereto in </w:t>
      </w:r>
      <w:r>
        <w:rPr>
          <w:rFonts w:ascii="Times New Roman" w:hAnsi="Times New Roman"/>
          <w:sz w:val="20"/>
          <w:u w:val="single"/>
        </w:rPr>
        <w:t>Section 9.01(d)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Borrowers</w:t>
      </w:r>
      <w:r>
        <w:rPr>
          <w:rFonts w:ascii="Times New Roman" w:hAnsi="Times New Roman"/>
          <w:sz w:val="20"/>
        </w:rPr>
        <w:t xml:space="preserve">” has the meaning assigned thereto in the Preamble hereof. </w:t>
      </w:r>
    </w:p>
    <w:p>
      <w:pPr>
        <w:pStyle w:val="TextBody"/>
        <w:bidi w:val="0"/>
        <w:spacing w:before="240" w:after="0"/>
        <w:jc w:val="left"/>
        <w:rPr/>
      </w:pPr>
      <w:r>
        <w:rPr/>
        <w:t>“</w:t>
      </w:r>
      <w:r>
        <w:rPr>
          <w:rFonts w:ascii="Times New Roman" w:hAnsi="Times New Roman"/>
          <w:sz w:val="20"/>
          <w:u w:val="single"/>
        </w:rPr>
        <w:t>Borrowing</w:t>
      </w:r>
      <w:r>
        <w:rPr>
          <w:rFonts w:ascii="Times New Roman" w:hAnsi="Times New Roman"/>
          <w:sz w:val="20"/>
        </w:rPr>
        <w:t xml:space="preserve">” means (a) all ABR Loans of the same Class, (b) all SOFR Loans of the same Class that have the same Interest Period or (c) a Swingline Loan. </w:t>
      </w:r>
    </w:p>
    <w:p>
      <w:pPr>
        <w:pStyle w:val="TextBody"/>
        <w:bidi w:val="0"/>
        <w:spacing w:before="240" w:after="0"/>
        <w:jc w:val="left"/>
        <w:rPr/>
      </w:pPr>
      <w:r>
        <w:rPr/>
        <w:t>“</w:t>
      </w:r>
      <w:r>
        <w:rPr>
          <w:rFonts w:ascii="Times New Roman" w:hAnsi="Times New Roman"/>
          <w:sz w:val="20"/>
          <w:u w:val="single"/>
        </w:rPr>
        <w:t>Borrowing Request</w:t>
      </w:r>
      <w:r>
        <w:rPr>
          <w:rFonts w:ascii="Times New Roman" w:hAnsi="Times New Roman"/>
          <w:sz w:val="20"/>
        </w:rPr>
        <w:t xml:space="preserve">” means a request by GEO for a Borrowing in substantially the form of </w:t>
      </w:r>
      <w:r>
        <w:rPr>
          <w:rFonts w:ascii="Times New Roman" w:hAnsi="Times New Roman"/>
          <w:sz w:val="20"/>
          <w:u w:val="single"/>
        </w:rPr>
        <w:t>Exhibit E</w:t>
      </w:r>
      <w:r>
        <w:rPr>
          <w:rFonts w:ascii="Times New Roman" w:hAnsi="Times New Roman"/>
          <w:sz w:val="20"/>
        </w:rPr>
        <w:t xml:space="preserve"> (or any other form approved by the Administrative Agent) in accordance with </w:t>
      </w:r>
      <w:r>
        <w:rPr>
          <w:rFonts w:ascii="Times New Roman" w:hAnsi="Times New Roman"/>
          <w:sz w:val="20"/>
          <w:u w:val="single"/>
        </w:rPr>
        <w:t>Section 2.03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Business Day</w:t>
      </w:r>
      <w:r>
        <w:rPr>
          <w:rFonts w:ascii="Times New Roman" w:hAnsi="Times New Roman"/>
          <w:sz w:val="20"/>
        </w:rPr>
        <w:t xml:space="preserve">” means any day (a) that is not a Saturday, Sunday or other day on which commercial banks in New York City are authorized or required by law to remain closed, (b) if such day relates to a borrowing, a continuation or conversion of or into, or the Interest Period for, a SOFR Borrowing, or to a notice by a Borrower with respect to any such borrowing, payment, prepayment, continuation, conversion, or Interest Period, that is also a U.S. Government Securities Business Day, and (c) if such day relates to an issuance, borrowing or continuation of, a payment or prepayment of principal of or interest on, or the Interest Period for, as applicable, any Letter of Credit denominated in any Agreed Foreign Currency, or to a notice by a Borrower with respect to any such issuance, borrowing, continuation, payment, prepayment or Interest Period, that is also a day (x) on which commercial banks settle payments in the Principal Financial Center for such Agreed Foreign Currency and (y) that is not a legal holiday or a day on which banking institutions are authorized or required by law or other government action to remain closed in such Principal Financial Center. </w:t>
      </w:r>
    </w:p>
    <w:p>
      <w:pPr>
        <w:pStyle w:val="TextBody"/>
        <w:bidi w:val="0"/>
        <w:spacing w:before="240" w:after="0"/>
        <w:jc w:val="left"/>
        <w:rPr/>
      </w:pPr>
      <w:r>
        <w:rPr/>
        <w:t>“</w:t>
      </w:r>
      <w:r>
        <w:rPr>
          <w:rFonts w:ascii="Times New Roman" w:hAnsi="Times New Roman"/>
          <w:sz w:val="20"/>
          <w:u w:val="single"/>
        </w:rPr>
        <w:t>Capital Expenditures</w:t>
      </w:r>
      <w:r>
        <w:rPr>
          <w:rFonts w:ascii="Times New Roman" w:hAnsi="Times New Roman"/>
          <w:sz w:val="20"/>
        </w:rPr>
        <w:t xml:space="preserve">” means, for any period, with respect to any Person, any expenditure in respect of the purchase or other acquisition of any fixed or capital asset that, in conformity with GAAP, is required to be capitalized and reflected in the property, plant and equipment or similar fixed asset accounts in the consolidated balance sheet of such Person and its Subsidiaries (and excluding, for the avoidance of doubt, normal replacements and maintenance which are properly charged under GAAP to current operations); </w:t>
      </w:r>
      <w:r>
        <w:rPr>
          <w:rFonts w:ascii="Times New Roman" w:hAnsi="Times New Roman"/>
          <w:sz w:val="20"/>
          <w:u w:val="single"/>
        </w:rPr>
        <w:t>provided</w:t>
      </w:r>
      <w:r>
        <w:rPr>
          <w:rFonts w:ascii="Times New Roman" w:hAnsi="Times New Roman"/>
          <w:sz w:val="20"/>
        </w:rPr>
        <w:t xml:space="preserve">, that Capital Expenditures shall not include any expenditure (i) for replacements or substitutions for fixed assets, capital assets or equipment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to the extent made with Net Available Proceeds invested or reinvested pursuant to </w:t>
      </w:r>
      <w:r>
        <w:rPr>
          <w:rFonts w:ascii="Times New Roman" w:hAnsi="Times New Roman"/>
          <w:sz w:val="20"/>
          <w:u w:val="single"/>
        </w:rPr>
        <w:t>Section 2.10(b)(i)</w:t>
      </w:r>
      <w:r>
        <w:rPr>
          <w:rFonts w:ascii="Times New Roman" w:hAnsi="Times New Roman"/>
          <w:sz w:val="20"/>
        </w:rPr>
        <w:t xml:space="preserve"> in respect of any Casualty Event, (ii) for any asset acquired in exchange for an existing asset (but only to the extent of the value of such existing asset), (iii) funded with cash proceeds contributed to the capital of GEO or its Subsidiaries or the net cash proceeds of an issuance of Equity Interests of GEO or its Subsidiaries or (iv) reimbursed by, or covered by an irrevocable reimbursement obligation from, a third party. </w:t>
      </w:r>
    </w:p>
    <w:p>
      <w:pPr>
        <w:pStyle w:val="TextBody"/>
        <w:bidi w:val="0"/>
        <w:spacing w:before="240" w:after="0"/>
        <w:jc w:val="left"/>
        <w:rPr/>
      </w:pPr>
      <w:r>
        <w:rPr/>
        <w:t>“</w:t>
      </w:r>
      <w:r>
        <w:rPr>
          <w:rFonts w:ascii="Times New Roman" w:hAnsi="Times New Roman"/>
          <w:sz w:val="20"/>
          <w:u w:val="single"/>
        </w:rPr>
        <w:t>Capital Lease</w:t>
      </w:r>
      <w:r>
        <w:rPr>
          <w:rFonts w:ascii="Times New Roman" w:hAnsi="Times New Roman"/>
          <w:sz w:val="20"/>
        </w:rPr>
        <w:t xml:space="preserve">” means any lease of any property by GEO, any of its Subsidiaries or any Other Consolidated Person, as lessee, that should, in accordance with GAAP, be classified and accounted for as a capital lease on a consolidated balance sheet of GEO, its Subsidiaries and the Other Consolidated Persons. </w:t>
      </w:r>
    </w:p>
    <w:p>
      <w:pPr>
        <w:pStyle w:val="TextBody"/>
        <w:bidi w:val="0"/>
        <w:spacing w:before="240" w:after="0"/>
        <w:jc w:val="left"/>
        <w:rPr/>
      </w:pPr>
      <w:r>
        <w:rPr/>
        <w:t>“</w:t>
      </w:r>
      <w:r>
        <w:rPr>
          <w:rFonts w:ascii="Times New Roman" w:hAnsi="Times New Roman"/>
          <w:sz w:val="20"/>
          <w:u w:val="single"/>
        </w:rPr>
        <w:t>Cash Management Bank</w:t>
      </w:r>
      <w:r>
        <w:rPr>
          <w:rFonts w:ascii="Times New Roman" w:hAnsi="Times New Roman"/>
          <w:sz w:val="20"/>
        </w:rPr>
        <w:t xml:space="preserve">” has the meaning assigned thereto in the definition of “Cash Management Obligations” in this </w:t>
      </w:r>
      <w:r>
        <w:rPr>
          <w:rFonts w:ascii="Times New Roman" w:hAnsi="Times New Roman"/>
          <w:sz w:val="20"/>
          <w:u w:val="single"/>
        </w:rPr>
        <w:t>Section 1.01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Cash Management Obligations</w:t>
      </w:r>
      <w:r>
        <w:rPr>
          <w:rFonts w:ascii="Times New Roman" w:hAnsi="Times New Roman"/>
          <w:sz w:val="20"/>
        </w:rPr>
        <w:t>” means the monetary obligations, reimbursement obligations, liabilities, fees and expenses owed by any Borrower or any Guarantor to any Person that is a Lender, the Administrative Agent, or any Affiliate of any of the foregoing at the time such arrangements were entered into (solely in such capacity and with respect to such obligations, a “</w:t>
      </w:r>
      <w:r>
        <w:rPr>
          <w:rFonts w:ascii="Times New Roman" w:hAnsi="Times New Roman"/>
          <w:sz w:val="20"/>
          <w:u w:val="single"/>
        </w:rPr>
        <w:t>Cash Management Bank</w:t>
      </w:r>
      <w:r>
        <w:rPr>
          <w:rFonts w:ascii="Times New Roman" w:hAnsi="Times New Roman"/>
          <w:sz w:val="20"/>
        </w:rPr>
        <w:t xml:space="preserve">”) arising from treasury, depository, credit card, debit card, purchase card and cash management services or any automated clearing house transfers of funds, in each case, to the extent designated by GEO and such Person as “Cash Management Obligations” in writing to the Administrative Agent; </w:t>
      </w:r>
      <w:r>
        <w:rPr>
          <w:rFonts w:ascii="Times New Roman" w:hAnsi="Times New Roman"/>
          <w:sz w:val="20"/>
          <w:u w:val="single"/>
        </w:rPr>
        <w:t>provided</w:t>
      </w:r>
      <w:r>
        <w:rPr>
          <w:rFonts w:ascii="Times New Roman" w:hAnsi="Times New Roman"/>
          <w:sz w:val="20"/>
        </w:rPr>
        <w:t xml:space="preserve"> that no Person shall constitute a “Cash Management Bank” (x) unless such Person shall have delivered to the Administrative Agent and GEO a written consent of such Person (in its capacity as a Cash Management Bank) to the termination of all Security Documents and the release of all Liens thereunder upon the occurrence of the Release Date or (y) if at the time the relevant arrangements were entered into such Person was a Defaulting Lender or an Affiliate of a Defaulting Lender, and the monetary obligations owed pursuant to such arrangements shall not constitute “Cash Management Obligations”. </w:t>
      </w:r>
    </w:p>
    <w:p>
      <w:pPr>
        <w:pStyle w:val="TextBody"/>
        <w:bidi w:val="0"/>
        <w:spacing w:before="240" w:after="0"/>
        <w:jc w:val="left"/>
        <w:rPr/>
      </w:pPr>
      <w:r>
        <w:rPr/>
        <w:t>“</w:t>
      </w:r>
      <w:r>
        <w:rPr>
          <w:rFonts w:ascii="Times New Roman" w:hAnsi="Times New Roman"/>
          <w:sz w:val="20"/>
          <w:u w:val="single"/>
        </w:rPr>
        <w:t>Casualty Event</w:t>
      </w:r>
      <w:r>
        <w:rPr>
          <w:rFonts w:ascii="Times New Roman" w:hAnsi="Times New Roman"/>
          <w:sz w:val="20"/>
        </w:rPr>
        <w:t xml:space="preserve">” means, with respect to any property of any Person, any loss of or damage to, or any condemnation or other taking of, such property for which such Person receives insurance proceeds, or proceeds of a condemnation award or other compensation. </w:t>
      </w:r>
    </w:p>
    <w:p>
      <w:pPr>
        <w:pStyle w:val="TextBody"/>
        <w:bidi w:val="0"/>
        <w:spacing w:before="240" w:after="0"/>
        <w:jc w:val="left"/>
        <w:rPr/>
      </w:pPr>
      <w:r>
        <w:rPr/>
        <w:t>“</w:t>
      </w:r>
      <w:r>
        <w:rPr>
          <w:rFonts w:ascii="Times New Roman" w:hAnsi="Times New Roman"/>
          <w:sz w:val="20"/>
          <w:u w:val="single"/>
        </w:rPr>
        <w:t>Change in Control</w:t>
      </w:r>
      <w:r>
        <w:rPr>
          <w:rFonts w:ascii="Times New Roman" w:hAnsi="Times New Roman"/>
          <w:sz w:val="20"/>
        </w:rPr>
        <w:t xml:space="preserve">” means: (a) the acquisition of ownership, directly or indirectly, beneficially or of record, by any Person or group (within the meaning of the Securities Exchange Act of 1934 and the rules of the Securities and Exchange Commission thereunder as in effect on the date hereof), of shares representing more than 40% of the aggregate ordinary voting power represented by the issued and outstanding capital stock of GEO; (b) the occupation of a majority of the seats (other than vacant seats) on the board of directors of GEO over a period of shorter than or equal to 24 months by Persons who were neither (i) nominated or approved by the board of directors of GEO nor (ii) appointed or approved by directors so nominated; (c) the occurrence of any “change in control” as defined in any Senior Note Indenture evidencing Indebtedness in excess of $50,000,000 in outstanding principal amount and obligating GEO (at the option of one or more holders of such Indebtedness or otherwise) to repurchase, redeem or repay all or any part of such Indebtedness; or (d) except to the extent GEO merges with and into Corrections (subject to the provisions of </w:t>
      </w:r>
      <w:r>
        <w:rPr>
          <w:rFonts w:ascii="Times New Roman" w:hAnsi="Times New Roman"/>
          <w:sz w:val="20"/>
          <w:u w:val="single"/>
        </w:rPr>
        <w:t>Section 6.03(a)</w:t>
      </w:r>
      <w:r>
        <w:rPr>
          <w:rFonts w:ascii="Times New Roman" w:hAnsi="Times New Roman"/>
          <w:sz w:val="20"/>
        </w:rPr>
        <w:t xml:space="preserve"> hereof), (x) the failure of GEO at any time to own, directly or indirectly (through one or more wholly-owned Guarantors), 100% of the issued and outstanding Equity Interests in Corrections or any successor to Corrections or (y) the failure of GEO at any time to Control Corrections or any successor to Corrections.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Change in Law</w:t>
      </w:r>
      <w:r>
        <w:rPr>
          <w:rFonts w:ascii="Times New Roman" w:hAnsi="Times New Roman"/>
          <w:sz w:val="20"/>
        </w:rPr>
        <w:t xml:space="preserve">” means the occurrence, after the Effective Date,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guideline or directive (whether or not having the force of law) by any Governmental Authority; </w:t>
      </w:r>
      <w:r>
        <w:rPr>
          <w:rFonts w:ascii="Times New Roman" w:hAnsi="Times New Roman"/>
          <w:sz w:val="20"/>
          <w:u w:val="single"/>
        </w:rPr>
        <w:t>provided</w:t>
      </w:r>
      <w:r>
        <w:rPr>
          <w:rFonts w:ascii="Times New Roman" w:hAnsi="Times New Roman"/>
          <w:sz w:val="20"/>
        </w:rPr>
        <w:t xml:space="preserve">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 </w:t>
      </w:r>
    </w:p>
    <w:p>
      <w:pPr>
        <w:pStyle w:val="TextBody"/>
        <w:bidi w:val="0"/>
        <w:spacing w:before="240" w:after="0"/>
        <w:jc w:val="left"/>
        <w:rPr/>
      </w:pPr>
      <w:r>
        <w:rPr/>
        <w:t>“</w:t>
      </w:r>
      <w:r>
        <w:rPr>
          <w:rFonts w:ascii="Times New Roman" w:hAnsi="Times New Roman"/>
          <w:sz w:val="20"/>
          <w:u w:val="single"/>
        </w:rPr>
        <w:t>Charges</w:t>
      </w:r>
      <w:r>
        <w:rPr>
          <w:rFonts w:ascii="Times New Roman" w:hAnsi="Times New Roman"/>
          <w:sz w:val="20"/>
        </w:rPr>
        <w:t xml:space="preserve">” has the meaning assigned thereto in </w:t>
      </w:r>
      <w:r>
        <w:rPr>
          <w:rFonts w:ascii="Times New Roman" w:hAnsi="Times New Roman"/>
          <w:sz w:val="20"/>
          <w:u w:val="single"/>
        </w:rPr>
        <w:t>Section 9.14</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Class</w:t>
      </w:r>
      <w:r>
        <w:rPr>
          <w:rFonts w:ascii="Times New Roman" w:hAnsi="Times New Roman"/>
          <w:sz w:val="20"/>
        </w:rPr>
        <w:t xml:space="preserve">”, when used in reference to any Loan or Borrowing, refers to whether such Loan, or the Loans comprising such Borrowing, are Revolving Credit Loans, Term Loans, Incremental Term Loans of the same Series, Refinancing Term Loans or Loans under Refinancing Revolving Credit Commitments, or are Swingline Loans and, when used in reference to any Commitment refers to whether such Commitment is a Revolving Credit Commitment, a Term Loan Commitment, an Incremental Term Loan Commitment, a Refinancing Revolving Credit Commitment, or a commitment in respect of Refinancing Term Loans. </w:t>
      </w:r>
    </w:p>
    <w:p>
      <w:pPr>
        <w:pStyle w:val="TextBody"/>
        <w:bidi w:val="0"/>
        <w:spacing w:before="240" w:after="0"/>
        <w:jc w:val="left"/>
        <w:rPr/>
      </w:pPr>
      <w:r>
        <w:rPr/>
        <w:t>“</w:t>
      </w:r>
      <w:r>
        <w:rPr>
          <w:rFonts w:ascii="Times New Roman" w:hAnsi="Times New Roman"/>
          <w:sz w:val="20"/>
          <w:u w:val="single"/>
        </w:rPr>
        <w:t>Code</w:t>
      </w:r>
      <w:r>
        <w:rPr>
          <w:rFonts w:ascii="Times New Roman" w:hAnsi="Times New Roman"/>
          <w:sz w:val="20"/>
        </w:rPr>
        <w:t xml:space="preserve">” means the Internal Revenue Code of 1986, as amended. </w:t>
      </w:r>
    </w:p>
    <w:p>
      <w:pPr>
        <w:pStyle w:val="TextBody"/>
        <w:bidi w:val="0"/>
        <w:spacing w:before="240" w:after="0"/>
        <w:jc w:val="left"/>
        <w:rPr/>
      </w:pPr>
      <w:r>
        <w:rPr/>
        <w:t>“</w:t>
      </w:r>
      <w:r>
        <w:rPr>
          <w:rFonts w:ascii="Times New Roman" w:hAnsi="Times New Roman"/>
          <w:sz w:val="20"/>
          <w:u w:val="single"/>
        </w:rPr>
        <w:t>Collateral</w:t>
      </w:r>
      <w:r>
        <w:rPr>
          <w:rFonts w:ascii="Times New Roman" w:hAnsi="Times New Roman"/>
          <w:sz w:val="20"/>
        </w:rPr>
        <w:t xml:space="preserve">” means all of the “Collateral” and “Mortgaged Property” or “Trust Property” or other similar term referred to in the Security Documents and all of the other property and rights that is or is intended under the terms of the Security Documents to be subject to Liens in favor of the Administrative Agent for the benefit of the Secured Parties. </w:t>
      </w:r>
    </w:p>
    <w:p>
      <w:pPr>
        <w:pStyle w:val="TextBody"/>
        <w:bidi w:val="0"/>
        <w:spacing w:before="240" w:after="0"/>
        <w:jc w:val="left"/>
        <w:rPr/>
      </w:pPr>
      <w:r>
        <w:rPr/>
        <w:t>“</w:t>
      </w:r>
      <w:r>
        <w:rPr>
          <w:rFonts w:ascii="Times New Roman" w:hAnsi="Times New Roman"/>
          <w:sz w:val="20"/>
          <w:u w:val="single"/>
        </w:rPr>
        <w:t>Collateral Account</w:t>
      </w:r>
      <w:r>
        <w:rPr>
          <w:rFonts w:ascii="Times New Roman" w:hAnsi="Times New Roman"/>
          <w:sz w:val="20"/>
        </w:rPr>
        <w:t xml:space="preserve">” has the meaning assigned thereto in </w:t>
      </w:r>
      <w:r>
        <w:rPr>
          <w:rFonts w:ascii="Times New Roman" w:hAnsi="Times New Roman"/>
          <w:sz w:val="20"/>
          <w:u w:val="single"/>
        </w:rPr>
        <w:t>Section 2.05(k)</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Collateral Agreement</w:t>
      </w:r>
      <w:r>
        <w:rPr>
          <w:rFonts w:ascii="Times New Roman" w:hAnsi="Times New Roman"/>
          <w:sz w:val="20"/>
        </w:rPr>
        <w:t xml:space="preserve">” means the Amended and Restated Collateral Agreement, dated as of the date hereof, among the Borrowers, each Guarantor and the Administrative Agent, as amended, restated, supplemented or otherwise modified from time to time in accordance with its terms. </w:t>
      </w:r>
    </w:p>
    <w:p>
      <w:pPr>
        <w:pStyle w:val="TextBody"/>
        <w:bidi w:val="0"/>
        <w:spacing w:before="240" w:after="0"/>
        <w:jc w:val="left"/>
        <w:rPr/>
      </w:pPr>
      <w:r>
        <w:rPr/>
        <w:t>“</w:t>
      </w:r>
      <w:r>
        <w:rPr>
          <w:rFonts w:ascii="Times New Roman" w:hAnsi="Times New Roman"/>
          <w:sz w:val="20"/>
          <w:u w:val="single"/>
        </w:rPr>
        <w:t>Collateral Assignment</w:t>
      </w:r>
      <w:r>
        <w:rPr>
          <w:rFonts w:ascii="Times New Roman" w:hAnsi="Times New Roman"/>
          <w:sz w:val="20"/>
        </w:rPr>
        <w:t xml:space="preserve">” means the Amended and Restated Collateral Assignment Agreement dated as of the date hereof, among the Borrowers, certain of the Guarantors and the Administrative Agent, as amended, restated, supplemented or otherwise modified from time to time in accordance with its terms. </w:t>
      </w:r>
    </w:p>
    <w:p>
      <w:pPr>
        <w:pStyle w:val="TextBody"/>
        <w:bidi w:val="0"/>
        <w:spacing w:before="240" w:after="0"/>
        <w:jc w:val="left"/>
        <w:rPr/>
      </w:pPr>
      <w:r>
        <w:rPr/>
        <w:t>“</w:t>
      </w:r>
      <w:r>
        <w:rPr>
          <w:rFonts w:ascii="Times New Roman" w:hAnsi="Times New Roman"/>
          <w:sz w:val="20"/>
          <w:u w:val="single"/>
        </w:rPr>
        <w:t>Commitment</w:t>
      </w:r>
      <w:r>
        <w:rPr>
          <w:rFonts w:ascii="Times New Roman" w:hAnsi="Times New Roman"/>
          <w:sz w:val="20"/>
        </w:rPr>
        <w:t xml:space="preserve">” means a Revolving Credit Commitment, Term Loan Commitment, Incremental Term Loan Commitment, Refinancing Revolving Credit Commitments, a commitment in respect of Refinancing Term Loans or any combination thereof (as the context requires).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Commitment Increase Date</w:t>
      </w:r>
      <w:r>
        <w:rPr>
          <w:rFonts w:ascii="Times New Roman" w:hAnsi="Times New Roman"/>
          <w:sz w:val="20"/>
        </w:rPr>
        <w:t xml:space="preserve">” has the meaning assigned thereto in </w:t>
      </w:r>
      <w:r>
        <w:rPr>
          <w:rFonts w:ascii="Times New Roman" w:hAnsi="Times New Roman"/>
          <w:sz w:val="20"/>
          <w:u w:val="single"/>
        </w:rPr>
        <w:t>Section 2.08(e)(i)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Condemnation Event</w:t>
      </w:r>
      <w:r>
        <w:rPr>
          <w:rFonts w:ascii="Times New Roman" w:hAnsi="Times New Roman"/>
          <w:sz w:val="20"/>
        </w:rPr>
        <w:t xml:space="preserve">” means, with respect to any property of any Person, any condemnation or other taking of such property for which such Person receives proceeds of a condemnation award or other compensation. </w:t>
      </w:r>
    </w:p>
    <w:p>
      <w:pPr>
        <w:pStyle w:val="TextBody"/>
        <w:bidi w:val="0"/>
        <w:spacing w:before="240" w:after="0"/>
        <w:jc w:val="left"/>
        <w:rPr/>
      </w:pPr>
      <w:r>
        <w:rPr/>
        <w:t>“</w:t>
      </w:r>
      <w:r>
        <w:rPr>
          <w:rFonts w:ascii="Times New Roman" w:hAnsi="Times New Roman"/>
          <w:sz w:val="20"/>
          <w:u w:val="single"/>
        </w:rPr>
        <w:t>Conforming Changes</w:t>
      </w:r>
      <w:r>
        <w:rPr>
          <w:rFonts w:ascii="Times New Roman" w:hAnsi="Times New Roman"/>
          <w:sz w:val="20"/>
        </w:rPr>
        <w:t xml:space="preserve">” means, with respect to either the use or administration of Term SOFR or the use, administration, adoption or implementation of any Benchmark Replacement, any technical, administrative or operational changes (including changes to the definition of “Alternate Base Rate,” the definition of “Business Day,” the definition of “U.S. Government Securities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w:t>
      </w:r>
      <w:r>
        <w:rPr>
          <w:rFonts w:ascii="Times New Roman" w:hAnsi="Times New Roman"/>
          <w:sz w:val="20"/>
          <w:u w:val="single"/>
        </w:rPr>
        <w:t>Section 2.14</w:t>
      </w:r>
      <w:r>
        <w:rPr>
          <w:rFonts w:ascii="Times New Roman" w:hAnsi="Times New Roman"/>
          <w:sz w:val="20"/>
        </w:rPr>
        <w:t xml:space="preserve"> and other technical, administrative or operational matters) that the Administrative Agent decides may be appropriate in connection with the use or administration of such Benchmark or to reflect the adoption and implementation of any such rate or to permit the use and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any such rate exists, in such other manner of administration as the Administrative Agent decides is reasonably necessary in connection with the administration of this Agreement and the other Loan Documents). </w:t>
      </w:r>
    </w:p>
    <w:p>
      <w:pPr>
        <w:pStyle w:val="TextBody"/>
        <w:bidi w:val="0"/>
        <w:spacing w:before="240" w:after="0"/>
        <w:jc w:val="left"/>
        <w:rPr/>
      </w:pPr>
      <w:r>
        <w:rPr/>
        <w:t>“</w:t>
      </w:r>
      <w:r>
        <w:rPr>
          <w:rFonts w:ascii="Times New Roman" w:hAnsi="Times New Roman"/>
          <w:sz w:val="20"/>
          <w:u w:val="single"/>
        </w:rPr>
        <w:t>Consenting Lender</w:t>
      </w:r>
      <w:r>
        <w:rPr>
          <w:rFonts w:ascii="Times New Roman" w:hAnsi="Times New Roman"/>
          <w:sz w:val="20"/>
        </w:rPr>
        <w:t xml:space="preserve">” has the meaning assigned thereto in </w:t>
      </w:r>
      <w:r>
        <w:rPr>
          <w:rFonts w:ascii="Times New Roman" w:hAnsi="Times New Roman"/>
          <w:sz w:val="20"/>
          <w:u w:val="single"/>
        </w:rPr>
        <w:t>Section 9.02(c)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Control</w:t>
      </w:r>
      <w:r>
        <w:rPr>
          <w:rFonts w:ascii="Times New Roman" w:hAnsi="Times New Roman"/>
          <w:sz w:val="20"/>
        </w:rPr>
        <w:t>” means the possession, directly or indirectly, of the power to direct or cause the direction of the management or policies of a Person, whether through the ability to exercise voting power, by contract or otherwise. “</w:t>
      </w:r>
      <w:r>
        <w:rPr>
          <w:rFonts w:ascii="Times New Roman" w:hAnsi="Times New Roman"/>
          <w:sz w:val="20"/>
          <w:u w:val="single"/>
        </w:rPr>
        <w:t>Controlling</w:t>
      </w:r>
      <w:r>
        <w:rPr>
          <w:rFonts w:ascii="Times New Roman" w:hAnsi="Times New Roman"/>
          <w:sz w:val="20"/>
        </w:rPr>
        <w:t>” and “</w:t>
      </w:r>
      <w:r>
        <w:rPr>
          <w:rFonts w:ascii="Times New Roman" w:hAnsi="Times New Roman"/>
          <w:sz w:val="20"/>
          <w:u w:val="single"/>
        </w:rPr>
        <w:t>Controlled</w:t>
      </w:r>
      <w:r>
        <w:rPr>
          <w:rFonts w:ascii="Times New Roman" w:hAnsi="Times New Roman"/>
          <w:sz w:val="20"/>
        </w:rPr>
        <w:t xml:space="preserve">” have meanings correlative thereto. </w:t>
      </w:r>
    </w:p>
    <w:p>
      <w:pPr>
        <w:pStyle w:val="TextBody"/>
        <w:bidi w:val="0"/>
        <w:spacing w:before="240" w:after="0"/>
        <w:jc w:val="left"/>
        <w:rPr/>
      </w:pPr>
      <w:r>
        <w:rPr/>
        <w:t>“</w:t>
      </w:r>
      <w:r>
        <w:rPr>
          <w:rFonts w:ascii="Times New Roman" w:hAnsi="Times New Roman"/>
          <w:sz w:val="20"/>
          <w:u w:val="single"/>
        </w:rPr>
        <w:t>Corrections</w:t>
      </w:r>
      <w:r>
        <w:rPr>
          <w:rFonts w:ascii="Times New Roman" w:hAnsi="Times New Roman"/>
          <w:sz w:val="20"/>
        </w:rPr>
        <w:t xml:space="preserve">” has the meaning assigned thereto in the Preamble hereof. </w:t>
      </w:r>
    </w:p>
    <w:p>
      <w:pPr>
        <w:pStyle w:val="TextBody"/>
        <w:bidi w:val="0"/>
        <w:spacing w:before="240" w:after="0"/>
        <w:jc w:val="left"/>
        <w:rPr/>
      </w:pPr>
      <w:r>
        <w:rPr/>
        <w:t>“</w:t>
      </w:r>
      <w:r>
        <w:rPr>
          <w:rFonts w:ascii="Times New Roman" w:hAnsi="Times New Roman"/>
          <w:sz w:val="20"/>
          <w:u w:val="single"/>
        </w:rPr>
        <w:t>Credit Party</w:t>
      </w:r>
      <w:r>
        <w:rPr>
          <w:rFonts w:ascii="Times New Roman" w:hAnsi="Times New Roman"/>
          <w:sz w:val="20"/>
        </w:rPr>
        <w:t xml:space="preserve">” means the Administrative Agent, any Issuing Lender, the Swingline Lender or any other Lender. </w:t>
      </w:r>
    </w:p>
    <w:p>
      <w:pPr>
        <w:pStyle w:val="TextBody"/>
        <w:bidi w:val="0"/>
        <w:spacing w:before="240" w:after="0"/>
        <w:jc w:val="left"/>
        <w:rPr/>
      </w:pPr>
      <w:r>
        <w:rPr/>
        <w:t>“</w:t>
      </w:r>
      <w:r>
        <w:rPr>
          <w:rFonts w:ascii="Times New Roman" w:hAnsi="Times New Roman"/>
          <w:sz w:val="20"/>
          <w:u w:val="single"/>
        </w:rPr>
        <w:t>Currency</w:t>
      </w:r>
      <w:r>
        <w:rPr>
          <w:rFonts w:ascii="Times New Roman" w:hAnsi="Times New Roman"/>
          <w:sz w:val="20"/>
        </w:rPr>
        <w:t xml:space="preserve">” means, with respect to any jurisdiction, the lawful money of such jurisdiction. </w:t>
      </w:r>
    </w:p>
    <w:p>
      <w:pPr>
        <w:pStyle w:val="TextBody"/>
        <w:bidi w:val="0"/>
        <w:spacing w:before="240" w:after="0"/>
        <w:jc w:val="left"/>
        <w:rPr/>
      </w:pPr>
      <w:r>
        <w:rPr/>
        <w:t>“</w:t>
      </w:r>
      <w:r>
        <w:rPr>
          <w:rFonts w:ascii="Times New Roman" w:hAnsi="Times New Roman"/>
          <w:sz w:val="20"/>
          <w:u w:val="single"/>
        </w:rPr>
        <w:t>Currency Valuation Notice</w:t>
      </w:r>
      <w:r>
        <w:rPr>
          <w:rFonts w:ascii="Times New Roman" w:hAnsi="Times New Roman"/>
          <w:sz w:val="20"/>
        </w:rPr>
        <w:t xml:space="preserve">” has the meaning assigned thereto in </w:t>
      </w:r>
      <w:r>
        <w:rPr>
          <w:rFonts w:ascii="Times New Roman" w:hAnsi="Times New Roman"/>
          <w:sz w:val="20"/>
          <w:u w:val="single"/>
        </w:rPr>
        <w:t>Section 2.10(c)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Daily Simple SOFR</w:t>
      </w:r>
      <w:r>
        <w:rPr>
          <w:rFonts w:ascii="Times New Roman" w:hAnsi="Times New Roman"/>
          <w:sz w:val="20"/>
        </w:rPr>
        <w:t xml:space="preserve">” means, for any day, SOFR, with the conventions for this rate (which will include a lookback) being established by the Administrative Agent in accordance with the conventions for this rate selected or recommended by the Relevant Governmental Body for determining “Daily Simple SOFR” for syndicated business loans; provided that if the Administrative Agent decides that any such convention is not administratively feasible for the Administrative Agent, then the Administrative Agent may establish another convention in its reasonable discretion.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Debtor Relief Laws</w:t>
      </w:r>
      <w:r>
        <w:rPr>
          <w:rFonts w:ascii="Times New Roman" w:hAnsi="Times New Roman"/>
          <w:sz w:val="20"/>
        </w:rPr>
        <w:t xml:space="preserve">” means the Bankruptcy Code of the United States, and all other liquidation, provisional liquidation, conservatorship, bankruptcy, assignment for the benefit of creditors, moratorium, rearrangement, receivership, insolvency, reorganization, or similar debtor relief laws of the United States or other applicable jurisdictions from time to time in effect. </w:t>
      </w:r>
    </w:p>
    <w:p>
      <w:pPr>
        <w:pStyle w:val="TextBody"/>
        <w:bidi w:val="0"/>
        <w:spacing w:before="240" w:after="0"/>
        <w:jc w:val="left"/>
        <w:rPr/>
      </w:pPr>
      <w:r>
        <w:rPr/>
        <w:t>“</w:t>
      </w:r>
      <w:r>
        <w:rPr>
          <w:rFonts w:ascii="Times New Roman" w:hAnsi="Times New Roman"/>
          <w:sz w:val="20"/>
          <w:u w:val="single"/>
        </w:rPr>
        <w:t>Default</w:t>
      </w:r>
      <w:r>
        <w:rPr>
          <w:rFonts w:ascii="Times New Roman" w:hAnsi="Times New Roman"/>
          <w:sz w:val="20"/>
        </w:rPr>
        <w:t xml:space="preserve">” means any event or condition which constitutes an Event of Default or which with the giving of notice, the lapse of time or both would, unless cured or waived, become an Event of Default. </w:t>
      </w:r>
    </w:p>
    <w:p>
      <w:pPr>
        <w:pStyle w:val="TextBody"/>
        <w:bidi w:val="0"/>
        <w:spacing w:before="240" w:after="0"/>
        <w:jc w:val="left"/>
        <w:rPr/>
      </w:pPr>
      <w:r>
        <w:rPr/>
        <w:t>“</w:t>
      </w:r>
      <w:r>
        <w:rPr>
          <w:rFonts w:ascii="Times New Roman" w:hAnsi="Times New Roman"/>
          <w:sz w:val="20"/>
          <w:u w:val="single"/>
        </w:rPr>
        <w:t>Defaulting Lender</w:t>
      </w:r>
      <w:r>
        <w:rPr>
          <w:rFonts w:ascii="Times New Roman" w:hAnsi="Times New Roman"/>
          <w:sz w:val="20"/>
        </w:rPr>
        <w:t xml:space="preserve">” means any Lender that (a) has failed, within two Business Days of the date required to be funded or paid, to (i) fund any portion of its Loans, (ii) if such Lender is a Revolving Credit Lender, fund any portion of its participations in Letters of Credit or Swingline Loans, as applicable, or (iii) pay over to any Credit Party any other amount required to be paid by it hereunder, unless, in the case of </w:t>
      </w:r>
      <w:r>
        <w:rPr>
          <w:rFonts w:ascii="Times New Roman" w:hAnsi="Times New Roman"/>
          <w:sz w:val="20"/>
          <w:u w:val="single"/>
        </w:rPr>
        <w:t>clause (i)</w:t>
      </w:r>
      <w:r>
        <w:rPr>
          <w:rFonts w:ascii="Times New Roman" w:hAnsi="Times New Roman"/>
          <w:sz w:val="20"/>
        </w:rPr>
        <w:t xml:space="preserve"> above, such Lender notifies the Administrative Agent in writing that such failure is the result of such Lender’s good faith determination that a condition precedent to funding (specifically identified and including the particular breach, if any) has not been satisfied, (b) has notified GEO or any Credit Party in writing, or has made a public statement to the effect, that it does not intend or expect to comply with any of its funding obligations under this Agreement (unless such writing or public statement indicates that such position is based on such Lender’s good faith determination that a condition precedent (specifically identified and including the particular default, if any) to funding a loan under this Agreement cannot be satisfied) or generally under other agreements in which it commits to extend credit, (c) has failed, within three Business Days after request by a Credit Party, acting in good faith, to provide a certification in writing from an authorized officer of such Lender that it will comply with its obligations (and is financially able to meet such obligations) to fund prospective Loans and, if such Lender is a Revolving Credit Lender, participations in then outstanding Letters of Credit and Swingline Loans, as applicable, under this Agreement (unless such Lender notifies the Administrative Agent in writing that such failure is the result of such Lender’s good faith determination that a condition precedent to funding (specifically identified and including the particular breach, if any) has not been satisfied); </w:t>
      </w:r>
      <w:r>
        <w:rPr>
          <w:rFonts w:ascii="Times New Roman" w:hAnsi="Times New Roman"/>
          <w:sz w:val="20"/>
          <w:u w:val="single"/>
        </w:rPr>
        <w:t>provided</w:t>
      </w:r>
      <w:r>
        <w:rPr>
          <w:rFonts w:ascii="Times New Roman" w:hAnsi="Times New Roman"/>
          <w:sz w:val="20"/>
        </w:rPr>
        <w:t xml:space="preserve"> that such Lender shall cease to be a Defaulting Lender pursuant to this </w:t>
      </w:r>
      <w:r>
        <w:rPr>
          <w:rFonts w:ascii="Times New Roman" w:hAnsi="Times New Roman"/>
          <w:sz w:val="20"/>
          <w:u w:val="single"/>
        </w:rPr>
        <w:t>clause (c)</w:t>
      </w:r>
      <w:r>
        <w:rPr>
          <w:rFonts w:ascii="Times New Roman" w:hAnsi="Times New Roman"/>
          <w:sz w:val="20"/>
        </w:rPr>
        <w:t xml:space="preserve"> upon such Credit Party’s receipt of such certification in form and substance satisfactory to it and the Administrative Agent, or (d) has, or has a Bank Parent that has, become the subject of a proceeding under any Debtor Relief Law (including a Bankruptcy Event) or a Bail-In Action; </w:t>
      </w:r>
      <w:r>
        <w:rPr>
          <w:rFonts w:ascii="Times New Roman" w:hAnsi="Times New Roman"/>
          <w:sz w:val="20"/>
          <w:u w:val="single"/>
        </w:rPr>
        <w:t>provided</w:t>
      </w:r>
      <w:r>
        <w:rPr>
          <w:rFonts w:ascii="Times New Roman" w:hAnsi="Times New Roman"/>
          <w:sz w:val="20"/>
        </w:rPr>
        <w:t xml:space="preserve"> that a Lender shall not be a Defaulting Lender solely by virtue of the ownership or acquisition of any equity interest in that Lender or any Bank Parent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clauses (a) through (d) above shall be conclusive and binding absent manifest error, and such Lender shall be deemed to be a Defaulting Lender (subject to the last paragraph of </w:t>
      </w:r>
      <w:r>
        <w:rPr>
          <w:rFonts w:ascii="Times New Roman" w:hAnsi="Times New Roman"/>
          <w:sz w:val="20"/>
          <w:u w:val="single"/>
        </w:rPr>
        <w:t>Section 2.18</w:t>
      </w:r>
      <w:r>
        <w:rPr>
          <w:rFonts w:ascii="Times New Roman" w:hAnsi="Times New Roman"/>
          <w:sz w:val="20"/>
        </w:rPr>
        <w:t xml:space="preserve">) upon delivery of written notice of such determination to GEO and each Lender.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Delaney Hall</w:t>
      </w:r>
      <w:r>
        <w:rPr>
          <w:rFonts w:ascii="Times New Roman" w:hAnsi="Times New Roman"/>
          <w:sz w:val="20"/>
        </w:rPr>
        <w:t xml:space="preserve">” means that certain real property located in Newark, New Jersey described on </w:t>
      </w:r>
      <w:r>
        <w:rPr>
          <w:rFonts w:ascii="Times New Roman" w:hAnsi="Times New Roman"/>
          <w:sz w:val="20"/>
          <w:u w:val="single"/>
        </w:rPr>
        <w:t>Schedule 3.17</w:t>
      </w:r>
      <w:r>
        <w:rPr>
          <w:rFonts w:ascii="Times New Roman" w:hAnsi="Times New Roman"/>
          <w:sz w:val="20"/>
        </w:rPr>
        <w:t xml:space="preserve"> of the Disclosure Supplement, together with all improvements thereto and furniture, fixtures and equipment located therein, in each case owned by any of GEO and its Restricted Subsidiaries. </w:t>
      </w:r>
    </w:p>
    <w:p>
      <w:pPr>
        <w:pStyle w:val="TextBody"/>
        <w:bidi w:val="0"/>
        <w:spacing w:before="240" w:after="0"/>
        <w:jc w:val="left"/>
        <w:rPr/>
      </w:pPr>
      <w:r>
        <w:rPr/>
        <w:t>“</w:t>
      </w:r>
      <w:r>
        <w:rPr>
          <w:rFonts w:ascii="Times New Roman" w:hAnsi="Times New Roman"/>
          <w:sz w:val="20"/>
          <w:u w:val="single"/>
        </w:rPr>
        <w:t>Developmental Investments</w:t>
      </w:r>
      <w:r>
        <w:rPr>
          <w:rFonts w:ascii="Times New Roman" w:hAnsi="Times New Roman"/>
          <w:sz w:val="20"/>
        </w:rPr>
        <w:t xml:space="preserve">” has the meaning assigned thereto in </w:t>
      </w:r>
      <w:r>
        <w:rPr>
          <w:rFonts w:ascii="Times New Roman" w:hAnsi="Times New Roman"/>
          <w:sz w:val="20"/>
          <w:u w:val="single"/>
        </w:rPr>
        <w:t>Section 6.04(r)</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Deyton Detention Facility</w:t>
      </w:r>
      <w:r>
        <w:rPr>
          <w:rFonts w:ascii="Times New Roman" w:hAnsi="Times New Roman"/>
          <w:sz w:val="20"/>
        </w:rPr>
        <w:t xml:space="preserve">” means that certain real property located in Clayton County, Georgia described on </w:t>
      </w:r>
      <w:r>
        <w:rPr>
          <w:rFonts w:ascii="Times New Roman" w:hAnsi="Times New Roman"/>
          <w:sz w:val="20"/>
          <w:u w:val="single"/>
        </w:rPr>
        <w:t>Schedule 3.17</w:t>
      </w:r>
      <w:r>
        <w:rPr>
          <w:rFonts w:ascii="Times New Roman" w:hAnsi="Times New Roman"/>
          <w:sz w:val="20"/>
        </w:rPr>
        <w:t xml:space="preserve"> of the Disclosure Supplement, together with all improvements thereto and furniture, fixtures and equipment located therein, in each case owned by any of GEO and its Restricted Subsidiaries. </w:t>
      </w:r>
    </w:p>
    <w:p>
      <w:pPr>
        <w:pStyle w:val="TextBody"/>
        <w:bidi w:val="0"/>
        <w:spacing w:before="240" w:after="0"/>
        <w:jc w:val="left"/>
        <w:rPr/>
      </w:pPr>
      <w:r>
        <w:rPr/>
        <w:t>“</w:t>
      </w:r>
      <w:r>
        <w:rPr>
          <w:rFonts w:ascii="Times New Roman" w:hAnsi="Times New Roman"/>
          <w:sz w:val="20"/>
          <w:u w:val="single"/>
        </w:rPr>
        <w:t>Discharge of 2029 Senior Notes</w:t>
      </w:r>
      <w:r>
        <w:rPr>
          <w:rFonts w:ascii="Times New Roman" w:hAnsi="Times New Roman"/>
          <w:sz w:val="20"/>
        </w:rPr>
        <w:t xml:space="preserve">” means the date that the 2029 Senior Notes are redeemed in full and the satisfaction and discharge of the 2029 Senior Notes Indenture occurs in accordance with its terms (without any refinancing or replacement thereof with other secured Senior Notes) and there exists no secured Incremental Equivalent Debt). </w:t>
      </w:r>
    </w:p>
    <w:p>
      <w:pPr>
        <w:pStyle w:val="TextBody"/>
        <w:bidi w:val="0"/>
        <w:spacing w:before="240" w:after="0"/>
        <w:jc w:val="left"/>
        <w:rPr/>
      </w:pPr>
      <w:r>
        <w:rPr/>
        <w:t>“</w:t>
      </w:r>
      <w:r>
        <w:rPr>
          <w:rFonts w:ascii="Times New Roman" w:hAnsi="Times New Roman"/>
          <w:sz w:val="20"/>
          <w:u w:val="single"/>
        </w:rPr>
        <w:t>Disclosed Matters</w:t>
      </w:r>
      <w:r>
        <w:rPr>
          <w:rFonts w:ascii="Times New Roman" w:hAnsi="Times New Roman"/>
          <w:sz w:val="20"/>
        </w:rPr>
        <w:t xml:space="preserve">” means the actions, suits and proceedings disclosed in the Disclosure Supplement. </w:t>
      </w:r>
    </w:p>
    <w:p>
      <w:pPr>
        <w:pStyle w:val="TextBody"/>
        <w:bidi w:val="0"/>
        <w:spacing w:before="240" w:after="0"/>
        <w:jc w:val="left"/>
        <w:rPr/>
      </w:pPr>
      <w:r>
        <w:rPr/>
        <w:t>“</w:t>
      </w:r>
      <w:r>
        <w:rPr>
          <w:rFonts w:ascii="Times New Roman" w:hAnsi="Times New Roman"/>
          <w:sz w:val="20"/>
          <w:u w:val="single"/>
        </w:rPr>
        <w:t>Disclosure Supplement</w:t>
      </w:r>
      <w:r>
        <w:rPr>
          <w:rFonts w:ascii="Times New Roman" w:hAnsi="Times New Roman"/>
          <w:sz w:val="20"/>
        </w:rPr>
        <w:t xml:space="preserve">” means the Disclosure Supplement, attached hereto as </w:t>
      </w:r>
      <w:r>
        <w:rPr>
          <w:rFonts w:ascii="Times New Roman" w:hAnsi="Times New Roman"/>
          <w:sz w:val="20"/>
          <w:u w:val="single"/>
        </w:rPr>
        <w:t>Schedule I</w:t>
      </w:r>
      <w:r>
        <w:rPr>
          <w:rFonts w:ascii="Times New Roman" w:hAnsi="Times New Roman"/>
          <w:sz w:val="20"/>
        </w:rPr>
        <w:t xml:space="preserve">, dated as of the Effective Date and heretofore furnished to the Administrative Agent and the Lenders. </w:t>
      </w:r>
    </w:p>
    <w:p>
      <w:pPr>
        <w:pStyle w:val="TextBody"/>
        <w:bidi w:val="0"/>
        <w:spacing w:before="240" w:after="0"/>
        <w:jc w:val="left"/>
        <w:rPr/>
      </w:pPr>
      <w:r>
        <w:rPr/>
        <w:t>“</w:t>
      </w:r>
      <w:r>
        <w:rPr>
          <w:rFonts w:ascii="Times New Roman" w:hAnsi="Times New Roman"/>
          <w:sz w:val="20"/>
          <w:u w:val="single"/>
        </w:rPr>
        <w:t>Disposition</w:t>
      </w:r>
      <w:r>
        <w:rPr>
          <w:rFonts w:ascii="Times New Roman" w:hAnsi="Times New Roman"/>
          <w:sz w:val="20"/>
        </w:rPr>
        <w:t xml:space="preserve">” means any sale, assignment, transfer or other disposition of any property (whether now owned or hereafter acquired) by GEO or any of its Restricted Subsidiaries to any Person other than GEO or any of its Restricted Subsidiaries, excluding any sale, assignment, transfer or other disposition of any property sold or disposed of in the ordinary course of business and on ordinary business terms. </w:t>
      </w:r>
    </w:p>
    <w:p>
      <w:pPr>
        <w:pStyle w:val="TextBody"/>
        <w:bidi w:val="0"/>
        <w:spacing w:before="240" w:after="0"/>
        <w:jc w:val="left"/>
        <w:rPr/>
      </w:pPr>
      <w:r>
        <w:rPr/>
        <w:t>“</w:t>
      </w:r>
      <w:r>
        <w:rPr>
          <w:rFonts w:ascii="Times New Roman" w:hAnsi="Times New Roman"/>
          <w:sz w:val="20"/>
          <w:u w:val="single"/>
        </w:rPr>
        <w:t>Dollar Equivalent</w:t>
      </w:r>
      <w:r>
        <w:rPr>
          <w:rFonts w:ascii="Times New Roman" w:hAnsi="Times New Roman"/>
          <w:sz w:val="20"/>
        </w:rPr>
        <w:t xml:space="preserve">” means, (i) with respect to an amount denominated in Dollars, such Dollar amount and (ii) with respect to the amount of any Letter of Credit denominated in any Foreign Currency, the equivalent of such amount in Dollars determined by using the rate of exchange for the purchase of Dollars with the Foreign Currency last provided (either by publication or otherwise provided to the applicable Issuing Lender) by the applicable Bloomberg source (or such other publicly available source for displaying exchange rates as determined by the Administrative Agent from time to time) on the date that is two Business Days immediately preceding the date of determination (or if such service ceases to be available or ceases to provide such rate of exchange, the equivalent of such amount in Dollars as determined by the applicable Issuing Lender using any method of determination it deems appropriate in its sole discretion). Any determination by the applicable Issuing Lender pursuant to clause (ii) above shall be conclusive absent manifest error. </w:t>
      </w:r>
    </w:p>
    <w:p>
      <w:pPr>
        <w:pStyle w:val="TextBody"/>
        <w:bidi w:val="0"/>
        <w:spacing w:before="240" w:after="0"/>
        <w:jc w:val="left"/>
        <w:rPr/>
      </w:pPr>
      <w:r>
        <w:rPr/>
        <w:t>“</w:t>
      </w:r>
      <w:r>
        <w:rPr>
          <w:rFonts w:ascii="Times New Roman" w:hAnsi="Times New Roman"/>
          <w:sz w:val="20"/>
          <w:u w:val="single"/>
        </w:rPr>
        <w:t>Dollars</w:t>
      </w:r>
      <w:r>
        <w:rPr>
          <w:rFonts w:ascii="Times New Roman" w:hAnsi="Times New Roman"/>
          <w:sz w:val="20"/>
        </w:rPr>
        <w:t xml:space="preserve">” or “$” refers to lawful money of the United States. </w:t>
      </w:r>
    </w:p>
    <w:p>
      <w:pPr>
        <w:pStyle w:val="TextBody"/>
        <w:bidi w:val="0"/>
        <w:spacing w:before="240" w:after="0"/>
        <w:jc w:val="left"/>
        <w:rPr/>
      </w:pPr>
      <w:r>
        <w:rPr/>
        <w:t>“</w:t>
      </w:r>
      <w:r>
        <w:rPr>
          <w:rFonts w:ascii="Times New Roman" w:hAnsi="Times New Roman"/>
          <w:sz w:val="20"/>
          <w:u w:val="single"/>
        </w:rPr>
        <w:t>Domestic Subsidiary</w:t>
      </w:r>
      <w:r>
        <w:rPr>
          <w:rFonts w:ascii="Times New Roman" w:hAnsi="Times New Roman"/>
          <w:sz w:val="20"/>
        </w:rPr>
        <w:t xml:space="preserve">” means a Subsidiary of GEO that is organized under the laws of the United States, any State therein or the District of Columbia.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EBITDA</w:t>
      </w:r>
      <w:r>
        <w:rPr>
          <w:rFonts w:ascii="Times New Roman" w:hAnsi="Times New Roman"/>
          <w:sz w:val="20"/>
        </w:rPr>
        <w:t xml:space="preserve">” means, for any period, Net Income for such period plus the sum of the following determined on a consolidated basis, without duplication, for GEO and its Subsidiaries and Other Consolidated Persons in accordance with GAAP: (a) the sum of the following to the extent deducted in determining Net Income: (i) income and franchise taxes, (ii) Interest Expense (excluding Interest Expense attributable to any public-private partnership of GEO or its Subsidiaries that is an Other Consolidated Person), (iii) amortization, depreciation and other non-cash charges (excluding insurance reserves), (iv) non-recurring, extraordinary or unusual charges and expenses, including in respect of restructuring or integration costs or premiums paid in connection with the redemption of Indebtedness, and (v) an amount (not exceeding an amount equal to 15% of Adjusted EBITDA for the period of four fiscal quarters of GEO most recently ended prior to the calculation of such amount for which financial statements have been delivered under </w:t>
      </w:r>
      <w:r>
        <w:rPr>
          <w:rFonts w:ascii="Times New Roman" w:hAnsi="Times New Roman"/>
          <w:sz w:val="20"/>
          <w:u w:val="single"/>
        </w:rPr>
        <w:t>Section 5.01(a)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as applicable, and a Financial Officer’s certificate has been delivered under </w:t>
      </w:r>
      <w:r>
        <w:rPr>
          <w:rFonts w:ascii="Times New Roman" w:hAnsi="Times New Roman"/>
          <w:sz w:val="20"/>
          <w:u w:val="single"/>
        </w:rPr>
        <w:t>Section 5.01(c)</w:t>
      </w:r>
      <w:r>
        <w:rPr>
          <w:rFonts w:ascii="Times New Roman" w:hAnsi="Times New Roman"/>
          <w:sz w:val="20"/>
        </w:rPr>
        <w:t xml:space="preserve"> certifying such amount) equal to the aggregate amount of start-up and transition costs incurred during such period in connection with Facilities and operations; </w:t>
      </w:r>
      <w:r>
        <w:rPr>
          <w:rFonts w:ascii="Times New Roman" w:hAnsi="Times New Roman"/>
          <w:sz w:val="20"/>
          <w:u w:val="single"/>
        </w:rPr>
        <w:t>less</w:t>
      </w:r>
      <w:r>
        <w:rPr>
          <w:rFonts w:ascii="Times New Roman" w:hAnsi="Times New Roman"/>
          <w:sz w:val="20"/>
        </w:rPr>
        <w:t xml:space="preserve"> (b) to the extent added in determining Net Income, any extraordinary gains. If any Permitted Acquisition is consummated at any time during a period for which EBITDA is calculated, EBITDA for such period shall be calculated on a Pro Forma Basis and, to the extent deducted in determining Net Income for such period, the amount of transaction costs and expenses and extraordinary charges relating to such Permitted Acquisition (or relating to any acquisition consummated by the acquired entity prior to the closing of such Permitted Acquisition but during the period of computation), as the case may be, shall be added to EBITDA for such period. </w:t>
      </w:r>
    </w:p>
    <w:p>
      <w:pPr>
        <w:pStyle w:val="TextBody"/>
        <w:bidi w:val="0"/>
        <w:spacing w:before="240" w:after="0"/>
        <w:jc w:val="left"/>
        <w:rPr/>
      </w:pPr>
      <w:r>
        <w:rPr/>
        <w:t>“</w:t>
      </w:r>
      <w:r>
        <w:rPr>
          <w:rFonts w:ascii="Times New Roman" w:hAnsi="Times New Roman"/>
          <w:sz w:val="20"/>
          <w:u w:val="single"/>
        </w:rPr>
        <w:t>ECF Amount</w:t>
      </w:r>
      <w:r>
        <w:rPr>
          <w:rFonts w:ascii="Times New Roman" w:hAnsi="Times New Roman"/>
          <w:sz w:val="20"/>
        </w:rPr>
        <w:t xml:space="preserve">” means, on any date, an amount determined on a cumulative basis equal to Excess Cash Flow for each fiscal quarter (to the extent positive), commencing on January 1, 2026, and ending with the fiscal quarter most recently ended prior to the date of determination for which financial statements have been delivered pursuant to </w:t>
      </w:r>
      <w:r>
        <w:rPr>
          <w:rFonts w:ascii="Times New Roman" w:hAnsi="Times New Roman"/>
          <w:sz w:val="20"/>
          <w:u w:val="single"/>
        </w:rPr>
        <w:t>Section 5.01(a)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as applicable. </w:t>
      </w:r>
    </w:p>
    <w:p>
      <w:pPr>
        <w:pStyle w:val="TextBody"/>
        <w:bidi w:val="0"/>
        <w:spacing w:before="240" w:after="0"/>
        <w:jc w:val="left"/>
        <w:rPr/>
      </w:pPr>
      <w:r>
        <w:rPr/>
        <w:t>“</w:t>
      </w:r>
      <w:r>
        <w:rPr>
          <w:rFonts w:ascii="Times New Roman" w:hAnsi="Times New Roman"/>
          <w:sz w:val="20"/>
          <w:u w:val="single"/>
        </w:rPr>
        <w:t>EEA Financial Institution</w:t>
      </w:r>
      <w:r>
        <w:rPr>
          <w:rFonts w:ascii="Times New Roman" w:hAnsi="Times New Roman"/>
          <w:sz w:val="20"/>
        </w:rPr>
        <w:t xml:space="preserve">” means (a) any credit institution or investment firm established in any EEA Member Country that is subject to the supervision of an EEA Resolution Authority, (b) any entity established in an EEA Member Country that is a parent of an institution described in clause (a) of this definition, or (c) any financial institution established in an EEA Member Country that is a subsidiary of an institution described in clauses (a) or (b) of this definition and is subject to consolidated supervision with its parent. </w:t>
      </w:r>
    </w:p>
    <w:p>
      <w:pPr>
        <w:pStyle w:val="TextBody"/>
        <w:bidi w:val="0"/>
        <w:spacing w:before="240" w:after="0"/>
        <w:jc w:val="left"/>
        <w:rPr/>
      </w:pPr>
      <w:r>
        <w:rPr/>
        <w:t>“</w:t>
      </w:r>
      <w:r>
        <w:rPr>
          <w:rFonts w:ascii="Times New Roman" w:hAnsi="Times New Roman"/>
          <w:sz w:val="20"/>
          <w:u w:val="single"/>
        </w:rPr>
        <w:t>EEA Member Country</w:t>
      </w:r>
      <w:r>
        <w:rPr>
          <w:rFonts w:ascii="Times New Roman" w:hAnsi="Times New Roman"/>
          <w:sz w:val="20"/>
        </w:rPr>
        <w:t xml:space="preserve">” means any of the member states of the European Union, Iceland, Liechtenstein, and Norway. </w:t>
      </w:r>
    </w:p>
    <w:p>
      <w:pPr>
        <w:pStyle w:val="TextBody"/>
        <w:bidi w:val="0"/>
        <w:spacing w:before="240" w:after="0"/>
        <w:jc w:val="left"/>
        <w:rPr/>
      </w:pPr>
      <w:r>
        <w:rPr/>
        <w:t>“</w:t>
      </w:r>
      <w:r>
        <w:rPr>
          <w:rFonts w:ascii="Times New Roman" w:hAnsi="Times New Roman"/>
          <w:sz w:val="20"/>
          <w:u w:val="single"/>
        </w:rPr>
        <w:t>EEA Resolution Authority</w:t>
      </w:r>
      <w:r>
        <w:rPr>
          <w:rFonts w:ascii="Times New Roman" w:hAnsi="Times New Roman"/>
          <w:sz w:val="20"/>
        </w:rPr>
        <w:t xml:space="preserve">” means any public administrative authority or any Person entrusted with public administrative authority of any EEA Member Country (including any delegee) having responsibility for the resolution of any EEA Financial Institution. </w:t>
      </w:r>
    </w:p>
    <w:p>
      <w:pPr>
        <w:pStyle w:val="TextBody"/>
        <w:bidi w:val="0"/>
        <w:spacing w:before="240" w:after="0"/>
        <w:jc w:val="left"/>
        <w:rPr/>
      </w:pPr>
      <w:r>
        <w:rPr/>
        <w:t>“</w:t>
      </w:r>
      <w:r>
        <w:rPr>
          <w:rFonts w:ascii="Times New Roman" w:hAnsi="Times New Roman"/>
          <w:sz w:val="20"/>
          <w:u w:val="single"/>
        </w:rPr>
        <w:t>Effective Date</w:t>
      </w:r>
      <w:r>
        <w:rPr>
          <w:rFonts w:ascii="Times New Roman" w:hAnsi="Times New Roman"/>
          <w:sz w:val="20"/>
        </w:rPr>
        <w:t xml:space="preserve">” means the date on which the conditions specified in </w:t>
      </w:r>
      <w:r>
        <w:rPr>
          <w:rFonts w:ascii="Times New Roman" w:hAnsi="Times New Roman"/>
          <w:sz w:val="20"/>
          <w:u w:val="single"/>
        </w:rPr>
        <w:t>Section 4.01</w:t>
      </w:r>
      <w:r>
        <w:rPr>
          <w:rFonts w:ascii="Times New Roman" w:hAnsi="Times New Roman"/>
          <w:sz w:val="20"/>
        </w:rPr>
        <w:t xml:space="preserve"> hereof are satisfied (or waived in accordance with </w:t>
      </w:r>
      <w:r>
        <w:rPr>
          <w:rFonts w:ascii="Times New Roman" w:hAnsi="Times New Roman"/>
          <w:sz w:val="20"/>
          <w:u w:val="single"/>
        </w:rPr>
        <w:t>Section 9.02</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Effective Date Transactions</w:t>
      </w:r>
      <w:r>
        <w:rPr>
          <w:rFonts w:ascii="Times New Roman" w:hAnsi="Times New Roman"/>
          <w:sz w:val="20"/>
        </w:rPr>
        <w:t xml:space="preserve">” means (a) the Transactions occurring on the Effective Date, (b) the appointment of Bank OZK as successor to the initial administrative agent under the Existing Credit Agreement and the consummation of the transactions, in each case as described in that certain Resignation, Appointment and Assignment Agreement dated as of the date hereof among the initial administrative agent under the Existing Credit Agreement, Bank OZK, as successor administrative agent, Borrowers and the other Loan Parties party thereto, (c) the assignment of Revolving Credit Commitments and outstanding Revolving Credit Loans of certain lenders exiting the Existing Credit Agreement, (d) the reallocation of Revolving Credit Commitments and outstanding Revolving Credit Loans and deemed issuance of the Existing Letters of Credit under this Agreement, and (e) the delivery by GEO of an irrevocable notice of redemption in full of the 2029 Senior Notes in accordance with the 2029 Senior Notes Indenture. </w:t>
      </w:r>
    </w:p>
    <w:p>
      <w:pPr>
        <w:pStyle w:val="TextBody"/>
        <w:bidi w:val="0"/>
        <w:spacing w:before="240" w:after="0"/>
        <w:jc w:val="left"/>
        <w:rPr/>
      </w:pPr>
      <w:r>
        <w:rPr/>
        <w:t>“</w:t>
      </w:r>
      <w:r>
        <w:rPr>
          <w:rFonts w:ascii="Times New Roman" w:hAnsi="Times New Roman"/>
          <w:sz w:val="20"/>
          <w:u w:val="single"/>
        </w:rPr>
        <w:t>Entitled Person</w:t>
      </w:r>
      <w:r>
        <w:rPr>
          <w:rFonts w:ascii="Times New Roman" w:hAnsi="Times New Roman"/>
          <w:sz w:val="20"/>
        </w:rPr>
        <w:t xml:space="preserve">” has the meaning assigned thereto in </w:t>
      </w:r>
      <w:r>
        <w:rPr>
          <w:rFonts w:ascii="Times New Roman" w:hAnsi="Times New Roman"/>
          <w:sz w:val="20"/>
          <w:u w:val="single"/>
        </w:rPr>
        <w:t>Section 9.15</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Environmental Laws</w:t>
      </w:r>
      <w:r>
        <w:rPr>
          <w:rFonts w:ascii="Times New Roman" w:hAnsi="Times New Roman"/>
          <w:sz w:val="20"/>
        </w:rPr>
        <w:t xml:space="preserve">” means all laws, rules, regulations, codes, ordinances, orders, decrees, judgments, injunctions, notices or binding agreements issued, promulgated or entered into by any Governmental Authority, relating in any way to the environment, preservation or reclamation of natural resources, the management, release or threatened release of any Hazardous Materials or human health matters. </w:t>
      </w:r>
    </w:p>
    <w:p>
      <w:pPr>
        <w:pStyle w:val="TextBody"/>
        <w:bidi w:val="0"/>
        <w:spacing w:before="240" w:after="0"/>
        <w:jc w:val="left"/>
        <w:rPr/>
      </w:pPr>
      <w:r>
        <w:rPr/>
        <w:t>“</w:t>
      </w:r>
      <w:r>
        <w:rPr>
          <w:rFonts w:ascii="Times New Roman" w:hAnsi="Times New Roman"/>
          <w:sz w:val="20"/>
          <w:u w:val="single"/>
        </w:rPr>
        <w:t>Environmental Liability</w:t>
      </w:r>
      <w:r>
        <w:rPr>
          <w:rFonts w:ascii="Times New Roman" w:hAnsi="Times New Roman"/>
          <w:sz w:val="20"/>
        </w:rPr>
        <w:t xml:space="preserve">” means any liability, contingent or otherwise (including any liability for damages, costs of environmental remediation, fines, penalties or indemnities), of any Borrower or any Restricted Subsidiary directly or indirectly resulting from or based upon (a) violation of any Environmental Law, (b) the generation, use, handling, transportation, storage, treatment, disposal or permitting or arranging for the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 </w:t>
      </w:r>
    </w:p>
    <w:p>
      <w:pPr>
        <w:pStyle w:val="TextBody"/>
        <w:bidi w:val="0"/>
        <w:spacing w:before="240" w:after="0"/>
        <w:jc w:val="left"/>
        <w:rPr/>
      </w:pPr>
      <w:r>
        <w:rPr/>
        <w:t>“</w:t>
      </w:r>
      <w:r>
        <w:rPr>
          <w:rFonts w:ascii="Times New Roman" w:hAnsi="Times New Roman"/>
          <w:sz w:val="20"/>
          <w:u w:val="single"/>
        </w:rPr>
        <w:t>Equity Interests</w:t>
      </w:r>
      <w:r>
        <w:rPr>
          <w:rFonts w:ascii="Times New Roman" w:hAnsi="Times New Roman"/>
          <w:sz w:val="20"/>
        </w:rPr>
        <w:t xml:space="preserve">” means shares of capital stock, partnership interests, membership interests in a limited liability company, beneficial interests in a trust or other equity ownership interests in a Person, and any Equity Rights entitling the holder thereof to purchase or acquire any such equity interest. </w:t>
      </w:r>
    </w:p>
    <w:p>
      <w:pPr>
        <w:pStyle w:val="TextBody"/>
        <w:bidi w:val="0"/>
        <w:spacing w:before="240" w:after="0"/>
        <w:jc w:val="left"/>
        <w:rPr/>
      </w:pPr>
      <w:r>
        <w:rPr/>
        <w:t>“</w:t>
      </w:r>
      <w:r>
        <w:rPr>
          <w:rFonts w:ascii="Times New Roman" w:hAnsi="Times New Roman"/>
          <w:sz w:val="20"/>
          <w:u w:val="single"/>
        </w:rPr>
        <w:t>Equity Issuance</w:t>
      </w:r>
      <w:r>
        <w:rPr>
          <w:rFonts w:ascii="Times New Roman" w:hAnsi="Times New Roman"/>
          <w:sz w:val="20"/>
        </w:rPr>
        <w:t xml:space="preserve">” means (a) any issuance or sale by GEO after the Effective Date of any of its Equity Interests (other than any Equity Interests issued to directors, officers or employees of GEO or any of its Restricted Subsidiaries pursuant to employee benefit compensation, purchase or incentive plans established in the ordinary course of business and any capital stock of GEO issued upon the exercise, exchange or conversion of such Equity Interests) or (b) the receipt by GEO or any of its Restricted Subsidiaries after the Effective Date of any capital contribution (whether or not evidenced by any equity security issued by the recipient of such contribution); </w:t>
      </w:r>
      <w:r>
        <w:rPr>
          <w:rFonts w:ascii="Times New Roman" w:hAnsi="Times New Roman"/>
          <w:sz w:val="20"/>
          <w:u w:val="single"/>
        </w:rPr>
        <w:t>provided</w:t>
      </w:r>
      <w:r>
        <w:rPr>
          <w:rFonts w:ascii="Times New Roman" w:hAnsi="Times New Roman"/>
          <w:sz w:val="20"/>
        </w:rPr>
        <w:t xml:space="preserve"> that Equity Issuance shall not include (x) any such issuance or sale by any Subsidiary of GEO to GEO or any wholly owned Restricted Subsidiary of GEO or (y) any capital contribution by GEO or any wholly owned Restricted Subsidiary of GEO to any Subsidiary of GEO, or (z) any capital contribution by any holder of Equity Interests in any Restricted Subsidiary. </w:t>
      </w:r>
    </w:p>
    <w:p>
      <w:pPr>
        <w:pStyle w:val="TextBody"/>
        <w:bidi w:val="0"/>
        <w:spacing w:before="240" w:after="0"/>
        <w:jc w:val="left"/>
        <w:rPr/>
      </w:pPr>
      <w:r>
        <w:rPr/>
        <w:t>“</w:t>
      </w:r>
      <w:r>
        <w:rPr>
          <w:rFonts w:ascii="Times New Roman" w:hAnsi="Times New Roman"/>
          <w:sz w:val="20"/>
          <w:u w:val="single"/>
        </w:rPr>
        <w:t>Equity Repurchase Restricted Payments</w:t>
      </w:r>
      <w:r>
        <w:rPr>
          <w:rFonts w:ascii="Times New Roman" w:hAnsi="Times New Roman"/>
          <w:sz w:val="20"/>
        </w:rPr>
        <w:t xml:space="preserve">” means Restricted Payments of the type described in clause (y) of the definition of Restricted Payments in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Equity Rights</w:t>
      </w:r>
      <w:r>
        <w:rPr>
          <w:rFonts w:ascii="Times New Roman" w:hAnsi="Times New Roman"/>
          <w:sz w:val="20"/>
        </w:rPr>
        <w:t xml:space="preserve">” means, with respect to any Person, any subscriptions, options, warrants, commitments, preemptive rights or agreements of any kind (including any shareholders’ or voting trust agreements) for the issuance, sale, registration or voting of, or securities convertible into, any additional shares of capital stock of any class, or partnership or other ownership interests of any type in, such Person. </w:t>
      </w:r>
    </w:p>
    <w:p>
      <w:pPr>
        <w:pStyle w:val="TextBody"/>
        <w:bidi w:val="0"/>
        <w:spacing w:before="240" w:after="0"/>
        <w:jc w:val="left"/>
        <w:rPr/>
      </w:pPr>
      <w:r>
        <w:rPr/>
        <w:t>“</w:t>
      </w:r>
      <w:r>
        <w:rPr>
          <w:rFonts w:ascii="Times New Roman" w:hAnsi="Times New Roman"/>
          <w:sz w:val="20"/>
          <w:u w:val="single"/>
        </w:rPr>
        <w:t>ERISA</w:t>
      </w:r>
      <w:r>
        <w:rPr>
          <w:rFonts w:ascii="Times New Roman" w:hAnsi="Times New Roman"/>
          <w:sz w:val="20"/>
        </w:rPr>
        <w:t xml:space="preserve">” means the Employee Retirement Income Security Act of 1974. </w:t>
      </w:r>
    </w:p>
    <w:p>
      <w:pPr>
        <w:pStyle w:val="TextBody"/>
        <w:bidi w:val="0"/>
        <w:spacing w:before="240" w:after="0"/>
        <w:jc w:val="left"/>
        <w:rPr/>
      </w:pPr>
      <w:r>
        <w:rPr/>
        <w:t>“</w:t>
      </w:r>
      <w:r>
        <w:rPr>
          <w:rFonts w:ascii="Times New Roman" w:hAnsi="Times New Roman"/>
          <w:sz w:val="20"/>
          <w:u w:val="single"/>
        </w:rPr>
        <w:t>ERISA Affiliate</w:t>
      </w:r>
      <w:r>
        <w:rPr>
          <w:rFonts w:ascii="Times New Roman" w:hAnsi="Times New Roman"/>
          <w:sz w:val="20"/>
        </w:rPr>
        <w:t xml:space="preserve">” means any trade or business (whether or not incorporated) that, together with a Borrower, is treated as a single employer under Section 414(b) or (c) of the Code, or, solely for purposes of Section 302 of ERISA and Section 412 of the Code, is treated as a single employer under Section 414 of the Code. </w:t>
      </w:r>
    </w:p>
    <w:p>
      <w:pPr>
        <w:pStyle w:val="TextBody"/>
        <w:bidi w:val="0"/>
        <w:spacing w:before="240" w:after="0"/>
        <w:jc w:val="left"/>
        <w:rPr/>
      </w:pPr>
      <w:r>
        <w:rPr/>
        <w:t>“</w:t>
      </w:r>
      <w:r>
        <w:rPr>
          <w:rFonts w:ascii="Times New Roman" w:hAnsi="Times New Roman"/>
          <w:sz w:val="20"/>
          <w:u w:val="single"/>
        </w:rPr>
        <w:t>ERISA Event</w:t>
      </w:r>
      <w:r>
        <w:rPr>
          <w:rFonts w:ascii="Times New Roman" w:hAnsi="Times New Roman"/>
          <w:sz w:val="20"/>
        </w:rPr>
        <w:t xml:space="preserve">” means (a) any “reportable event”, as defined in Section 4043 of ERISA or the regulations issued thereunder with respect to a Plan (other than an event for which the 30-day notice period is waived); (b) the failure to satisfy with respect to any Plan the “minimum funding standard” (as defined in Section 412 of the Code or Section 302 of ERISA), whether or not waived; (c) the filing pursuant to Section 412(c) of the Code or Section 302(c) of ERISA of an application for a waiver of the minimum funding standard with respect to any Plan; (d) the determination that any Plan is considered an at-risk plan or that any Multiemployer Plan is endangered or is in critical status within the meaning of Sections 430 or 432 of the Code or Sections 303 or 305 of ERISA, as applicable; (e) the incurrence by a Borrower or any of its ERISA Affiliates of any liability under Title IV of ERISA with respect to the termination of any Plan; (f) the receipt by a Borrower or any ERISA Affiliate from the PBGC or a plan administrator of any notice relating to an intention to terminate any Plan or Plans or to appoint a trustee to administer any Plan; (g) the incurrence by a Borrower or any of its ERISA Affiliates of any liability with respect to the withdrawal or partial withdrawal from any Plan or Multiemployer Plan; or (h) the receipt by a Borrower or any ERISA Affiliate of any notice concerning the imposition of Withdrawal Liability or a determination that a Multiemployer Plan is, or is expected to be, insolvent, within the meaning of Title IV of ERISA. </w:t>
      </w:r>
    </w:p>
    <w:p>
      <w:pPr>
        <w:pStyle w:val="TextBody"/>
        <w:bidi w:val="0"/>
        <w:spacing w:before="240" w:after="0"/>
        <w:jc w:val="left"/>
        <w:rPr/>
      </w:pPr>
      <w:r>
        <w:rPr/>
        <w:t>“</w:t>
      </w:r>
      <w:r>
        <w:rPr>
          <w:rFonts w:ascii="Times New Roman" w:hAnsi="Times New Roman"/>
          <w:sz w:val="20"/>
          <w:u w:val="single"/>
        </w:rPr>
        <w:t>Erroneous Payment</w:t>
      </w:r>
      <w:r>
        <w:rPr>
          <w:rFonts w:ascii="Times New Roman" w:hAnsi="Times New Roman"/>
          <w:sz w:val="20"/>
        </w:rPr>
        <w:t xml:space="preserve">” has the meaning assigned thereto in </w:t>
      </w:r>
      <w:r>
        <w:rPr>
          <w:rFonts w:ascii="Times New Roman" w:hAnsi="Times New Roman"/>
          <w:sz w:val="20"/>
          <w:u w:val="single"/>
        </w:rPr>
        <w:t>Section 8.12(a)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EU Bail-In Legislation Schedule</w:t>
      </w:r>
      <w:r>
        <w:rPr>
          <w:rFonts w:ascii="Times New Roman" w:hAnsi="Times New Roman"/>
          <w:sz w:val="20"/>
        </w:rPr>
        <w:t xml:space="preserve">” means the EU Bail-In Legislation Schedule published by the Loan Market Association (or any successor Person), as in effect from time to time. </w:t>
      </w:r>
    </w:p>
    <w:p>
      <w:pPr>
        <w:pStyle w:val="TextBody"/>
        <w:bidi w:val="0"/>
        <w:spacing w:before="240" w:after="0"/>
        <w:jc w:val="left"/>
        <w:rPr/>
      </w:pPr>
      <w:r>
        <w:rPr/>
        <w:t>“</w:t>
      </w:r>
      <w:r>
        <w:rPr>
          <w:rFonts w:ascii="Times New Roman" w:hAnsi="Times New Roman"/>
          <w:sz w:val="20"/>
          <w:u w:val="single"/>
        </w:rPr>
        <w:t>Event of Default</w:t>
      </w:r>
      <w:r>
        <w:rPr>
          <w:rFonts w:ascii="Times New Roman" w:hAnsi="Times New Roman"/>
          <w:sz w:val="20"/>
        </w:rPr>
        <w:t xml:space="preserve">” has the meaning assigned thereto in </w:t>
      </w:r>
      <w:r>
        <w:rPr>
          <w:rFonts w:ascii="Times New Roman" w:hAnsi="Times New Roman"/>
          <w:sz w:val="20"/>
          <w:u w:val="single"/>
        </w:rPr>
        <w:t>Article VII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Excess Cash Flow</w:t>
      </w:r>
      <w:r>
        <w:rPr>
          <w:rFonts w:ascii="Times New Roman" w:hAnsi="Times New Roman"/>
          <w:sz w:val="20"/>
        </w:rPr>
        <w:t xml:space="preserve">” means, for any period, an amount for GEO and its Subsidiaries and Other Consolidated Persons equal to the excess of (if positive): </w:t>
      </w:r>
    </w:p>
    <w:p>
      <w:pPr>
        <w:pStyle w:val="TextBody"/>
        <w:bidi w:val="0"/>
        <w:spacing w:before="120" w:after="0"/>
        <w:jc w:val="left"/>
        <w:rPr>
          <w:rFonts w:ascii="Times New Roman" w:hAnsi="Times New Roman"/>
          <w:sz w:val="20"/>
        </w:rPr>
      </w:pPr>
      <w:r>
        <w:rPr>
          <w:rFonts w:ascii="Times New Roman" w:hAnsi="Times New Roman"/>
          <w:sz w:val="20"/>
        </w:rPr>
        <w:t xml:space="preserve">(A) the sum (without duplication) of: </w:t>
      </w:r>
    </w:p>
    <w:p>
      <w:pPr>
        <w:pStyle w:val="TextBody"/>
        <w:bidi w:val="0"/>
        <w:spacing w:before="120" w:after="0"/>
        <w:jc w:val="left"/>
        <w:rPr>
          <w:rFonts w:ascii="Times New Roman" w:hAnsi="Times New Roman"/>
          <w:sz w:val="20"/>
        </w:rPr>
      </w:pPr>
      <w:r>
        <w:rPr>
          <w:rFonts w:ascii="Times New Roman" w:hAnsi="Times New Roman"/>
          <w:sz w:val="20"/>
        </w:rPr>
        <w:t xml:space="preserve">(i) the Net Income for such period (for the avoidance of doubt excluding non-controlling interests), </w:t>
      </w:r>
      <w:r>
        <w:rPr>
          <w:rFonts w:ascii="Times New Roman" w:hAnsi="Times New Roman"/>
          <w:sz w:val="20"/>
          <w:u w:val="single"/>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 depreciation and amortization expense reducing Net Income for such period (but excluding amortization of a prepaid cash charge that was paid in a prior period), </w:t>
      </w:r>
      <w:r>
        <w:rPr>
          <w:rFonts w:ascii="Times New Roman" w:hAnsi="Times New Roman"/>
          <w:sz w:val="20"/>
          <w:u w:val="single"/>
        </w:rPr>
        <w:t>plus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the aggregate amount of other non-cash charges reducing Net Income for such period (but excluding any such non-cash charge to the extent that it represents an accrual or reserve for a potential cash charge in any future period), </w:t>
      </w:r>
      <w:r>
        <w:rPr>
          <w:rFonts w:ascii="Times New Roman" w:hAnsi="Times New Roman"/>
          <w:sz w:val="20"/>
          <w:u w:val="single"/>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(iv) the decrease, if any, in Working Capital for such period; over </w:t>
      </w:r>
    </w:p>
    <w:p>
      <w:pPr>
        <w:pStyle w:val="TextBody"/>
        <w:bidi w:val="0"/>
        <w:spacing w:before="240" w:after="0"/>
        <w:jc w:val="left"/>
        <w:rPr>
          <w:rFonts w:ascii="Times New Roman" w:hAnsi="Times New Roman"/>
          <w:sz w:val="20"/>
        </w:rPr>
      </w:pPr>
      <w:r>
        <w:rPr>
          <w:rFonts w:ascii="Times New Roman" w:hAnsi="Times New Roman"/>
          <w:sz w:val="20"/>
        </w:rPr>
        <w:t xml:space="preserve">(B) the sum, (without duplication) of: </w:t>
      </w:r>
    </w:p>
    <w:p>
      <w:pPr>
        <w:pStyle w:val="TextBody"/>
        <w:bidi w:val="0"/>
        <w:spacing w:before="120" w:after="0"/>
        <w:jc w:val="left"/>
        <w:rPr>
          <w:rFonts w:ascii="Times New Roman" w:hAnsi="Times New Roman"/>
          <w:sz w:val="20"/>
        </w:rPr>
      </w:pPr>
      <w:r>
        <w:rPr>
          <w:rFonts w:ascii="Times New Roman" w:hAnsi="Times New Roman"/>
          <w:sz w:val="20"/>
        </w:rPr>
        <w:t xml:space="preserve">(i) the aggregate amount paid from Internally Generated Cash during such period of: </w:t>
      </w:r>
    </w:p>
    <w:p>
      <w:pPr>
        <w:pStyle w:val="TextBody"/>
        <w:bidi w:val="0"/>
        <w:spacing w:before="120" w:after="0"/>
        <w:jc w:val="left"/>
        <w:rPr>
          <w:rFonts w:ascii="Times New Roman" w:hAnsi="Times New Roman"/>
          <w:sz w:val="20"/>
        </w:rPr>
      </w:pPr>
      <w:r>
        <w:rPr>
          <w:rFonts w:ascii="Times New Roman" w:hAnsi="Times New Roman"/>
          <w:sz w:val="20"/>
        </w:rPr>
        <w:t xml:space="preserve">(1) Capital Expenditures; </w:t>
      </w:r>
    </w:p>
    <w:p>
      <w:pPr>
        <w:pStyle w:val="TextBody"/>
        <w:bidi w:val="0"/>
        <w:spacing w:before="120" w:after="0"/>
        <w:jc w:val="left"/>
        <w:rPr>
          <w:rFonts w:ascii="Times New Roman" w:hAnsi="Times New Roman"/>
          <w:sz w:val="20"/>
        </w:rPr>
      </w:pPr>
      <w:r>
        <w:rPr>
          <w:rFonts w:ascii="Times New Roman" w:hAnsi="Times New Roman"/>
          <w:sz w:val="20"/>
        </w:rPr>
        <w:t xml:space="preserve">(2) (x) scheduled or mandatory principal payments of Indebtedness (but in respect of any revolving credit facility, only to the extent there is an equivalent permanent reduction in commitments thereunder) and obligations under Capital Leases (excluding any interest expense portion thereof), and (y) at the election of the Borrowers, voluntary principal payments, prepayments, repurchases or redemptions (but in respect of any revolving credit facility, only to the extent there is an equivalent permanent reduction in commitments thereunder), including prepayment premiums, make-wholes and similar amounts paid in connection therewith; </w:t>
      </w:r>
    </w:p>
    <w:p>
      <w:pPr>
        <w:pStyle w:val="TextBody"/>
        <w:bidi w:val="0"/>
        <w:spacing w:before="120" w:after="0"/>
        <w:jc w:val="left"/>
        <w:rPr>
          <w:rFonts w:ascii="Times New Roman" w:hAnsi="Times New Roman"/>
          <w:sz w:val="20"/>
        </w:rPr>
      </w:pPr>
      <w:r>
        <w:rPr>
          <w:rFonts w:ascii="Times New Roman" w:hAnsi="Times New Roman"/>
          <w:sz w:val="20"/>
        </w:rPr>
        <w:t xml:space="preserve">(3) payments under long-term incentive plans and other long-term liabilities other than (x) Indebtedness and (y) payments which are otherwise expensed; </w:t>
      </w:r>
    </w:p>
    <w:p>
      <w:pPr>
        <w:pStyle w:val="TextBody"/>
        <w:bidi w:val="0"/>
        <w:spacing w:before="120" w:after="0"/>
        <w:jc w:val="left"/>
        <w:rPr>
          <w:rFonts w:ascii="Times New Roman" w:hAnsi="Times New Roman"/>
          <w:sz w:val="20"/>
        </w:rPr>
      </w:pPr>
      <w:r>
        <w:rPr>
          <w:rFonts w:ascii="Times New Roman" w:hAnsi="Times New Roman"/>
          <w:sz w:val="20"/>
        </w:rPr>
        <w:t xml:space="preserve">(4) Permitted Acquisitions, Developmental Investments and other Investments permitted by </w:t>
      </w:r>
      <w:r>
        <w:rPr>
          <w:rFonts w:ascii="Times New Roman" w:hAnsi="Times New Roman"/>
          <w:sz w:val="20"/>
          <w:u w:val="single"/>
        </w:rPr>
        <w:t>Section 6.04</w:t>
      </w:r>
      <w:r>
        <w:rPr>
          <w:rFonts w:ascii="Times New Roman" w:hAnsi="Times New Roman"/>
          <w:sz w:val="20"/>
        </w:rPr>
        <w:t xml:space="preserve"> in joint ventures and other Persons that are not Subsidiaries or Other Consolidated Persons; and </w:t>
      </w:r>
    </w:p>
    <w:p>
      <w:pPr>
        <w:pStyle w:val="TextBody"/>
        <w:bidi w:val="0"/>
        <w:spacing w:before="120" w:after="0"/>
        <w:jc w:val="left"/>
        <w:rPr>
          <w:rFonts w:ascii="Times New Roman" w:hAnsi="Times New Roman"/>
          <w:sz w:val="20"/>
        </w:rPr>
      </w:pPr>
      <w:r>
        <w:rPr>
          <w:rFonts w:ascii="Times New Roman" w:hAnsi="Times New Roman"/>
          <w:sz w:val="20"/>
        </w:rPr>
        <w:t xml:space="preserve">(5) Restricted Payments paid in accordance with </w:t>
      </w:r>
      <w:r>
        <w:rPr>
          <w:rFonts w:ascii="Times New Roman" w:hAnsi="Times New Roman"/>
          <w:sz w:val="20"/>
          <w:u w:val="single"/>
        </w:rPr>
        <w:t>Section 6.05(e)</w:t>
      </w:r>
      <w:r>
        <w:rPr>
          <w:rFonts w:ascii="Times New Roman" w:hAnsi="Times New Roman"/>
          <w:sz w:val="20"/>
        </w:rPr>
        <w:t xml:space="preserve"> and not otherwise deducted in the determination of Net Income; </w:t>
      </w:r>
      <w:r>
        <w:rPr>
          <w:rFonts w:ascii="Times New Roman" w:hAnsi="Times New Roman"/>
          <w:sz w:val="20"/>
          <w:u w:val="single"/>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 the aggregate amount of non-cash gains and credits increasing Net Income for such period; </w:t>
      </w:r>
      <w:r>
        <w:rPr>
          <w:rFonts w:ascii="Times New Roman" w:hAnsi="Times New Roman"/>
          <w:sz w:val="20"/>
          <w:u w:val="single"/>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(iii) the increase, if any, in Working Capital for such period; </w:t>
      </w:r>
      <w:r>
        <w:rPr>
          <w:rFonts w:ascii="Times New Roman" w:hAnsi="Times New Roman"/>
          <w:sz w:val="20"/>
          <w:u w:val="single"/>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(iv) at GEO’s option, without duplication of amounts deducted from Excess Cash Flow in prior periods, the aggregate amount to be paid in cash by GEO and its Subsidiaries and Other Consolidated Persons pursuant to planned expenditures or investments or as consideration under binding contracts or other commitments with third parties that are not Affiliates (the “</w:t>
      </w:r>
      <w:r>
        <w:rPr>
          <w:rFonts w:ascii="Times New Roman" w:hAnsi="Times New Roman"/>
          <w:sz w:val="20"/>
          <w:u w:val="single"/>
        </w:rPr>
        <w:t>Planned Future Expenditures</w:t>
      </w:r>
      <w:r>
        <w:rPr>
          <w:rFonts w:ascii="Times New Roman" w:hAnsi="Times New Roman"/>
          <w:sz w:val="20"/>
        </w:rPr>
        <w:t xml:space="preserve">”) entered into prior to or during such period to be consummated or made during the period of four consecutive fiscal quarters of GEO following the end of such period; </w:t>
      </w:r>
      <w:r>
        <w:rPr>
          <w:rFonts w:ascii="Times New Roman" w:hAnsi="Times New Roman"/>
          <w:sz w:val="20"/>
          <w:u w:val="single"/>
        </w:rPr>
        <w:t>provided</w:t>
      </w:r>
      <w:r>
        <w:rPr>
          <w:rFonts w:ascii="Times New Roman" w:hAnsi="Times New Roman"/>
          <w:sz w:val="20"/>
        </w:rPr>
        <w:t xml:space="preserve">, to the extent the aggregate amount of Internally Generated Cash actually utilized to finance such Planned Future Expenditures during such period of four consecutive fiscal quarters is less than the amount deducted from Excess Cash Flow on account of such Planned Future Expenditures during such period, the amount of such shortfall shall be added to the calculation of Excess Cash Flow for the next succeeding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As used herein, (a) “</w:t>
      </w:r>
      <w:r>
        <w:rPr>
          <w:rFonts w:ascii="Times New Roman" w:hAnsi="Times New Roman"/>
          <w:sz w:val="20"/>
          <w:u w:val="single"/>
        </w:rPr>
        <w:t>Internally Generated Cash</w:t>
      </w:r>
      <w:r>
        <w:rPr>
          <w:rFonts w:ascii="Times New Roman" w:hAnsi="Times New Roman"/>
          <w:sz w:val="20"/>
        </w:rPr>
        <w:t xml:space="preserve">” means, with respect to any period, any cash or Permitted Investment of GEO or any Subsidiary or Other Consolidated Person generated during such period, other than any cash or Permitted Investments (i) that constitute Net Available Proceeds, or (ii) that are the proceeds of any incurrence of Indebtedness (other than Revolving Credit Loans), and (b) “Excess Cash Flow” shall not include amounts for Unrestricted Subsidiaries except to the extent such amounts have been distributed to GEO and its Restricted Subsidiaries. </w:t>
      </w:r>
    </w:p>
    <w:p>
      <w:pPr>
        <w:pStyle w:val="TextBody"/>
        <w:bidi w:val="0"/>
        <w:spacing w:before="240" w:after="0"/>
        <w:jc w:val="left"/>
        <w:rPr/>
      </w:pPr>
      <w:r>
        <w:rPr/>
        <w:t>“</w:t>
      </w:r>
      <w:r>
        <w:rPr>
          <w:rFonts w:ascii="Times New Roman" w:hAnsi="Times New Roman"/>
          <w:sz w:val="20"/>
          <w:u w:val="single"/>
        </w:rPr>
        <w:t>Exchange Agreement</w:t>
      </w:r>
      <w:r>
        <w:rPr>
          <w:rFonts w:ascii="Times New Roman" w:hAnsi="Times New Roman"/>
          <w:sz w:val="20"/>
        </w:rPr>
        <w:t xml:space="preserve">” means an agreement between any Loan Party and a Qualified Intermediary entered into for the purpose of effecting an exchange of real property interests under Section 1031 of the Code. </w:t>
      </w:r>
    </w:p>
    <w:p>
      <w:pPr>
        <w:pStyle w:val="TextBody"/>
        <w:bidi w:val="0"/>
        <w:spacing w:before="240" w:after="0"/>
        <w:jc w:val="left"/>
        <w:rPr/>
      </w:pPr>
      <w:r>
        <w:rPr/>
        <w:t>“</w:t>
      </w:r>
      <w:r>
        <w:rPr>
          <w:rFonts w:ascii="Times New Roman" w:hAnsi="Times New Roman"/>
          <w:sz w:val="20"/>
          <w:u w:val="single"/>
        </w:rPr>
        <w:t>Excluded Property</w:t>
      </w:r>
      <w:r>
        <w:rPr>
          <w:rFonts w:ascii="Times New Roman" w:hAnsi="Times New Roman"/>
          <w:sz w:val="20"/>
        </w:rPr>
        <w:t xml:space="preserve">” means: </w:t>
      </w:r>
    </w:p>
    <w:p>
      <w:pPr>
        <w:pStyle w:val="TextBody"/>
        <w:bidi w:val="0"/>
        <w:spacing w:before="120" w:after="0"/>
        <w:jc w:val="left"/>
        <w:rPr>
          <w:rFonts w:ascii="Times New Roman" w:hAnsi="Times New Roman"/>
          <w:sz w:val="20"/>
        </w:rPr>
      </w:pPr>
      <w:r>
        <w:rPr>
          <w:rFonts w:ascii="Times New Roman" w:hAnsi="Times New Roman"/>
          <w:sz w:val="20"/>
        </w:rPr>
        <w:t xml:space="preserve">(i) [reserved]; </w:t>
      </w:r>
    </w:p>
    <w:p>
      <w:pPr>
        <w:pStyle w:val="TextBody"/>
        <w:bidi w:val="0"/>
        <w:spacing w:before="240" w:after="0"/>
        <w:jc w:val="left"/>
        <w:rPr>
          <w:rFonts w:ascii="Times New Roman" w:hAnsi="Times New Roman"/>
          <w:sz w:val="20"/>
        </w:rPr>
      </w:pPr>
      <w:r>
        <w:rPr>
          <w:rFonts w:ascii="Times New Roman" w:hAnsi="Times New Roman"/>
          <w:sz w:val="20"/>
        </w:rPr>
        <w:t xml:space="preserve">(ii) rights under any contracts, leases or other instruments that contain a valid and enforceable prohibition on assignment of such rights (except to the extent that any such prohibition would be rendered ineffective pursuant to Section 9-406, 9-407, 9-408 or 9-409 of the UCC of any relevant jurisdiction or any other applicable law or principles of equity), but only for so long as such prohibition exists and is effective and valid; </w:t>
      </w:r>
    </w:p>
    <w:p>
      <w:pPr>
        <w:pStyle w:val="TextBody"/>
        <w:bidi w:val="0"/>
        <w:spacing w:before="240" w:after="0"/>
        <w:jc w:val="left"/>
        <w:rPr>
          <w:rFonts w:ascii="Times New Roman" w:hAnsi="Times New Roman"/>
          <w:sz w:val="20"/>
        </w:rPr>
      </w:pPr>
      <w:r>
        <w:rPr>
          <w:rFonts w:ascii="Times New Roman" w:hAnsi="Times New Roman"/>
          <w:sz w:val="20"/>
        </w:rPr>
        <w:t xml:space="preserve">(iii) property and assets owned by any Borrower or any Guarantor that are the subject of Liens permitted by </w:t>
      </w:r>
      <w:r>
        <w:rPr>
          <w:rFonts w:ascii="Times New Roman" w:hAnsi="Times New Roman"/>
          <w:sz w:val="20"/>
          <w:u w:val="single"/>
        </w:rPr>
        <w:t>Section 6.02(d)</w:t>
      </w:r>
      <w:r>
        <w:rPr>
          <w:rFonts w:ascii="Times New Roman" w:hAnsi="Times New Roman"/>
          <w:sz w:val="20"/>
        </w:rPr>
        <w:t xml:space="preserve"> or </w:t>
      </w:r>
      <w:r>
        <w:rPr>
          <w:rFonts w:ascii="Times New Roman" w:hAnsi="Times New Roman"/>
          <w:sz w:val="20"/>
          <w:u w:val="single"/>
        </w:rPr>
        <w:t>Section 6.02(h)</w:t>
      </w:r>
      <w:r>
        <w:rPr>
          <w:rFonts w:ascii="Times New Roman" w:hAnsi="Times New Roman"/>
          <w:sz w:val="20"/>
        </w:rPr>
        <w:t xml:space="preserve">, but only if and for so long as (w) such Liens are in effect, (x) the Indebtedness secured by such Liens constitutes Indebtedness permitted by </w:t>
      </w:r>
      <w:r>
        <w:rPr>
          <w:rFonts w:ascii="Times New Roman" w:hAnsi="Times New Roman"/>
          <w:sz w:val="20"/>
          <w:u w:val="single"/>
        </w:rPr>
        <w:t>Section 6.01(f)</w:t>
      </w:r>
      <w:r>
        <w:rPr>
          <w:rFonts w:ascii="Times New Roman" w:hAnsi="Times New Roman"/>
          <w:sz w:val="20"/>
        </w:rPr>
        <w:t xml:space="preserve"> or is GEO HQ Indebtedness, as applicable, (y) the agreements or instruments evidencing or governing such Indebtedness prohibit the Loans from being secured by such assets and (z) no part of the Loans and no Letter of Credit was used to finance the acquisition, construction or improvement of such assets; </w:t>
      </w:r>
    </w:p>
    <w:p>
      <w:pPr>
        <w:pStyle w:val="TextBody"/>
        <w:bidi w:val="0"/>
        <w:spacing w:before="240" w:after="0"/>
        <w:jc w:val="left"/>
        <w:rPr>
          <w:rFonts w:ascii="Times New Roman" w:hAnsi="Times New Roman"/>
          <w:sz w:val="20"/>
        </w:rPr>
      </w:pPr>
      <w:r>
        <w:rPr>
          <w:rFonts w:ascii="Times New Roman" w:hAnsi="Times New Roman"/>
          <w:sz w:val="20"/>
        </w:rPr>
        <w:t xml:space="preserve">(iv) Immaterial Government Contracts that are the subject of liens permitted by </w:t>
      </w:r>
      <w:r>
        <w:rPr>
          <w:rFonts w:ascii="Times New Roman" w:hAnsi="Times New Roman"/>
          <w:sz w:val="20"/>
          <w:u w:val="single"/>
        </w:rPr>
        <w:t>Section 6.02(f)</w:t>
      </w:r>
      <w:r>
        <w:rPr>
          <w:rFonts w:ascii="Times New Roman" w:hAnsi="Times New Roman"/>
          <w:sz w:val="20"/>
        </w:rPr>
        <w:t xml:space="preserve">; and </w:t>
      </w:r>
    </w:p>
    <w:p>
      <w:pPr>
        <w:pStyle w:val="TextBody"/>
        <w:bidi w:val="0"/>
        <w:spacing w:before="240" w:after="0"/>
        <w:jc w:val="left"/>
        <w:rPr>
          <w:rFonts w:ascii="Times New Roman" w:hAnsi="Times New Roman"/>
          <w:sz w:val="20"/>
        </w:rPr>
      </w:pPr>
      <w:r>
        <w:rPr>
          <w:rFonts w:ascii="Times New Roman" w:hAnsi="Times New Roman"/>
          <w:sz w:val="20"/>
        </w:rPr>
        <w:t xml:space="preserve">(v) any assets with respect to which, in the reasonable judgment of the Administrative Agent and GEO (as agreed in writing), the cost or other adverse consequences (including adverse tax consequences) of pledging such assets would be excessive in relation to the benefits to be obtained by the Lenders therefrom; </w:t>
      </w:r>
    </w:p>
    <w:p>
      <w:pPr>
        <w:pStyle w:val="TextBody"/>
        <w:bidi w:val="0"/>
        <w:spacing w:before="24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however that, notwithstanding the foregoing, Excluded Property shall not include any property, rights, contracts or other assets that secure any outstanding 2029 Senior Notes or any Incremental Equivalent Debt that is secured on a pari passu basis with the Liens securing the Obligations. </w:t>
      </w:r>
    </w:p>
    <w:p>
      <w:pPr>
        <w:pStyle w:val="TextBody"/>
        <w:bidi w:val="0"/>
        <w:spacing w:before="240" w:after="0"/>
        <w:jc w:val="left"/>
        <w:rPr/>
      </w:pPr>
      <w:r>
        <w:rPr/>
        <w:t>“</w:t>
      </w:r>
      <w:r>
        <w:rPr>
          <w:rFonts w:ascii="Times New Roman" w:hAnsi="Times New Roman"/>
          <w:sz w:val="20"/>
          <w:u w:val="single"/>
        </w:rPr>
        <w:t>Excluded Real Property</w:t>
      </w:r>
      <w:r>
        <w:rPr>
          <w:rFonts w:ascii="Times New Roman" w:hAnsi="Times New Roman"/>
          <w:sz w:val="20"/>
        </w:rPr>
        <w:t xml:space="preserve">” means the GEO HQ, Delaney Hall and the Deyton Detention Facility.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Excluded Swap Obligation</w:t>
      </w:r>
      <w:r>
        <w:rPr>
          <w:rFonts w:ascii="Times New Roman" w:hAnsi="Times New Roman"/>
          <w:sz w:val="20"/>
        </w:rPr>
        <w:t>” means (i) any obligations and liabilities under Hedging Agreements entered into in connection with any GEO HQ Indebtedness and (ii) with respect to any Guarantor, any obligation (a “</w:t>
      </w:r>
      <w:r>
        <w:rPr>
          <w:rFonts w:ascii="Times New Roman" w:hAnsi="Times New Roman"/>
          <w:sz w:val="20"/>
          <w:u w:val="single"/>
        </w:rPr>
        <w:t>Swap Obligation</w:t>
      </w:r>
      <w:r>
        <w:rPr>
          <w:rFonts w:ascii="Times New Roman" w:hAnsi="Times New Roman"/>
          <w:sz w:val="20"/>
        </w:rPr>
        <w:t xml:space="preserve">”) to pay or perform under any agreement, contract or transaction that constitutes a “swap” within the meaning of Section 1a(47) of the Commodity Exchange Act, if, and to the extent that, all or a portion of the Guarantee of such Guarantor of, or the grant by such Guarantor of a security interest to secure, such Swap Obligation (or any Guarantee thereof) is or becomes illegal under the Commodity Exchange Act or any rule, regulation or order of the Commodity Futures Trading Commission (or the application or official interpretation of any thereof) including without limitation, by virtue of such Guarantor’s failure for any reason to constitute an “eligible contract participant” as defined in the Commodity Exchange Act. If a Swap Obligation arises under a master agreement governing more than one swap, such exclusion shall apply only to that portion of such Swap Obligation that is attributable to swaps for which such Guarantee or security interest is or becomes illegal. </w:t>
      </w:r>
    </w:p>
    <w:p>
      <w:pPr>
        <w:pStyle w:val="TextBody"/>
        <w:bidi w:val="0"/>
        <w:spacing w:before="240" w:after="0"/>
        <w:jc w:val="left"/>
        <w:rPr/>
      </w:pPr>
      <w:r>
        <w:rPr/>
        <w:t>“</w:t>
      </w:r>
      <w:r>
        <w:rPr>
          <w:rFonts w:ascii="Times New Roman" w:hAnsi="Times New Roman"/>
          <w:sz w:val="20"/>
          <w:u w:val="single"/>
        </w:rPr>
        <w:t>Excluded Taxes</w:t>
      </w:r>
      <w:r>
        <w:rPr>
          <w:rFonts w:ascii="Times New Roman" w:hAnsi="Times New Roman"/>
          <w:sz w:val="20"/>
        </w:rPr>
        <w:t>” means, any of the following Taxes imposed on or with respect to the Administrative Agent, any Lender, or any Issuing Lender (each of which shall be considered a “</w:t>
      </w:r>
      <w:r>
        <w:rPr>
          <w:rFonts w:ascii="Times New Roman" w:hAnsi="Times New Roman"/>
          <w:sz w:val="20"/>
          <w:u w:val="single"/>
        </w:rPr>
        <w:t>Payee</w:t>
      </w:r>
      <w:r>
        <w:rPr>
          <w:rFonts w:ascii="Times New Roman" w:hAnsi="Times New Roman"/>
          <w:sz w:val="20"/>
        </w:rPr>
        <w:t xml:space="preserve">”) or required to be withheld or deducted from a payment to a Payee, (a) Taxes imposed on or measured by its net income (however denominated), and franchise Taxes imposed on it (in lieu of net income Taxes), by the jurisdiction (or any political subdivision thereof) under the laws of which such recipient is organized or in which its principal office is located or, in the case of any Lender, in which its applicable lending office is located, (b) any branch profits Taxes imposed by the United States, (c) any Tax that is required by the Code to be withheld from amounts payable to a recipient that has failed or is unable to comply with </w:t>
      </w:r>
      <w:r>
        <w:rPr>
          <w:rFonts w:ascii="Times New Roman" w:hAnsi="Times New Roman"/>
          <w:sz w:val="20"/>
          <w:u w:val="single"/>
        </w:rPr>
        <w:t>Section 2.15(f)</w:t>
      </w:r>
      <w:r>
        <w:rPr>
          <w:rFonts w:ascii="Times New Roman" w:hAnsi="Times New Roman"/>
          <w:sz w:val="20"/>
        </w:rPr>
        <w:t xml:space="preserve"> (other than as a result of a Change in Law), (d) in the case of a Lender that is a Foreign Payee (other than an assignee pursuant to a request by any Borrower under </w:t>
      </w:r>
      <w:r>
        <w:rPr>
          <w:rFonts w:ascii="Times New Roman" w:hAnsi="Times New Roman"/>
          <w:sz w:val="20"/>
          <w:u w:val="single"/>
        </w:rPr>
        <w:t>Section 2.17(b)</w:t>
      </w:r>
      <w:r>
        <w:rPr>
          <w:rFonts w:ascii="Times New Roman" w:hAnsi="Times New Roman"/>
          <w:sz w:val="20"/>
        </w:rPr>
        <w:t xml:space="preserve">), any U.S. federal withholding Tax that is imposed on amounts payable to such Foreign Payee (including fees payable pursuant to </w:t>
      </w:r>
      <w:r>
        <w:rPr>
          <w:rFonts w:ascii="Times New Roman" w:hAnsi="Times New Roman"/>
          <w:sz w:val="20"/>
          <w:u w:val="single"/>
        </w:rPr>
        <w:t>Section 2.11</w:t>
      </w:r>
      <w:r>
        <w:rPr>
          <w:rFonts w:ascii="Times New Roman" w:hAnsi="Times New Roman"/>
          <w:sz w:val="20"/>
        </w:rPr>
        <w:t xml:space="preserve">) pursuant to the Code, treasury regulations or treaties (including officially published interpretations and guidelines), in each case as in place at the time such Foreign Payee becomes a party hereto (or designates a new lending office), except to the extent that such Foreign Payee (or its assignor, if any) was entitled, at the time of designation of a new lending office (or assignment), to receive additional amounts from any Borrower with respect to such withholding Tax pursuant to </w:t>
      </w:r>
      <w:r>
        <w:rPr>
          <w:rFonts w:ascii="Times New Roman" w:hAnsi="Times New Roman"/>
          <w:sz w:val="20"/>
          <w:u w:val="single"/>
        </w:rPr>
        <w:t>Section 2.15(b)</w:t>
      </w:r>
      <w:r>
        <w:rPr>
          <w:rFonts w:ascii="Times New Roman" w:hAnsi="Times New Roman"/>
          <w:sz w:val="20"/>
        </w:rPr>
        <w:t xml:space="preserve">, and (e) any U.S. federal withholding Tax imposed under FATCA. </w:t>
      </w:r>
    </w:p>
    <w:p>
      <w:pPr>
        <w:pStyle w:val="TextBody"/>
        <w:bidi w:val="0"/>
        <w:spacing w:before="240" w:after="0"/>
        <w:jc w:val="left"/>
        <w:rPr/>
      </w:pPr>
      <w:r>
        <w:rPr/>
        <w:t>“</w:t>
      </w:r>
      <w:r>
        <w:rPr>
          <w:rFonts w:ascii="Times New Roman" w:hAnsi="Times New Roman"/>
          <w:sz w:val="20"/>
          <w:u w:val="single"/>
        </w:rPr>
        <w:t>Existing Credit Agreement</w:t>
      </w:r>
      <w:r>
        <w:rPr>
          <w:rFonts w:ascii="Times New Roman" w:hAnsi="Times New Roman"/>
          <w:sz w:val="20"/>
        </w:rPr>
        <w:t xml:space="preserve">” has the meaning assigned thereto in the Recitals hereof. </w:t>
      </w:r>
    </w:p>
    <w:p>
      <w:pPr>
        <w:pStyle w:val="TextBody"/>
        <w:bidi w:val="0"/>
        <w:spacing w:before="240" w:after="0"/>
        <w:jc w:val="left"/>
        <w:rPr/>
      </w:pPr>
      <w:r>
        <w:rPr/>
        <w:t>“</w:t>
      </w:r>
      <w:r>
        <w:rPr>
          <w:rFonts w:ascii="Times New Roman" w:hAnsi="Times New Roman"/>
          <w:sz w:val="20"/>
          <w:u w:val="single"/>
        </w:rPr>
        <w:t>Existing Letters of Credit</w:t>
      </w:r>
      <w:r>
        <w:rPr>
          <w:rFonts w:ascii="Times New Roman" w:hAnsi="Times New Roman"/>
          <w:sz w:val="20"/>
        </w:rPr>
        <w:t xml:space="preserve">” means all of the Letters of Credit outstanding under the Existing Credit Agreement immediately prior to the Effective Date and listed in </w:t>
      </w:r>
      <w:r>
        <w:rPr>
          <w:rFonts w:ascii="Times New Roman" w:hAnsi="Times New Roman"/>
          <w:sz w:val="20"/>
          <w:u w:val="single"/>
        </w:rPr>
        <w:t>Schedule 2.05</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Facility</w:t>
      </w:r>
      <w:r>
        <w:rPr>
          <w:rFonts w:ascii="Times New Roman" w:hAnsi="Times New Roman"/>
          <w:sz w:val="20"/>
        </w:rPr>
        <w:t xml:space="preserve">” means a correctional, detention, mental health or other facility the principal function of which is to carry out a Permitted Business. </w:t>
      </w:r>
    </w:p>
    <w:p>
      <w:pPr>
        <w:pStyle w:val="TextBody"/>
        <w:bidi w:val="0"/>
        <w:spacing w:before="240" w:after="0"/>
        <w:jc w:val="left"/>
        <w:rPr/>
      </w:pPr>
      <w:r>
        <w:rPr/>
        <w:t>“</w:t>
      </w:r>
      <w:r>
        <w:rPr>
          <w:rFonts w:ascii="Times New Roman" w:hAnsi="Times New Roman"/>
          <w:sz w:val="20"/>
          <w:u w:val="single"/>
        </w:rPr>
        <w:t>FATCA</w:t>
      </w:r>
      <w:r>
        <w:rPr>
          <w:rFonts w:ascii="Times New Roman" w:hAnsi="Times New Roman"/>
          <w:sz w:val="20"/>
        </w:rPr>
        <w:t xml:space="preserve">” means Sections 1471 through 1474 of the Code, as of the Effective Date (or any amended or successor version that is substantively comparable and not materially more onerous to comply with), any current or future regulations or official interpretations thereof, any agreements entered into pursuant to Section 1471(b)(1) of the Code and any fiscal or regulatory legislation, rules or practices adopted pursuant to any intergovernmental agreement, treaty or convention among Governmental Authorities in implementing such Sections of the Code.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Federal Funds Rate</w:t>
      </w:r>
      <w:r>
        <w:rPr>
          <w:rFonts w:ascii="Times New Roman" w:hAnsi="Times New Roman"/>
          <w:sz w:val="20"/>
        </w:rPr>
        <w:t xml:space="preserve">” means, for any day, the rate per annum equal to the weighted average (rounded upwards, if necessary, to the next 1/100 of 1%) of the rates on overnight Federal funds transactions with members of the Federal Reserve System, as published on the next succeeding Business Day by the Federal Reserve Bank of New York, or, if such rate is not so published for any day that is a Business Day, the average (rounded upwards, if necessary, to the next 1/100 of 1%) of the quotations for such day for such transactions received by the Administrative Agent from three Federal funds brokers of recognized standing selected by it; </w:t>
      </w:r>
      <w:r>
        <w:rPr>
          <w:rFonts w:ascii="Times New Roman" w:hAnsi="Times New Roman"/>
          <w:sz w:val="20"/>
          <w:u w:val="single"/>
        </w:rPr>
        <w:t>provided</w:t>
      </w:r>
      <w:r>
        <w:rPr>
          <w:rFonts w:ascii="Times New Roman" w:hAnsi="Times New Roman"/>
          <w:sz w:val="20"/>
        </w:rPr>
        <w:t xml:space="preserve"> that in no event shall the Federal Funds Rate for any day be less than 0.00% per annum. </w:t>
      </w:r>
    </w:p>
    <w:p>
      <w:pPr>
        <w:pStyle w:val="TextBody"/>
        <w:bidi w:val="0"/>
        <w:spacing w:before="240" w:after="0"/>
        <w:jc w:val="left"/>
        <w:rPr/>
      </w:pPr>
      <w:r>
        <w:rPr/>
        <w:t>“</w:t>
      </w:r>
      <w:r>
        <w:rPr>
          <w:rFonts w:ascii="Times New Roman" w:hAnsi="Times New Roman"/>
          <w:sz w:val="20"/>
          <w:u w:val="single"/>
        </w:rPr>
        <w:t>Fee Letter</w:t>
      </w:r>
      <w:r>
        <w:rPr>
          <w:rFonts w:ascii="Times New Roman" w:hAnsi="Times New Roman"/>
          <w:sz w:val="20"/>
        </w:rPr>
        <w:t xml:space="preserve">” means that certain senior credit facilities fee letter dated as of July 14, 2026, by and between the Borrowers and Bank OZK, as amended, amended and restated, supplemented or otherwise modified from time to time. </w:t>
      </w:r>
    </w:p>
    <w:p>
      <w:pPr>
        <w:pStyle w:val="TextBody"/>
        <w:bidi w:val="0"/>
        <w:spacing w:before="240" w:after="0"/>
        <w:jc w:val="left"/>
        <w:rPr/>
      </w:pPr>
      <w:r>
        <w:rPr/>
        <w:t>“</w:t>
      </w:r>
      <w:r>
        <w:rPr>
          <w:rFonts w:ascii="Times New Roman" w:hAnsi="Times New Roman"/>
          <w:sz w:val="20"/>
          <w:u w:val="single"/>
        </w:rPr>
        <w:t>Financial Officer</w:t>
      </w:r>
      <w:r>
        <w:rPr>
          <w:rFonts w:ascii="Times New Roman" w:hAnsi="Times New Roman"/>
          <w:sz w:val="20"/>
        </w:rPr>
        <w:t xml:space="preserve">” means an incumbent chief financial officer, principal accounting officer, treasurer or vice president of corporate finance. </w:t>
      </w:r>
    </w:p>
    <w:p>
      <w:pPr>
        <w:pStyle w:val="TextBody"/>
        <w:bidi w:val="0"/>
        <w:spacing w:before="240" w:after="0"/>
        <w:jc w:val="left"/>
        <w:rPr/>
      </w:pPr>
      <w:r>
        <w:rPr/>
        <w:t>“</w:t>
      </w:r>
      <w:r>
        <w:rPr>
          <w:rFonts w:ascii="Times New Roman" w:hAnsi="Times New Roman"/>
          <w:sz w:val="20"/>
          <w:u w:val="single"/>
        </w:rPr>
        <w:t>First Lien Leverage Ratio</w:t>
      </w:r>
      <w:r>
        <w:rPr>
          <w:rFonts w:ascii="Times New Roman" w:hAnsi="Times New Roman"/>
          <w:sz w:val="20"/>
        </w:rPr>
        <w:t xml:space="preserve">” means, on any date of determination, the ratio of (a) the sum of (i) the aggregate outstanding principal amount of all Indebtedness of GEO and its Restricted Subsidiaries on such date (calculated on a consolidated basis without duplication in accordance with GAAP) that is secured by a Lien on the Collateral that is </w:t>
      </w:r>
      <w:r>
        <w:rPr>
          <w:rFonts w:ascii="Times New Roman" w:hAnsi="Times New Roman"/>
          <w:sz w:val="20"/>
          <w:u w:val="single"/>
        </w:rPr>
        <w:t>pari</w:t>
      </w:r>
      <w:r>
        <w:rPr>
          <w:rFonts w:ascii="Times New Roman" w:hAnsi="Times New Roman"/>
          <w:sz w:val="20"/>
        </w:rPr>
        <w:t xml:space="preserve"> </w:t>
      </w:r>
      <w:r>
        <w:rPr>
          <w:rFonts w:ascii="Times New Roman" w:hAnsi="Times New Roman"/>
          <w:sz w:val="20"/>
          <w:u w:val="single"/>
        </w:rPr>
        <w:t>passu</w:t>
      </w:r>
      <w:r>
        <w:rPr>
          <w:rFonts w:ascii="Times New Roman" w:hAnsi="Times New Roman"/>
          <w:sz w:val="20"/>
        </w:rPr>
        <w:t xml:space="preserve"> with the Liens securing the Obligations (without regard to payment priority) </w:t>
      </w:r>
      <w:r>
        <w:rPr>
          <w:rFonts w:ascii="Times New Roman" w:hAnsi="Times New Roman"/>
          <w:sz w:val="20"/>
          <w:u w:val="single"/>
        </w:rPr>
        <w:t>minus</w:t>
      </w:r>
      <w:r>
        <w:rPr>
          <w:rFonts w:ascii="Times New Roman" w:hAnsi="Times New Roman"/>
          <w:sz w:val="20"/>
        </w:rPr>
        <w:t xml:space="preserve"> (ii) the sum of (x) the aggregate amount (not less than zero) of Unrestricted Cash of GEO and its Restricted Subsidiaries on such date </w:t>
      </w:r>
      <w:r>
        <w:rPr>
          <w:rFonts w:ascii="Times New Roman" w:hAnsi="Times New Roman"/>
          <w:sz w:val="20"/>
          <w:u w:val="single"/>
        </w:rPr>
        <w:t>plus</w:t>
      </w:r>
      <w:r>
        <w:rPr>
          <w:rFonts w:ascii="Times New Roman" w:hAnsi="Times New Roman"/>
          <w:sz w:val="20"/>
        </w:rPr>
        <w:t xml:space="preserve"> (y) to the extent included in the calculation under </w:t>
      </w:r>
      <w:r>
        <w:rPr>
          <w:rFonts w:ascii="Times New Roman" w:hAnsi="Times New Roman"/>
          <w:sz w:val="20"/>
          <w:u w:val="single"/>
        </w:rPr>
        <w:t>clause (a)(i)</w:t>
      </w:r>
      <w:r>
        <w:rPr>
          <w:rFonts w:ascii="Times New Roman" w:hAnsi="Times New Roman"/>
          <w:sz w:val="20"/>
        </w:rPr>
        <w:t xml:space="preserve"> of this definition, the undrawn amount of all outstanding Letters of Credit on such date to (b) Adjusted EBITDA for the period of four fiscal quarters of GEO ending on or most recently ended prior to such date. </w:t>
      </w:r>
    </w:p>
    <w:p>
      <w:pPr>
        <w:pStyle w:val="TextBody"/>
        <w:bidi w:val="0"/>
        <w:spacing w:before="240" w:after="0"/>
        <w:jc w:val="left"/>
        <w:rPr/>
      </w:pPr>
      <w:r>
        <w:rPr/>
        <w:t>“</w:t>
      </w:r>
      <w:r>
        <w:rPr>
          <w:rFonts w:ascii="Times New Roman" w:hAnsi="Times New Roman"/>
          <w:sz w:val="20"/>
          <w:u w:val="single"/>
        </w:rPr>
        <w:t>First Lien Pari Passu Intercreditor Agreement</w:t>
      </w:r>
      <w:r>
        <w:rPr>
          <w:rFonts w:ascii="Times New Roman" w:hAnsi="Times New Roman"/>
          <w:sz w:val="20"/>
        </w:rPr>
        <w:t xml:space="preserve">” means the First Lien Intercreditor Agreement, dated as of April 18, 2024, among the Administrative Agent, as Credit Agreement Collateral Agent (as defined therein) for the Credit Agreement Secured Parties (as defined therein) and as Authorized Representative (as defined therein) for the Credit Agreement Secured Parties, Ankura Trust Company, LLC, as collateral agent for the Initial Additional Secured Parties (as defined therein) and as Authorized Representative for the Initial Additional Secured Parties, and each other additional Authorized Representative and additional Collateral Agent from time to time party thereto for the other Additional Secured Parties (as defined therein) of the Series (as defined therein) with respect to which it is acting in such capacity, the Borrowers and the Guarantors, as amended, restated, supplemented or otherwise modified from time to time in accordance with its terms. </w:t>
      </w:r>
    </w:p>
    <w:p>
      <w:pPr>
        <w:pStyle w:val="TextBody"/>
        <w:bidi w:val="0"/>
        <w:spacing w:before="240" w:after="0"/>
        <w:jc w:val="left"/>
        <w:rPr/>
      </w:pPr>
      <w:r>
        <w:rPr/>
        <w:t>“</w:t>
      </w:r>
      <w:r>
        <w:rPr>
          <w:rFonts w:ascii="Times New Roman" w:hAnsi="Times New Roman"/>
          <w:sz w:val="20"/>
          <w:u w:val="single"/>
        </w:rPr>
        <w:t>Fitch</w:t>
      </w:r>
      <w:r>
        <w:rPr>
          <w:rFonts w:ascii="Times New Roman" w:hAnsi="Times New Roman"/>
          <w:sz w:val="20"/>
        </w:rPr>
        <w:t xml:space="preserve">” means Fitch Ratings, Inc. or any successor thereto. </w:t>
      </w:r>
    </w:p>
    <w:p>
      <w:pPr>
        <w:pStyle w:val="TextBody"/>
        <w:bidi w:val="0"/>
        <w:spacing w:before="240" w:after="0"/>
        <w:jc w:val="left"/>
        <w:rPr/>
      </w:pPr>
      <w:r>
        <w:rPr/>
        <w:t>“</w:t>
      </w:r>
      <w:r>
        <w:rPr>
          <w:rFonts w:ascii="Times New Roman" w:hAnsi="Times New Roman"/>
          <w:sz w:val="20"/>
          <w:u w:val="single"/>
        </w:rPr>
        <w:t>Fixture Filings</w:t>
      </w:r>
      <w:r>
        <w:rPr>
          <w:rFonts w:ascii="Times New Roman" w:hAnsi="Times New Roman"/>
          <w:sz w:val="20"/>
        </w:rPr>
        <w:t xml:space="preserve">” has the meaning assigned thereto in </w:t>
      </w:r>
      <w:r>
        <w:rPr>
          <w:rFonts w:ascii="Times New Roman" w:hAnsi="Times New Roman"/>
          <w:sz w:val="20"/>
          <w:u w:val="single"/>
        </w:rPr>
        <w:t>Section 5.10(a)(i)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Flood Act</w:t>
      </w:r>
      <w:r>
        <w:rPr>
          <w:rFonts w:ascii="Times New Roman" w:hAnsi="Times New Roman"/>
          <w:sz w:val="20"/>
        </w:rPr>
        <w:t xml:space="preserve">” means, collectively, (i) the National Flood Insurance Act of 1968, (ii) the Flood Disaster Protection Act of 1973, (iii) the National Flood Insurance Reform Act of 1994, (iv) the Flood Insurance Reform Act of 2004 and (v) the Biggert–Waters Flood Insurance Reform Act of 2012, in each case, together with all statutory and regulatory provisions consolidating, amending, replacing, supplementing, implementing or interpreting any of the foregoing, as amended or modified from time to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Flood Zone</w:t>
      </w:r>
      <w:r>
        <w:rPr>
          <w:rFonts w:ascii="Times New Roman" w:hAnsi="Times New Roman"/>
          <w:sz w:val="20"/>
        </w:rPr>
        <w:t xml:space="preserve">” means an area identified by the Federal Emergency Management Agency (or any successor agency) as an area having special flood hazards and in which flood insurance has been made available under the Flood Act. </w:t>
      </w:r>
    </w:p>
    <w:p>
      <w:pPr>
        <w:pStyle w:val="TextBody"/>
        <w:bidi w:val="0"/>
        <w:spacing w:before="240" w:after="0"/>
        <w:jc w:val="left"/>
        <w:rPr/>
      </w:pPr>
      <w:r>
        <w:rPr/>
        <w:t>“</w:t>
      </w:r>
      <w:r>
        <w:rPr>
          <w:rFonts w:ascii="Times New Roman" w:hAnsi="Times New Roman"/>
          <w:sz w:val="20"/>
          <w:u w:val="single"/>
        </w:rPr>
        <w:t>Floor</w:t>
      </w:r>
      <w:r>
        <w:rPr>
          <w:rFonts w:ascii="Times New Roman" w:hAnsi="Times New Roman"/>
          <w:sz w:val="20"/>
        </w:rPr>
        <w:t xml:space="preserve">” means a rate of interest equal to 0.75%. </w:t>
      </w:r>
    </w:p>
    <w:p>
      <w:pPr>
        <w:pStyle w:val="TextBody"/>
        <w:bidi w:val="0"/>
        <w:spacing w:before="240" w:after="0"/>
        <w:jc w:val="left"/>
        <w:rPr/>
      </w:pPr>
      <w:r>
        <w:rPr/>
        <w:t>“</w:t>
      </w:r>
      <w:r>
        <w:rPr>
          <w:rFonts w:ascii="Times New Roman" w:hAnsi="Times New Roman"/>
          <w:sz w:val="20"/>
          <w:u w:val="single"/>
        </w:rPr>
        <w:t>Foreign Currency</w:t>
      </w:r>
      <w:r>
        <w:rPr>
          <w:rFonts w:ascii="Times New Roman" w:hAnsi="Times New Roman"/>
          <w:sz w:val="20"/>
        </w:rPr>
        <w:t xml:space="preserve">” means at any time any Currency other than Dollars. </w:t>
      </w:r>
    </w:p>
    <w:p>
      <w:pPr>
        <w:pStyle w:val="TextBody"/>
        <w:bidi w:val="0"/>
        <w:spacing w:before="240" w:after="0"/>
        <w:jc w:val="left"/>
        <w:rPr/>
      </w:pPr>
      <w:r>
        <w:rPr/>
        <w:t>“</w:t>
      </w:r>
      <w:r>
        <w:rPr>
          <w:rFonts w:ascii="Times New Roman" w:hAnsi="Times New Roman"/>
          <w:sz w:val="20"/>
          <w:u w:val="single"/>
        </w:rPr>
        <w:t>Foreign Currency Equivalent</w:t>
      </w:r>
      <w:r>
        <w:rPr>
          <w:rFonts w:ascii="Times New Roman" w:hAnsi="Times New Roman"/>
          <w:sz w:val="20"/>
        </w:rPr>
        <w:t xml:space="preserve">” means, with respect to any amount in Dollars, the amount of any Foreign Currency that could be purchased with such amount of Dollars using the reciprocal of the foreign exchange rate(s) specified in the definition of the term “Dollar Equivalent”, as determined by the Administrative Agent. </w:t>
      </w:r>
    </w:p>
    <w:p>
      <w:pPr>
        <w:pStyle w:val="TextBody"/>
        <w:bidi w:val="0"/>
        <w:spacing w:before="240" w:after="0"/>
        <w:jc w:val="left"/>
        <w:rPr/>
      </w:pPr>
      <w:r>
        <w:rPr/>
        <w:t>“</w:t>
      </w:r>
      <w:r>
        <w:rPr>
          <w:rFonts w:ascii="Times New Roman" w:hAnsi="Times New Roman"/>
          <w:sz w:val="20"/>
          <w:u w:val="single"/>
        </w:rPr>
        <w:t>Foreign Lender</w:t>
      </w:r>
      <w:r>
        <w:rPr>
          <w:rFonts w:ascii="Times New Roman" w:hAnsi="Times New Roman"/>
          <w:sz w:val="20"/>
        </w:rPr>
        <w:t xml:space="preserve">” means any Lender that is organized under the laws of a jurisdiction other than that in which the respective Borrower is resident for tax purposes. For purposes of this definition, the United States, each State thereof and the District of Columbia shall be deemed to constitute a single jurisdiction. </w:t>
      </w:r>
    </w:p>
    <w:p>
      <w:pPr>
        <w:pStyle w:val="TextBody"/>
        <w:bidi w:val="0"/>
        <w:spacing w:before="240" w:after="0"/>
        <w:jc w:val="left"/>
        <w:rPr/>
      </w:pPr>
      <w:r>
        <w:rPr/>
        <w:t>“</w:t>
      </w:r>
      <w:r>
        <w:rPr>
          <w:rFonts w:ascii="Times New Roman" w:hAnsi="Times New Roman"/>
          <w:sz w:val="20"/>
          <w:u w:val="single"/>
        </w:rPr>
        <w:t>Foreign Payee</w:t>
      </w:r>
      <w:r>
        <w:rPr>
          <w:rFonts w:ascii="Times New Roman" w:hAnsi="Times New Roman"/>
          <w:sz w:val="20"/>
        </w:rPr>
        <w:t xml:space="preserve">” means any Payee that is organized under the laws of a jurisdiction other than that in which the Borrowers are resident for tax purposes. For purposes of this definition, the United States, each State thereof and the District of Columbia shall be deemed to constitute a single jurisdiction. </w:t>
      </w:r>
    </w:p>
    <w:p>
      <w:pPr>
        <w:pStyle w:val="TextBody"/>
        <w:bidi w:val="0"/>
        <w:spacing w:before="240" w:after="0"/>
        <w:jc w:val="left"/>
        <w:rPr/>
      </w:pPr>
      <w:r>
        <w:rPr/>
        <w:t>“</w:t>
      </w:r>
      <w:r>
        <w:rPr>
          <w:rFonts w:ascii="Times New Roman" w:hAnsi="Times New Roman"/>
          <w:sz w:val="20"/>
          <w:u w:val="single"/>
        </w:rPr>
        <w:t>Foreign Subsidiary</w:t>
      </w:r>
      <w:r>
        <w:rPr>
          <w:rFonts w:ascii="Times New Roman" w:hAnsi="Times New Roman"/>
          <w:sz w:val="20"/>
        </w:rPr>
        <w:t xml:space="preserve">” means any Subsidiary of GEO that is not a Domestic Subsidiary. </w:t>
      </w:r>
    </w:p>
    <w:p>
      <w:pPr>
        <w:pStyle w:val="TextBody"/>
        <w:bidi w:val="0"/>
        <w:spacing w:before="240" w:after="0"/>
        <w:jc w:val="left"/>
        <w:rPr/>
      </w:pPr>
      <w:r>
        <w:rPr/>
        <w:t>“</w:t>
      </w:r>
      <w:r>
        <w:rPr>
          <w:rFonts w:ascii="Times New Roman" w:hAnsi="Times New Roman"/>
          <w:sz w:val="20"/>
          <w:u w:val="single"/>
        </w:rPr>
        <w:t>Fund</w:t>
      </w:r>
      <w:r>
        <w:rPr>
          <w:rFonts w:ascii="Times New Roman" w:hAnsi="Times New Roman"/>
          <w:sz w:val="20"/>
        </w:rPr>
        <w:t xml:space="preserve">” means any Person (other than a natural person) that is (or will be) engaged in making, purchasing, holding or otherwise investing in commercial loans and similar extensions of credit in the ordinary course of its activities. </w:t>
      </w:r>
    </w:p>
    <w:p>
      <w:pPr>
        <w:pStyle w:val="TextBody"/>
        <w:bidi w:val="0"/>
        <w:spacing w:before="240" w:after="0"/>
        <w:jc w:val="left"/>
        <w:rPr/>
      </w:pPr>
      <w:r>
        <w:rPr/>
        <w:t>“</w:t>
      </w:r>
      <w:r>
        <w:rPr>
          <w:rFonts w:ascii="Times New Roman" w:hAnsi="Times New Roman"/>
          <w:sz w:val="20"/>
          <w:u w:val="single"/>
        </w:rPr>
        <w:t>GAAP</w:t>
      </w:r>
      <w:r>
        <w:rPr>
          <w:rFonts w:ascii="Times New Roman" w:hAnsi="Times New Roman"/>
          <w:sz w:val="20"/>
        </w:rPr>
        <w:t xml:space="preserve">” means generally accepted accounting principles in the United States, without giving effect to any change in accounting for leases pursuant to GAAP resulting from the implementation of Financial Accounting Standards Board Accounting Standards ASU No. 2016-02, Leases (Topic 842), to the extent such adoption would require treating any lease (or similar arrangement conveying the right to use) as a capital lease where such lease (or similar arrangement) would not have been required to be so treated under GAAP as in effect on December 31, 2018. </w:t>
      </w:r>
    </w:p>
    <w:p>
      <w:pPr>
        <w:pStyle w:val="TextBody"/>
        <w:bidi w:val="0"/>
        <w:spacing w:before="240" w:after="0"/>
        <w:jc w:val="left"/>
        <w:rPr/>
      </w:pPr>
      <w:r>
        <w:rPr/>
        <w:t>“</w:t>
      </w:r>
      <w:r>
        <w:rPr>
          <w:rFonts w:ascii="Times New Roman" w:hAnsi="Times New Roman"/>
          <w:sz w:val="20"/>
          <w:u w:val="single"/>
        </w:rPr>
        <w:t>GEO</w:t>
      </w:r>
      <w:r>
        <w:rPr>
          <w:rFonts w:ascii="Times New Roman" w:hAnsi="Times New Roman"/>
          <w:sz w:val="20"/>
        </w:rPr>
        <w:t xml:space="preserve">” has the meaning assigned thereto in the Preamble hereof. </w:t>
      </w:r>
    </w:p>
    <w:p>
      <w:pPr>
        <w:pStyle w:val="TextBody"/>
        <w:bidi w:val="0"/>
        <w:spacing w:before="240" w:after="0"/>
        <w:jc w:val="left"/>
        <w:rPr/>
      </w:pPr>
      <w:r>
        <w:rPr/>
        <w:t>“</w:t>
      </w:r>
      <w:r>
        <w:rPr>
          <w:rFonts w:ascii="Times New Roman" w:hAnsi="Times New Roman"/>
          <w:sz w:val="20"/>
          <w:u w:val="single"/>
        </w:rPr>
        <w:t>GEO HQ</w:t>
      </w:r>
      <w:r>
        <w:rPr>
          <w:rFonts w:ascii="Times New Roman" w:hAnsi="Times New Roman"/>
          <w:sz w:val="20"/>
        </w:rPr>
        <w:t xml:space="preserve">” means that certain real property located in Boca Raton, Florida described on </w:t>
      </w:r>
      <w:r>
        <w:rPr>
          <w:rFonts w:ascii="Times New Roman" w:hAnsi="Times New Roman"/>
          <w:sz w:val="20"/>
          <w:u w:val="single"/>
        </w:rPr>
        <w:t>Schedule 3.17</w:t>
      </w:r>
      <w:r>
        <w:rPr>
          <w:rFonts w:ascii="Times New Roman" w:hAnsi="Times New Roman"/>
          <w:sz w:val="20"/>
        </w:rPr>
        <w:t xml:space="preserve"> of the Disclosure Supplement, together with all improvements thereto and furniture, fixtures and equipment located therein, in each case owned by any of GEO and its Restricted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GEO HQ Indebtedness</w:t>
      </w:r>
      <w:r>
        <w:rPr>
          <w:rFonts w:ascii="Times New Roman" w:hAnsi="Times New Roman"/>
          <w:sz w:val="20"/>
        </w:rPr>
        <w:t xml:space="preserve">” means Indebtedness of GEO or any Restricted Subsidiary incurred to finance the acquisition, construction or improvement of the GEO HQ, Guarantees by GEO or any Restricted Subsidiary of any such Indebtedness, and extensions, renewals and replacements of any such Indebtedness and Guarantees that do not increase the outstanding principal amount thereof, in each case, permitted pursuant to </w:t>
      </w:r>
      <w:r>
        <w:rPr>
          <w:rFonts w:ascii="Times New Roman" w:hAnsi="Times New Roman"/>
          <w:sz w:val="20"/>
          <w:u w:val="single"/>
        </w:rPr>
        <w:t>Section 6.01(b)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Government Contract</w:t>
      </w:r>
      <w:r>
        <w:rPr>
          <w:rFonts w:ascii="Times New Roman" w:hAnsi="Times New Roman"/>
          <w:sz w:val="20"/>
        </w:rPr>
        <w:t xml:space="preserve">” means a contract between GEO or any Restricted Subsidiary and a Governmental Authority located in the United States or all obligations of any such Governmental Authority as account debtor arising under any Account (as defined in the UCC) now existing or hereafter arising owing to GEO or any Restricted Subsidiary. </w:t>
      </w:r>
    </w:p>
    <w:p>
      <w:pPr>
        <w:pStyle w:val="TextBody"/>
        <w:bidi w:val="0"/>
        <w:spacing w:before="240" w:after="0"/>
        <w:jc w:val="left"/>
        <w:rPr/>
      </w:pPr>
      <w:r>
        <w:rPr/>
        <w:t>“</w:t>
      </w:r>
      <w:r>
        <w:rPr>
          <w:rFonts w:ascii="Times New Roman" w:hAnsi="Times New Roman"/>
          <w:sz w:val="20"/>
          <w:u w:val="single"/>
        </w:rPr>
        <w:t>Governmental Approvals</w:t>
      </w:r>
      <w:r>
        <w:rPr>
          <w:rFonts w:ascii="Times New Roman" w:hAnsi="Times New Roman"/>
          <w:sz w:val="20"/>
        </w:rPr>
        <w:t xml:space="preserve">” means all authorizations, consents, approvals, licenses and exemptions of, registrations and filings with, and reports to, any Governmental Authority. </w:t>
      </w:r>
    </w:p>
    <w:p>
      <w:pPr>
        <w:pStyle w:val="TextBody"/>
        <w:bidi w:val="0"/>
        <w:spacing w:before="240" w:after="0"/>
        <w:jc w:val="left"/>
        <w:rPr/>
      </w:pPr>
      <w:r>
        <w:rPr/>
        <w:t>“</w:t>
      </w:r>
      <w:r>
        <w:rPr>
          <w:rFonts w:ascii="Times New Roman" w:hAnsi="Times New Roman"/>
          <w:sz w:val="20"/>
          <w:u w:val="single"/>
        </w:rPr>
        <w:t>Governmental Authority</w:t>
      </w:r>
      <w:r>
        <w:rPr>
          <w:rFonts w:ascii="Times New Roman" w:hAnsi="Times New Roman"/>
          <w:sz w:val="20"/>
        </w:rPr>
        <w:t xml:space="preserve">” 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 </w:t>
      </w:r>
    </w:p>
    <w:p>
      <w:pPr>
        <w:pStyle w:val="TextBody"/>
        <w:bidi w:val="0"/>
        <w:spacing w:before="240" w:after="0"/>
        <w:jc w:val="left"/>
        <w:rPr/>
      </w:pPr>
      <w:r>
        <w:rPr/>
        <w:t>“</w:t>
      </w:r>
      <w:r>
        <w:rPr>
          <w:rFonts w:ascii="Times New Roman" w:hAnsi="Times New Roman"/>
          <w:sz w:val="20"/>
          <w:u w:val="single"/>
        </w:rPr>
        <w:t>Guarantee</w:t>
      </w:r>
      <w:r>
        <w:rPr>
          <w:rFonts w:ascii="Times New Roman" w:hAnsi="Times New Roman"/>
          <w:sz w:val="20"/>
        </w:rPr>
        <w:t>” of or by any Person (the “</w:t>
      </w:r>
      <w:r>
        <w:rPr>
          <w:rFonts w:ascii="Times New Roman" w:hAnsi="Times New Roman"/>
          <w:sz w:val="20"/>
          <w:u w:val="single"/>
        </w:rPr>
        <w:t>guarantor</w:t>
      </w:r>
      <w:r>
        <w:rPr>
          <w:rFonts w:ascii="Times New Roman" w:hAnsi="Times New Roman"/>
          <w:sz w:val="20"/>
        </w:rPr>
        <w:t>”) means any obligation, contingent or otherwise, of the guarantor guaranteeing or having the economic effect of guaranteeing any Indebtedness or other payment obligation of any other Person (the “</w:t>
      </w:r>
      <w:r>
        <w:rPr>
          <w:rFonts w:ascii="Times New Roman" w:hAnsi="Times New Roman"/>
          <w:sz w:val="20"/>
          <w:u w:val="single"/>
        </w:rPr>
        <w:t>primary obligor</w:t>
      </w:r>
      <w:r>
        <w:rPr>
          <w:rFonts w:ascii="Times New Roman" w:hAnsi="Times New Roman"/>
          <w:sz w:val="20"/>
        </w:rPr>
        <w:t xml:space="preserve">”) in any manner, whether directly or indirectly, and including (i) any obligation of the guarantor, direct or indirect, (a) to purchase or pay (or advance or supply funds for the purchase or payment of) such Indebtedness or other payment obligation or to purchase (or to advance or supply funds for the purchase of) any security for the payment thereof, (b) to purchase or lease property, securities or services for the purpose of assuring the owner of such Indebtedness or other payment obligation of the payment thereof, (c) to maintain Working Capital, equity capital or any other financial statement condition or liquidity of the primary obligor so as to enable the primary obligor to pay such Indebtedness or other payment obligation or (d) as an account party in respect of any letter of credit or letter of guaranty issued to support such Indebtedness or payment obligation and (ii) any Lien on any assets of the guarantor securing payment of Indebtedness or other monetary obligations of the primary obligor; </w:t>
      </w:r>
      <w:r>
        <w:rPr>
          <w:rFonts w:ascii="Times New Roman" w:hAnsi="Times New Roman"/>
          <w:sz w:val="20"/>
          <w:u w:val="single"/>
        </w:rPr>
        <w:t>provided</w:t>
      </w:r>
      <w:r>
        <w:rPr>
          <w:rFonts w:ascii="Times New Roman" w:hAnsi="Times New Roman"/>
          <w:sz w:val="20"/>
        </w:rPr>
        <w:t xml:space="preserve"> that the term Guarantee shall not include endorsements for collection or deposit in the ordinary course of business. </w:t>
      </w:r>
    </w:p>
    <w:p>
      <w:pPr>
        <w:pStyle w:val="TextBody"/>
        <w:bidi w:val="0"/>
        <w:spacing w:before="240" w:after="0"/>
        <w:jc w:val="left"/>
        <w:rPr/>
      </w:pPr>
      <w:r>
        <w:rPr/>
        <w:t>“</w:t>
      </w:r>
      <w:r>
        <w:rPr>
          <w:rFonts w:ascii="Times New Roman" w:hAnsi="Times New Roman"/>
          <w:sz w:val="20"/>
          <w:u w:val="single"/>
        </w:rPr>
        <w:t>Guarantor</w:t>
      </w:r>
      <w:r>
        <w:rPr>
          <w:rFonts w:ascii="Times New Roman" w:hAnsi="Times New Roman"/>
          <w:sz w:val="20"/>
        </w:rPr>
        <w:t xml:space="preserve">” means each Restricted Domestic Subsidiary and any other Person, which in each case shall have become a party to the Guaranty Agreement, including pursuant to a supplement thereto. </w:t>
      </w:r>
    </w:p>
    <w:p>
      <w:pPr>
        <w:pStyle w:val="TextBody"/>
        <w:bidi w:val="0"/>
        <w:spacing w:before="240" w:after="0"/>
        <w:jc w:val="left"/>
        <w:rPr/>
      </w:pPr>
      <w:r>
        <w:rPr/>
        <w:t>“</w:t>
      </w:r>
      <w:r>
        <w:rPr>
          <w:rFonts w:ascii="Times New Roman" w:hAnsi="Times New Roman"/>
          <w:sz w:val="20"/>
          <w:u w:val="single"/>
        </w:rPr>
        <w:t>Guaranty Agreement</w:t>
      </w:r>
      <w:r>
        <w:rPr>
          <w:rFonts w:ascii="Times New Roman" w:hAnsi="Times New Roman"/>
          <w:sz w:val="20"/>
        </w:rPr>
        <w:t xml:space="preserve">” means the Amended and Restated Guaranty Agreement, dated as of the date hereof, among the Borrowers, the Guarantors and the Administrative Agent, as amended, restated, supplemented or otherwise modified from time to time in accordance with its terms.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Hazardous Materials</w:t>
      </w:r>
      <w:r>
        <w:rPr>
          <w:rFonts w:ascii="Times New Roman" w:hAnsi="Times New Roman"/>
          <w:sz w:val="20"/>
        </w:rPr>
        <w:t xml:space="preserve">” means all explosive or radioactive substances or wastes and all hazardous or toxic substances, wastes or other pollutants, including petroleum or petroleum distillates, asbestos or asbestos containing materials, polychlorinated biphenyls, radon gas, infectious or medical wastes and all other substances or wastes of any nature regulated or with respect to which liability or standards of conduct are imposed pursuant to any Environmental Law. </w:t>
      </w:r>
    </w:p>
    <w:p>
      <w:pPr>
        <w:pStyle w:val="TextBody"/>
        <w:bidi w:val="0"/>
        <w:spacing w:before="240" w:after="0"/>
        <w:jc w:val="left"/>
        <w:rPr/>
      </w:pPr>
      <w:r>
        <w:rPr/>
        <w:t>“</w:t>
      </w:r>
      <w:r>
        <w:rPr>
          <w:rFonts w:ascii="Times New Roman" w:hAnsi="Times New Roman"/>
          <w:sz w:val="20"/>
          <w:u w:val="single"/>
        </w:rPr>
        <w:t>Hedge Counterparty</w:t>
      </w:r>
      <w:r>
        <w:rPr>
          <w:rFonts w:ascii="Times New Roman" w:hAnsi="Times New Roman"/>
          <w:sz w:val="20"/>
        </w:rPr>
        <w:t xml:space="preserve">” means each Person that is a Lender, the Administrative Agent, an Affiliate of a Lender or an Affiliate of the Administrative Agent (i) at the time it enters into a Hedging Agreement or (ii) that is party to a Hedging Agreement outstanding as of the Effective Date, in each case with any Borrower or any Guarantor, in its capacity as a party thereto. </w:t>
      </w:r>
    </w:p>
    <w:p>
      <w:pPr>
        <w:pStyle w:val="TextBody"/>
        <w:bidi w:val="0"/>
        <w:spacing w:before="240" w:after="0"/>
        <w:jc w:val="left"/>
        <w:rPr/>
      </w:pPr>
      <w:r>
        <w:rPr/>
        <w:t>“</w:t>
      </w:r>
      <w:r>
        <w:rPr>
          <w:rFonts w:ascii="Times New Roman" w:hAnsi="Times New Roman"/>
          <w:sz w:val="20"/>
          <w:u w:val="single"/>
        </w:rPr>
        <w:t>Hedging Agreement</w:t>
      </w:r>
      <w:r>
        <w:rPr>
          <w:rFonts w:ascii="Times New Roman" w:hAnsi="Times New Roman"/>
          <w:sz w:val="20"/>
        </w:rPr>
        <w:t xml:space="preserve">” means any interest rate swap agreement, foreign currency exchange and swap agreement, or any call option in respect of convertible or exchangeable debt securities issued by any Borrower or any Guarantor. </w:t>
      </w:r>
    </w:p>
    <w:p>
      <w:pPr>
        <w:pStyle w:val="TextBody"/>
        <w:bidi w:val="0"/>
        <w:spacing w:before="240" w:after="0"/>
        <w:jc w:val="left"/>
        <w:rPr/>
      </w:pPr>
      <w:r>
        <w:rPr/>
        <w:t>“</w:t>
      </w:r>
      <w:r>
        <w:rPr>
          <w:rFonts w:ascii="Times New Roman" w:hAnsi="Times New Roman"/>
          <w:sz w:val="20"/>
          <w:u w:val="single"/>
        </w:rPr>
        <w:t>Immaterial Government Contracts</w:t>
      </w:r>
      <w:r>
        <w:rPr>
          <w:rFonts w:ascii="Times New Roman" w:hAnsi="Times New Roman"/>
          <w:sz w:val="20"/>
        </w:rPr>
        <w:t xml:space="preserve">” means all Government Contracts that pertain to a Facility or Facilities owned by any Unrestricted Subsidiary and are required to be assigned to secure related Indebtedness of such Unrestricted Subsidiary; </w:t>
      </w:r>
      <w:r>
        <w:rPr>
          <w:rFonts w:ascii="Times New Roman" w:hAnsi="Times New Roman"/>
          <w:sz w:val="20"/>
          <w:u w:val="single"/>
        </w:rPr>
        <w:t>provided</w:t>
      </w:r>
      <w:r>
        <w:rPr>
          <w:rFonts w:ascii="Times New Roman" w:hAnsi="Times New Roman"/>
          <w:sz w:val="20"/>
        </w:rPr>
        <w:t xml:space="preserve"> that the amount of EBITDA reasonably attributable to all Immaterial Government Contracts in the aggregate for the four fiscal quarters ending on or most recently ended prior to any date of determination shall not exceed 10% of EBITDA for the same four fiscal quarter period. </w:t>
      </w:r>
    </w:p>
    <w:p>
      <w:pPr>
        <w:pStyle w:val="TextBody"/>
        <w:bidi w:val="0"/>
        <w:spacing w:before="240" w:after="0"/>
        <w:jc w:val="left"/>
        <w:rPr/>
      </w:pPr>
      <w:r>
        <w:rPr/>
        <w:t>“</w:t>
      </w:r>
      <w:r>
        <w:rPr>
          <w:rFonts w:ascii="Times New Roman" w:hAnsi="Times New Roman"/>
          <w:sz w:val="20"/>
          <w:u w:val="single"/>
        </w:rPr>
        <w:t>Increasing Lender</w:t>
      </w:r>
      <w:r>
        <w:rPr>
          <w:rFonts w:ascii="Times New Roman" w:hAnsi="Times New Roman"/>
          <w:sz w:val="20"/>
        </w:rPr>
        <w:t xml:space="preserve">” has the meaning assigned thereto in </w:t>
      </w:r>
      <w:r>
        <w:rPr>
          <w:rFonts w:ascii="Times New Roman" w:hAnsi="Times New Roman"/>
          <w:sz w:val="20"/>
          <w:u w:val="single"/>
        </w:rPr>
        <w:t>Section 2.08(e)(i)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Incremental</w:t>
      </w:r>
      <w:r>
        <w:rPr>
          <w:rFonts w:ascii="Times New Roman" w:hAnsi="Times New Roman"/>
          <w:sz w:val="20"/>
        </w:rPr>
        <w:t xml:space="preserve">” when used in reference to any Loan or Borrowing, refers to whether such Loan, or the Loans comprising such Borrowing, are made pursuant to </w:t>
      </w:r>
      <w:r>
        <w:rPr>
          <w:rFonts w:ascii="Times New Roman" w:hAnsi="Times New Roman"/>
          <w:sz w:val="20"/>
          <w:u w:val="single"/>
        </w:rPr>
        <w:t>Section 2.01(e)</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Incremental Amount</w:t>
      </w:r>
      <w:r>
        <w:rPr>
          <w:rFonts w:ascii="Times New Roman" w:hAnsi="Times New Roman"/>
          <w:sz w:val="20"/>
        </w:rPr>
        <w:t xml:space="preserve">” means, as of any date of determination, an amount equal to the sum of (i) $750,000,000, </w:t>
      </w:r>
      <w:r>
        <w:rPr>
          <w:rFonts w:ascii="Times New Roman" w:hAnsi="Times New Roman"/>
          <w:sz w:val="20"/>
          <w:u w:val="single"/>
        </w:rPr>
        <w:t>plus</w:t>
      </w:r>
      <w:r>
        <w:rPr>
          <w:rFonts w:ascii="Times New Roman" w:hAnsi="Times New Roman"/>
          <w:sz w:val="20"/>
        </w:rPr>
        <w:t xml:space="preserve"> (ii) the amount of any payment (whether or not scheduled, voluntary or mandatory), prepayment, redemption, repurchase or debt buyback (including any such payment, prepayment, redemption, repurchase or debt buyback made at a discount to par, in which case, the amount added back pursuant to this clause (ii) shall be deemed to be the par amount of the indebtedness repaid, redeemed or purchased) of any Term Loans after the Effective Date (other than in connection with a Specified Term Loan Refinancing), any Incremental Term Loans, or any Incremental Equivalent Debt (other than with respect to revolving commitments) incurred pursuant to </w:t>
      </w:r>
      <w:r>
        <w:rPr>
          <w:rFonts w:ascii="Times New Roman" w:hAnsi="Times New Roman"/>
          <w:sz w:val="20"/>
          <w:u w:val="single"/>
        </w:rPr>
        <w:t>Section 2.01(f)(i)</w:t>
      </w:r>
      <w:r>
        <w:rPr>
          <w:rFonts w:ascii="Times New Roman" w:hAnsi="Times New Roman"/>
          <w:sz w:val="20"/>
        </w:rPr>
        <w:t xml:space="preserve"> that is secured on a pari passu basis with the Liens securing the Obligations (in each case, provided that such Term Loans, Incremental Term Loans, or Incremental Equivalent Debt are cancelled and cease to be outstanding) and any payment (whether or not voluntary or mandatory), prepayments of Revolving Credit Loans to the extent accompanied by corresponding permanent reduction of the Revolving Credit Commitments; provided that, in each case, the relevant payment, prepayment, redemption, repurchase, debt buyback or commitment reduction is not funded or effected with any long-term Indebtedness (other than revolving Indebtedness) </w:t>
      </w:r>
      <w:r>
        <w:rPr>
          <w:rFonts w:ascii="Times New Roman" w:hAnsi="Times New Roman"/>
          <w:sz w:val="20"/>
          <w:u w:val="single"/>
        </w:rPr>
        <w:t>minus</w:t>
      </w:r>
      <w:r>
        <w:rPr>
          <w:rFonts w:ascii="Times New Roman" w:hAnsi="Times New Roman"/>
          <w:sz w:val="20"/>
        </w:rPr>
        <w:t xml:space="preserve"> (iii) the sum of (x) the aggregate principal amount of all Incremental Term Loans incurred pursuant to </w:t>
      </w:r>
      <w:r>
        <w:rPr>
          <w:rFonts w:ascii="Times New Roman" w:hAnsi="Times New Roman"/>
          <w:sz w:val="20"/>
          <w:u w:val="single"/>
        </w:rPr>
        <w:t>Section 2.01(e)</w:t>
      </w:r>
      <w:r>
        <w:rPr>
          <w:rFonts w:ascii="Times New Roman" w:hAnsi="Times New Roman"/>
          <w:sz w:val="20"/>
        </w:rPr>
        <w:t xml:space="preserve">, (y) the aggregate principal amount of all Revolving Credit Commitment Increases effected pursuant to </w:t>
      </w:r>
      <w:r>
        <w:rPr>
          <w:rFonts w:ascii="Times New Roman" w:hAnsi="Times New Roman"/>
          <w:sz w:val="20"/>
          <w:u w:val="single"/>
        </w:rPr>
        <w:t>Section 2.08(e)</w:t>
      </w:r>
      <w:r>
        <w:rPr>
          <w:rFonts w:ascii="Times New Roman" w:hAnsi="Times New Roman"/>
          <w:sz w:val="20"/>
        </w:rPr>
        <w:t xml:space="preserve">, and (z) the aggregate principal amount of all Incremental Equivalent Debt incurred pursuant to </w:t>
      </w:r>
      <w:r>
        <w:rPr>
          <w:rFonts w:ascii="Times New Roman" w:hAnsi="Times New Roman"/>
          <w:sz w:val="20"/>
          <w:u w:val="single"/>
        </w:rPr>
        <w:t>Section 2.01(f)(i)</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Incremental Equivalent Debt</w:t>
      </w:r>
      <w:r>
        <w:rPr>
          <w:rFonts w:ascii="Times New Roman" w:hAnsi="Times New Roman"/>
          <w:sz w:val="20"/>
        </w:rPr>
        <w:t xml:space="preserve">” has the meaning assigned thereto in </w:t>
      </w:r>
      <w:r>
        <w:rPr>
          <w:rFonts w:ascii="Times New Roman" w:hAnsi="Times New Roman"/>
          <w:sz w:val="20"/>
          <w:u w:val="single"/>
        </w:rPr>
        <w:t>Section 2.01(f)</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Incremental Equivalent Debt Effective Date</w:t>
      </w:r>
      <w:r>
        <w:rPr>
          <w:rFonts w:ascii="Times New Roman" w:hAnsi="Times New Roman"/>
          <w:sz w:val="20"/>
        </w:rPr>
        <w:t xml:space="preserve">” has the meaning assigned thereto in </w:t>
      </w:r>
      <w:r>
        <w:rPr>
          <w:rFonts w:ascii="Times New Roman" w:hAnsi="Times New Roman"/>
          <w:sz w:val="20"/>
          <w:u w:val="single"/>
        </w:rPr>
        <w:t>Section 2.01(f)</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Incremental Lenders</w:t>
      </w:r>
      <w:r>
        <w:rPr>
          <w:rFonts w:ascii="Times New Roman" w:hAnsi="Times New Roman"/>
          <w:sz w:val="20"/>
        </w:rPr>
        <w:t xml:space="preserve">” means, in respect of any Series of Incremental Term Loans, the Lenders (or other financial institutions referred to in </w:t>
      </w:r>
      <w:r>
        <w:rPr>
          <w:rFonts w:ascii="Times New Roman" w:hAnsi="Times New Roman"/>
          <w:sz w:val="20"/>
          <w:u w:val="single"/>
        </w:rPr>
        <w:t>Section 2.01(e)</w:t>
      </w:r>
      <w:r>
        <w:rPr>
          <w:rFonts w:ascii="Times New Roman" w:hAnsi="Times New Roman"/>
          <w:sz w:val="20"/>
        </w:rPr>
        <w:t xml:space="preserve">) whose offers to make Incremental Term Loans of such Series shall have been accepted by GEO in accordance with the provisions of </w:t>
      </w:r>
      <w:r>
        <w:rPr>
          <w:rFonts w:ascii="Times New Roman" w:hAnsi="Times New Roman"/>
          <w:sz w:val="20"/>
          <w:u w:val="single"/>
        </w:rPr>
        <w:t>Section 2.01(e)</w:t>
      </w:r>
      <w:r>
        <w:rPr>
          <w:rFonts w:ascii="Times New Roman" w:hAnsi="Times New Roman"/>
          <w:sz w:val="20"/>
        </w:rPr>
        <w:t xml:space="preserve"> and that are party to the relevant Incremental Term Loan Amendment. </w:t>
      </w:r>
    </w:p>
    <w:p>
      <w:pPr>
        <w:pStyle w:val="TextBody"/>
        <w:bidi w:val="0"/>
        <w:spacing w:before="240" w:after="0"/>
        <w:jc w:val="left"/>
        <w:rPr/>
      </w:pPr>
      <w:r>
        <w:rPr/>
        <w:t>“</w:t>
      </w:r>
      <w:r>
        <w:rPr>
          <w:rFonts w:ascii="Times New Roman" w:hAnsi="Times New Roman"/>
          <w:sz w:val="20"/>
          <w:u w:val="single"/>
        </w:rPr>
        <w:t>Incremental Term Loan Amendment</w:t>
      </w:r>
      <w:r>
        <w:rPr>
          <w:rFonts w:ascii="Times New Roman" w:hAnsi="Times New Roman"/>
          <w:sz w:val="20"/>
        </w:rPr>
        <w:t xml:space="preserve">” has the meaning assigned thereto in </w:t>
      </w:r>
      <w:r>
        <w:rPr>
          <w:rFonts w:ascii="Times New Roman" w:hAnsi="Times New Roman"/>
          <w:sz w:val="20"/>
          <w:u w:val="single"/>
        </w:rPr>
        <w:t>Section 2.01(e)</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Incremental Term Loan Commitment</w:t>
      </w:r>
      <w:r>
        <w:rPr>
          <w:rFonts w:ascii="Times New Roman" w:hAnsi="Times New Roman"/>
          <w:sz w:val="20"/>
        </w:rPr>
        <w:t xml:space="preserve">” means, with respect to each Lender, the commitment, if any, of such Lender to make Incremental Term Loans of any Series that is accepted by GEO in accordance with the provisions of </w:t>
      </w:r>
      <w:r>
        <w:rPr>
          <w:rFonts w:ascii="Times New Roman" w:hAnsi="Times New Roman"/>
          <w:sz w:val="20"/>
          <w:u w:val="single"/>
        </w:rPr>
        <w:t>Section 2.01(e)</w:t>
      </w:r>
      <w:r>
        <w:rPr>
          <w:rFonts w:ascii="Times New Roman" w:hAnsi="Times New Roman"/>
          <w:sz w:val="20"/>
        </w:rPr>
        <w:t xml:space="preserve">, expressed as an amount representing the maximum aggregate principal amount of the Incremental Term Loans to be made by such Lender hereunder, as such commitment may be (i) reduced pursuant to </w:t>
      </w:r>
      <w:r>
        <w:rPr>
          <w:rFonts w:ascii="Times New Roman" w:hAnsi="Times New Roman"/>
          <w:sz w:val="20"/>
          <w:u w:val="single"/>
        </w:rPr>
        <w:t>Section 2.08(a)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or </w:t>
      </w:r>
      <w:r>
        <w:rPr>
          <w:rFonts w:ascii="Times New Roman" w:hAnsi="Times New Roman"/>
          <w:sz w:val="20"/>
          <w:u w:val="single"/>
        </w:rPr>
        <w:t>Section 2.10(b)</w:t>
      </w:r>
      <w:r>
        <w:rPr>
          <w:rFonts w:ascii="Times New Roman" w:hAnsi="Times New Roman"/>
          <w:sz w:val="20"/>
        </w:rPr>
        <w:t xml:space="preserve"> and (ii) reduced or increased from time to time pursuant to assignments by or to such Lender pursuant to </w:t>
      </w:r>
      <w:r>
        <w:rPr>
          <w:rFonts w:ascii="Times New Roman" w:hAnsi="Times New Roman"/>
          <w:sz w:val="20"/>
          <w:u w:val="single"/>
        </w:rPr>
        <w:t>Section 9.04</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Incremental Term Loans</w:t>
      </w:r>
      <w:r>
        <w:rPr>
          <w:rFonts w:ascii="Times New Roman" w:hAnsi="Times New Roman"/>
          <w:sz w:val="20"/>
        </w:rPr>
        <w:t xml:space="preserve">” has the meaning assigned thereto in </w:t>
      </w:r>
      <w:r>
        <w:rPr>
          <w:rFonts w:ascii="Times New Roman" w:hAnsi="Times New Roman"/>
          <w:sz w:val="20"/>
          <w:u w:val="single"/>
        </w:rPr>
        <w:t>Section 2.01(e)</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Indebtedness</w:t>
      </w:r>
      <w:r>
        <w:rPr>
          <w:rFonts w:ascii="Times New Roman" w:hAnsi="Times New Roman"/>
          <w:sz w:val="20"/>
        </w:rPr>
        <w:t xml:space="preserve">” of any Person means, without duplication, (a) all liabilities, obligations and indebtedness of such Person for borrowed money including, but not limited to, obligations evidenced by bonds, debentures, notes or other similar instruments of any such Person, (b) all obligations of such Person to pay the deferred purchase price of property or services, except trade payables arising in the ordinary course of business not more than 90 days past due or payable on such later date as is customary in the trade, (c) all obligations of such Person as lessee under Capital Leases, (d) all Indebtedness of any other Person secured by a Lien on any asset of such Person, (e) all Guarantees by such Person of Indebtedness of others (including all Guarantees by any Borrower or any Restricted Subsidiary of Unrestricted Subsidiary Debt), (f) all obligations, contingent or otherwise, of such Person with respect to letters of credit (supporting payment of Indebtedness), whether or not drawn, including, without limitation, reimbursement obligations related thereto, and banker’s acceptances issued for the account of such Person, (g) all obligations of such Person to redeem, repurchase, exchange, defease or otherwise make payments in respect of Equity Interests of such Person, (h) all outstanding payment obligations with respect to Synthetic Leases, (i) the outstanding attributed principal amount under any asset securitization program and (j) all outstanding payment obligations with respect to performance surety bonds that have been drawn upon.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 </w:t>
      </w:r>
    </w:p>
    <w:p>
      <w:pPr>
        <w:pStyle w:val="TextBody"/>
        <w:bidi w:val="0"/>
        <w:spacing w:before="240" w:after="0"/>
        <w:jc w:val="left"/>
        <w:rPr/>
      </w:pPr>
      <w:r>
        <w:rPr/>
        <w:t>“</w:t>
      </w:r>
      <w:r>
        <w:rPr>
          <w:rFonts w:ascii="Times New Roman" w:hAnsi="Times New Roman"/>
          <w:sz w:val="20"/>
          <w:u w:val="single"/>
        </w:rPr>
        <w:t>Indemnified Taxes</w:t>
      </w:r>
      <w:r>
        <w:rPr>
          <w:rFonts w:ascii="Times New Roman" w:hAnsi="Times New Roman"/>
          <w:sz w:val="20"/>
        </w:rPr>
        <w:t xml:space="preserve">” means Taxes other than Excluded Taxes. </w:t>
      </w:r>
    </w:p>
    <w:p>
      <w:pPr>
        <w:pStyle w:val="TextBody"/>
        <w:bidi w:val="0"/>
        <w:spacing w:before="240" w:after="0"/>
        <w:jc w:val="left"/>
        <w:rPr/>
      </w:pPr>
      <w:r>
        <w:rPr/>
        <w:t>“</w:t>
      </w:r>
      <w:r>
        <w:rPr>
          <w:rFonts w:ascii="Times New Roman" w:hAnsi="Times New Roman"/>
          <w:sz w:val="20"/>
          <w:u w:val="single"/>
        </w:rPr>
        <w:t>Indemnitee</w:t>
      </w:r>
      <w:r>
        <w:rPr>
          <w:rFonts w:ascii="Times New Roman" w:hAnsi="Times New Roman"/>
          <w:sz w:val="20"/>
        </w:rPr>
        <w:t xml:space="preserve">” has the meaning assigned thereto in </w:t>
      </w:r>
      <w:r>
        <w:rPr>
          <w:rFonts w:ascii="Times New Roman" w:hAnsi="Times New Roman"/>
          <w:sz w:val="20"/>
          <w:u w:val="single"/>
        </w:rPr>
        <w:t>Section 9.03(b)</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Initial Material Real Property Threshold</w:t>
      </w:r>
      <w:r>
        <w:rPr>
          <w:rFonts w:ascii="Times New Roman" w:hAnsi="Times New Roman"/>
          <w:sz w:val="20"/>
        </w:rPr>
        <w:t xml:space="preserve">” has the meaning assigned thereto in clause (a) of the definition of “Material Real Property.” </w:t>
      </w:r>
    </w:p>
    <w:p>
      <w:pPr>
        <w:pStyle w:val="TextBody"/>
        <w:bidi w:val="0"/>
        <w:spacing w:before="240" w:after="0"/>
        <w:jc w:val="left"/>
        <w:rPr/>
      </w:pPr>
      <w:r>
        <w:rPr/>
        <w:t>“</w:t>
      </w:r>
      <w:r>
        <w:rPr>
          <w:rFonts w:ascii="Times New Roman" w:hAnsi="Times New Roman"/>
          <w:sz w:val="20"/>
          <w:u w:val="single"/>
        </w:rPr>
        <w:t>Installment Sale</w:t>
      </w:r>
      <w:r>
        <w:rPr>
          <w:rFonts w:ascii="Times New Roman" w:hAnsi="Times New Roman"/>
          <w:sz w:val="20"/>
        </w:rPr>
        <w:t xml:space="preserve">” means any sale of a property by GEO, any of its Subsidiaries or any Other Consolidated Person, as seller, that should, in accordance with GAAP, be classified and accounted for as an installment sale on a consolidated balance sheet of GEO, its Subsidiaries and the Other Consolidated Persons. </w:t>
      </w:r>
    </w:p>
    <w:p>
      <w:pPr>
        <w:pStyle w:val="TextBody"/>
        <w:bidi w:val="0"/>
        <w:spacing w:before="240" w:after="0"/>
        <w:jc w:val="left"/>
        <w:rPr/>
      </w:pPr>
      <w:r>
        <w:rPr/>
        <w:t>“</w:t>
      </w:r>
      <w:r>
        <w:rPr>
          <w:rFonts w:ascii="Times New Roman" w:hAnsi="Times New Roman"/>
          <w:sz w:val="20"/>
          <w:u w:val="single"/>
        </w:rPr>
        <w:t>Intercreditor Agreements</w:t>
      </w:r>
      <w:r>
        <w:rPr>
          <w:rFonts w:ascii="Times New Roman" w:hAnsi="Times New Roman"/>
          <w:sz w:val="20"/>
        </w:rPr>
        <w:t xml:space="preserve">” means the First Lien Pari Passu Intercreditor Agreement and any other intercreditor agreement entered into in connection with the incurrence, assumption or acquisition of any Indebtedness permitted hereunder. </w:t>
      </w:r>
    </w:p>
    <w:p>
      <w:pPr>
        <w:pStyle w:val="TextBody"/>
        <w:bidi w:val="0"/>
        <w:spacing w:before="240" w:after="0"/>
        <w:jc w:val="left"/>
        <w:rPr/>
      </w:pPr>
      <w:r>
        <w:rPr/>
        <w:t>“</w:t>
      </w:r>
      <w:r>
        <w:rPr>
          <w:rFonts w:ascii="Times New Roman" w:hAnsi="Times New Roman"/>
          <w:sz w:val="20"/>
          <w:u w:val="single"/>
        </w:rPr>
        <w:t>Interest Coverage Ratio</w:t>
      </w:r>
      <w:r>
        <w:rPr>
          <w:rFonts w:ascii="Times New Roman" w:hAnsi="Times New Roman"/>
          <w:sz w:val="20"/>
        </w:rPr>
        <w:t xml:space="preserve">” means the ratio of (a) Adjusted EBITDA for any period of four consecutive fiscal quarters to (b) Interest Expense </w:t>
      </w:r>
      <w:r>
        <w:rPr>
          <w:rFonts w:ascii="Times New Roman" w:hAnsi="Times New Roman"/>
          <w:sz w:val="20"/>
          <w:u w:val="single"/>
        </w:rPr>
        <w:t>minus</w:t>
      </w:r>
      <w:r>
        <w:rPr>
          <w:rFonts w:ascii="Times New Roman" w:hAnsi="Times New Roman"/>
          <w:sz w:val="20"/>
        </w:rPr>
        <w:t xml:space="preserve"> Interest Expense attributable to Indebtedness of Unrestricted Subsidiaries and Other Consolidated Persons that is Non-Recourse to GEO and the Restricted Subsidiaries for such four quarter period. </w:t>
      </w:r>
    </w:p>
    <w:p>
      <w:pPr>
        <w:pStyle w:val="TextBody"/>
        <w:bidi w:val="0"/>
        <w:spacing w:before="240" w:after="0"/>
        <w:jc w:val="left"/>
        <w:rPr/>
      </w:pPr>
      <w:r>
        <w:rPr/>
        <w:t>“</w:t>
      </w:r>
      <w:r>
        <w:rPr>
          <w:rFonts w:ascii="Times New Roman" w:hAnsi="Times New Roman"/>
          <w:sz w:val="20"/>
          <w:u w:val="single"/>
        </w:rPr>
        <w:t>Interest Election Request</w:t>
      </w:r>
      <w:r>
        <w:rPr>
          <w:rFonts w:ascii="Times New Roman" w:hAnsi="Times New Roman"/>
          <w:sz w:val="20"/>
        </w:rPr>
        <w:t xml:space="preserve">” means a request by GEO to convert or continue a Borrowing in accordance with </w:t>
      </w:r>
      <w:r>
        <w:rPr>
          <w:rFonts w:ascii="Times New Roman" w:hAnsi="Times New Roman"/>
          <w:sz w:val="20"/>
          <w:u w:val="single"/>
        </w:rPr>
        <w:t>Section 2.07</w:t>
      </w:r>
      <w:r>
        <w:rPr>
          <w:rFonts w:ascii="Times New Roman" w:hAnsi="Times New Roman"/>
          <w:sz w:val="20"/>
        </w:rPr>
        <w:t>, and substantially in the form of</w:t>
      </w:r>
      <w:r>
        <w:rPr>
          <w:rFonts w:ascii="Times New Roman" w:hAnsi="Times New Roman"/>
          <w:sz w:val="20"/>
          <w:u w:val="single"/>
        </w:rPr>
        <w:t xml:space="preserve"> Exhibit F</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Interest Expense</w:t>
      </w:r>
      <w:r>
        <w:rPr>
          <w:rFonts w:ascii="Times New Roman" w:hAnsi="Times New Roman"/>
          <w:sz w:val="20"/>
        </w:rPr>
        <w:t xml:space="preserve">” means, for any period, the sum, for GEO and its Subsidiaries and Other Consolidated Persons (determined on a consolidated basis without duplication in accordance with GAAP), of the following: (a) all interest and fees in respect of Indebtedness (including the interest component of any payments in respect of Capital Leases and Synthetic Leases accounted for as interest under GAAP) accrued or capitalized during such period (whether or not actually paid during such period) </w:t>
      </w:r>
      <w:r>
        <w:rPr>
          <w:rFonts w:ascii="Times New Roman" w:hAnsi="Times New Roman"/>
          <w:sz w:val="20"/>
          <w:u w:val="single"/>
        </w:rPr>
        <w:t>plus</w:t>
      </w:r>
      <w:r>
        <w:rPr>
          <w:rFonts w:ascii="Times New Roman" w:hAnsi="Times New Roman"/>
          <w:sz w:val="20"/>
        </w:rPr>
        <w:t xml:space="preserve"> (b) the net amount payable (or </w:t>
      </w:r>
      <w:r>
        <w:rPr>
          <w:rFonts w:ascii="Times New Roman" w:hAnsi="Times New Roman"/>
          <w:sz w:val="20"/>
          <w:u w:val="single"/>
        </w:rPr>
        <w:t>minus</w:t>
      </w:r>
      <w:r>
        <w:rPr>
          <w:rFonts w:ascii="Times New Roman" w:hAnsi="Times New Roman"/>
          <w:sz w:val="20"/>
        </w:rPr>
        <w:t xml:space="preserve"> the net amount receivable) under Hedging Agreements relating to interest during such period (whether or not actually paid or received during such period) </w:t>
      </w:r>
      <w:r>
        <w:rPr>
          <w:rFonts w:ascii="Times New Roman" w:hAnsi="Times New Roman"/>
          <w:sz w:val="20"/>
          <w:u w:val="single"/>
        </w:rPr>
        <w:t>minus</w:t>
      </w:r>
      <w:r>
        <w:rPr>
          <w:rFonts w:ascii="Times New Roman" w:hAnsi="Times New Roman"/>
          <w:sz w:val="20"/>
        </w:rPr>
        <w:t xml:space="preserve"> (c) interest income (excluding interest income in respect of Capital Leases and Installment Sales) during such period (whether or not actually received during such period). </w:t>
      </w:r>
    </w:p>
    <w:p>
      <w:pPr>
        <w:pStyle w:val="TextBody"/>
        <w:bidi w:val="0"/>
        <w:spacing w:before="240" w:after="0"/>
        <w:jc w:val="left"/>
        <w:rPr/>
      </w:pPr>
      <w:r>
        <w:rPr/>
        <w:t>“</w:t>
      </w:r>
      <w:r>
        <w:rPr>
          <w:rFonts w:ascii="Times New Roman" w:hAnsi="Times New Roman"/>
          <w:sz w:val="20"/>
          <w:u w:val="single"/>
        </w:rPr>
        <w:t>Interest Payment Date</w:t>
      </w:r>
      <w:r>
        <w:rPr>
          <w:rFonts w:ascii="Times New Roman" w:hAnsi="Times New Roman"/>
          <w:sz w:val="20"/>
        </w:rPr>
        <w:t xml:space="preserve">” means (a) with respect to any ABR Loan, each Quarterly Date, (b) with respect to any SOFR Loan, the last day of each Interest Period therefor and, in the case of any Interest Period of more than three months’ duration, each day prior to the last day of such Interest Period that occurs at three-month intervals after the first day of such Interest Period and (c) with respect to any Swingline Loan, the day that such Loan is required to be repaid. </w:t>
      </w:r>
    </w:p>
    <w:p>
      <w:pPr>
        <w:pStyle w:val="TextBody"/>
        <w:bidi w:val="0"/>
        <w:spacing w:before="240" w:after="0"/>
        <w:jc w:val="left"/>
        <w:rPr/>
      </w:pPr>
      <w:r>
        <w:rPr/>
        <w:t>“</w:t>
      </w:r>
      <w:r>
        <w:rPr>
          <w:rFonts w:ascii="Times New Roman" w:hAnsi="Times New Roman"/>
          <w:sz w:val="20"/>
          <w:u w:val="single"/>
        </w:rPr>
        <w:t>Interest Period</w:t>
      </w:r>
      <w:r>
        <w:rPr>
          <w:rFonts w:ascii="Times New Roman" w:hAnsi="Times New Roman"/>
          <w:sz w:val="20"/>
        </w:rPr>
        <w:t xml:space="preserve">” means, for any SOFR Loan or Borrowing, the period commencing on the date of such Loan or Borrowing and ending on the numerically corresponding day in the calendar month that is one, three or six months thereafter (in each case, subject to the availability thereof) (or on such other day as all of the Lenders holding such Loan or Borrowing may agree in their sole discretion), or for any period ending on or prior to the 30th day following the Effective Date, one, two or three weeks thereafter, in each case as specified in the applicable Borrowing Request or Interest Election Request; </w:t>
      </w:r>
      <w:r>
        <w:rPr>
          <w:rFonts w:ascii="Times New Roman" w:hAnsi="Times New Roman"/>
          <w:sz w:val="20"/>
          <w:u w:val="single"/>
        </w:rPr>
        <w:t>provided</w:t>
      </w:r>
      <w:r>
        <w:rPr>
          <w:rFonts w:ascii="Times New Roman" w:hAnsi="Times New Roman"/>
          <w:sz w:val="20"/>
        </w:rPr>
        <w:t xml:space="preserve"> that (i) if any Interest Period would end on a day other than a Business Day, such Interest Period shall be extended to the next succeeding Business Day unless such next succeeding Business Day would fall in the next calendar month, in which case such Interest Period shall end on the preceding Business Day, (ii) any Interest Period pertaining to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SOFR Borrowing that commences on the last Business Day of a calendar month (or on a day for which there is no numerically corresponding day in the last calendar month of such Interest Period) shall end on the last Business Day of the last calendar month of such Interest Period, (iii) unless otherwise agreed to by the Administrative Agent, until the date falling on the 30th day following the Effective Date, all Interest Periods for all SOFR Borrowings shall be coterminous and no Interest Period may commence before and end after such 30th day and (iv) no tenor that has been removed from this definition pursuant to </w:t>
      </w:r>
      <w:r>
        <w:rPr>
          <w:rFonts w:ascii="Times New Roman" w:hAnsi="Times New Roman"/>
          <w:sz w:val="20"/>
          <w:u w:val="single"/>
        </w:rPr>
        <w:t>Section 2.24(d)</w:t>
      </w:r>
      <w:r>
        <w:rPr>
          <w:rFonts w:ascii="Times New Roman" w:hAnsi="Times New Roman"/>
          <w:sz w:val="20"/>
        </w:rPr>
        <w:t xml:space="preserve"> shall be available for specification in such Borrowing Request or Interest Election Request. For purposes hereof, the date of a Loan or Borrowing initially shall be the date on which such Loan or Borrowing is made and thereafter shall be the effective date of the most recent conversion or continuation of such Loan or Borrowing. </w:t>
      </w:r>
    </w:p>
    <w:p>
      <w:pPr>
        <w:pStyle w:val="TextBody"/>
        <w:bidi w:val="0"/>
        <w:spacing w:before="240" w:after="0"/>
        <w:jc w:val="left"/>
        <w:rPr/>
      </w:pPr>
      <w:r>
        <w:rPr/>
        <w:t>“</w:t>
      </w:r>
      <w:r>
        <w:rPr>
          <w:rFonts w:ascii="Times New Roman" w:hAnsi="Times New Roman"/>
          <w:sz w:val="20"/>
          <w:u w:val="single"/>
        </w:rPr>
        <w:t>Internally Generated Cash</w:t>
      </w:r>
      <w:r>
        <w:rPr>
          <w:rFonts w:ascii="Times New Roman" w:hAnsi="Times New Roman"/>
          <w:sz w:val="20"/>
        </w:rPr>
        <w:t xml:space="preserve">” has the meaning assigned thereto in the definition of “Excess Cash Flow”. </w:t>
      </w:r>
    </w:p>
    <w:p>
      <w:pPr>
        <w:pStyle w:val="TextBody"/>
        <w:bidi w:val="0"/>
        <w:spacing w:before="240" w:after="0"/>
        <w:jc w:val="left"/>
        <w:rPr/>
      </w:pPr>
      <w:r>
        <w:rPr/>
        <w:t>“</w:t>
      </w:r>
      <w:r>
        <w:rPr>
          <w:rFonts w:ascii="Times New Roman" w:hAnsi="Times New Roman"/>
          <w:sz w:val="20"/>
          <w:u w:val="single"/>
        </w:rPr>
        <w:t>Investment</w:t>
      </w:r>
      <w:r>
        <w:rPr>
          <w:rFonts w:ascii="Times New Roman" w:hAnsi="Times New Roman"/>
          <w:sz w:val="20"/>
        </w:rPr>
        <w:t xml:space="preserve">” means, for any Person: (a) the acquisition (whether for cash, property, services or securities or otherwise) of capital stock, bonds, notes, debentures, partnership or other ownership interests or other securities of any other Person or any agreement to make any such acquisition (including any “short sale” or any sale of any securities at a time when such securities are not owned by the Person entering into such sale, but excluding any such agreement expressly subject to a condition that such acquisition shall not be consummated if such acquisition would constitute a Default); (b) the making of any deposit with, or advance, loan or other extension of credit to, any other Person (including the purchase of property from another Person subject to an understanding or agreement, contingent or otherwise, to resell such property to such Person), but excluding any such advance, loan or extension of credit having a term not exceeding 90 days arising in connection with the sale of inventory or supplies by such Person in the ordinary course of business; (c) the entering into of any Guarantee of, or other contingent obligation with respect to, Indebtedness or other liability of any other Person and (without duplication) any amount committed to be advanced, lent or extended to such Person; or (d) the entering into of any Hedging Agreement. </w:t>
      </w:r>
    </w:p>
    <w:p>
      <w:pPr>
        <w:pStyle w:val="TextBody"/>
        <w:bidi w:val="0"/>
        <w:spacing w:before="240" w:after="0"/>
        <w:jc w:val="left"/>
        <w:rPr/>
      </w:pPr>
      <w:r>
        <w:rPr/>
        <w:t>“</w:t>
      </w:r>
      <w:r>
        <w:rPr>
          <w:rFonts w:ascii="Times New Roman" w:hAnsi="Times New Roman"/>
          <w:sz w:val="20"/>
          <w:u w:val="single"/>
        </w:rPr>
        <w:t>IRS</w:t>
      </w:r>
      <w:r>
        <w:rPr>
          <w:rFonts w:ascii="Times New Roman" w:hAnsi="Times New Roman"/>
          <w:sz w:val="20"/>
        </w:rPr>
        <w:t xml:space="preserve">” means the United States Internal Revenue Service. </w:t>
      </w:r>
    </w:p>
    <w:p>
      <w:pPr>
        <w:pStyle w:val="TextBody"/>
        <w:bidi w:val="0"/>
        <w:spacing w:before="240" w:after="0"/>
        <w:jc w:val="left"/>
        <w:rPr/>
      </w:pPr>
      <w:r>
        <w:rPr/>
        <w:t>“</w:t>
      </w:r>
      <w:r>
        <w:rPr>
          <w:rFonts w:ascii="Times New Roman" w:hAnsi="Times New Roman"/>
          <w:sz w:val="20"/>
          <w:u w:val="single"/>
        </w:rPr>
        <w:t>ISP</w:t>
      </w:r>
      <w:r>
        <w:rPr>
          <w:rFonts w:ascii="Times New Roman" w:hAnsi="Times New Roman"/>
          <w:sz w:val="20"/>
        </w:rPr>
        <w:t xml:space="preserve">” means, with respect to any Letter of Credit, the “International Standby Practices 1998” published by the Institute of International Banking Law &amp; Practice, Inc. (or such later version thereof as may be in effect at the time of issuance of such Letter of Credit). </w:t>
      </w:r>
    </w:p>
    <w:p>
      <w:pPr>
        <w:pStyle w:val="TextBody"/>
        <w:bidi w:val="0"/>
        <w:spacing w:before="240" w:after="0"/>
        <w:jc w:val="left"/>
        <w:rPr/>
      </w:pPr>
      <w:r>
        <w:rPr/>
        <w:t>“</w:t>
      </w:r>
      <w:r>
        <w:rPr>
          <w:rFonts w:ascii="Times New Roman" w:hAnsi="Times New Roman"/>
          <w:sz w:val="20"/>
          <w:u w:val="single"/>
        </w:rPr>
        <w:t>Issuing Lender</w:t>
      </w:r>
      <w:r>
        <w:rPr>
          <w:rFonts w:ascii="Times New Roman" w:hAnsi="Times New Roman"/>
          <w:sz w:val="20"/>
        </w:rPr>
        <w:t xml:space="preserve">” means (a) with respect to each Existing Letter of Credit, the issuing lender of such Existing Letter of Credit and (b) with respect to any other Letter of Credit, any Revolving Credit Lender or other financial institution selected by GEO that is reasonably acceptable to the Administrative Agent, and which Revolving Credit Lender or other financial institution consents in writing (which consent shall be evidenced by a Lender Addendum in form and substance reasonably acceptable to the Administrative Agent executed by such Revolving Credit Lender or other financial institution agreeing to act in the capacity of an Issuing Lender) to be an “Issuing Lender” hereunder, and any successor thereof in such capacity as provided in </w:t>
      </w:r>
      <w:r>
        <w:rPr>
          <w:rFonts w:ascii="Times New Roman" w:hAnsi="Times New Roman"/>
          <w:sz w:val="20"/>
          <w:u w:val="single"/>
        </w:rPr>
        <w:t>Section 2.05(j)</w:t>
      </w:r>
      <w:r>
        <w:rPr>
          <w:rFonts w:ascii="Times New Roman" w:hAnsi="Times New Roman"/>
          <w:sz w:val="20"/>
        </w:rPr>
        <w:t xml:space="preserve">. An Issuing Lender may, in its sole discretion, arrange for one or more Letters of Credit to be issued by branches or Affiliates of such Issuing Lender, in which case the term “Issuing Lender” shall include any such branch or Affiliate with respect to Letters of Credit issued by such branch or Affiliate. Each reference herein to “the Issuing Lender” shall refer to the respective Issuing Lender of a Letter of Credit.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Joinder Agreement</w:t>
      </w:r>
      <w:r>
        <w:rPr>
          <w:rFonts w:ascii="Times New Roman" w:hAnsi="Times New Roman"/>
          <w:sz w:val="20"/>
        </w:rPr>
        <w:t xml:space="preserve">” means collectively, each joinder agreement executed in favor of the Administrative Agent for the ratable benefit of itself and the other Secured Parties, substantially in the form of </w:t>
      </w:r>
      <w:r>
        <w:rPr>
          <w:rFonts w:ascii="Times New Roman" w:hAnsi="Times New Roman"/>
          <w:sz w:val="20"/>
          <w:u w:val="single"/>
        </w:rPr>
        <w:t>Exhibit 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Joint and Several Obligations</w:t>
      </w:r>
      <w:r>
        <w:rPr>
          <w:rFonts w:ascii="Times New Roman" w:hAnsi="Times New Roman"/>
          <w:sz w:val="20"/>
        </w:rPr>
        <w:t xml:space="preserve">” has the meaning assigned thereto in </w:t>
      </w:r>
      <w:r>
        <w:rPr>
          <w:rFonts w:ascii="Times New Roman" w:hAnsi="Times New Roman"/>
          <w:sz w:val="20"/>
          <w:u w:val="single"/>
        </w:rPr>
        <w:t>Section 2.21(a)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Law</w:t>
      </w:r>
      <w:r>
        <w:rPr>
          <w:rFonts w:ascii="Times New Roman" w:hAnsi="Times New Roman"/>
          <w:sz w:val="20"/>
        </w:rPr>
        <w:t xml:space="preserve">” means,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 </w:t>
      </w:r>
    </w:p>
    <w:p>
      <w:pPr>
        <w:pStyle w:val="TextBody"/>
        <w:bidi w:val="0"/>
        <w:spacing w:before="240" w:after="0"/>
        <w:jc w:val="left"/>
        <w:rPr/>
      </w:pPr>
      <w:r>
        <w:rPr/>
        <w:t>“</w:t>
      </w:r>
      <w:r>
        <w:rPr>
          <w:rFonts w:ascii="Times New Roman" w:hAnsi="Times New Roman"/>
          <w:sz w:val="20"/>
          <w:u w:val="single"/>
        </w:rPr>
        <w:t>LC Disbursement</w:t>
      </w:r>
      <w:r>
        <w:rPr>
          <w:rFonts w:ascii="Times New Roman" w:hAnsi="Times New Roman"/>
          <w:sz w:val="20"/>
        </w:rPr>
        <w:t xml:space="preserve">” means a payment made by an Issuing Lender pursuant to a Letter of Credit. </w:t>
      </w:r>
    </w:p>
    <w:p>
      <w:pPr>
        <w:pStyle w:val="TextBody"/>
        <w:bidi w:val="0"/>
        <w:spacing w:before="240" w:after="0"/>
        <w:jc w:val="left"/>
        <w:rPr/>
      </w:pPr>
      <w:r>
        <w:rPr/>
        <w:t>“</w:t>
      </w:r>
      <w:r>
        <w:rPr>
          <w:rFonts w:ascii="Times New Roman" w:hAnsi="Times New Roman"/>
          <w:sz w:val="20"/>
          <w:u w:val="single"/>
        </w:rPr>
        <w:t>LC Exposure</w:t>
      </w:r>
      <w:r>
        <w:rPr>
          <w:rFonts w:ascii="Times New Roman" w:hAnsi="Times New Roman"/>
          <w:sz w:val="20"/>
        </w:rPr>
        <w:t xml:space="preserve">” means, at any time, the sum of (a) the aggregate undrawn amount of all outstanding Letters of Credit at such time </w:t>
      </w:r>
      <w:r>
        <w:rPr>
          <w:rFonts w:ascii="Times New Roman" w:hAnsi="Times New Roman"/>
          <w:sz w:val="20"/>
          <w:u w:val="single"/>
        </w:rPr>
        <w:t>plus</w:t>
      </w:r>
      <w:r>
        <w:rPr>
          <w:rFonts w:ascii="Times New Roman" w:hAnsi="Times New Roman"/>
          <w:sz w:val="20"/>
        </w:rPr>
        <w:t xml:space="preserve"> (b) the aggregate amount of all LC Disbursements that have not yet been reimbursed by or on behalf of the Borrowers at such time. For purposes of computing the amount available to be drawn under any Letter of Credit, the amount of such Letter of Credit shall be determined in accordance with </w:t>
      </w:r>
      <w:r>
        <w:rPr>
          <w:rFonts w:ascii="Times New Roman" w:hAnsi="Times New Roman"/>
          <w:sz w:val="20"/>
          <w:u w:val="single"/>
        </w:rPr>
        <w:t>Section 1.07</w:t>
      </w:r>
      <w:r>
        <w:rPr>
          <w:rFonts w:ascii="Times New Roman" w:hAnsi="Times New Roman"/>
          <w:sz w:val="20"/>
        </w:rPr>
        <w:t xml:space="preserve">. The LC Exposure of any Lender at any time shall be its Applicable Percentage of the total LC Exposure at such time. </w:t>
      </w:r>
    </w:p>
    <w:p>
      <w:pPr>
        <w:pStyle w:val="TextBody"/>
        <w:bidi w:val="0"/>
        <w:spacing w:before="240" w:after="0"/>
        <w:jc w:val="left"/>
        <w:rPr/>
      </w:pPr>
      <w:r>
        <w:rPr/>
        <w:t>“</w:t>
      </w:r>
      <w:r>
        <w:rPr>
          <w:rFonts w:ascii="Times New Roman" w:hAnsi="Times New Roman"/>
          <w:sz w:val="20"/>
          <w:u w:val="single"/>
        </w:rPr>
        <w:t>LC Sublimit</w:t>
      </w:r>
      <w:r>
        <w:rPr>
          <w:rFonts w:ascii="Times New Roman" w:hAnsi="Times New Roman"/>
          <w:sz w:val="20"/>
        </w:rPr>
        <w:t xml:space="preserve">” means $225,000,000. </w:t>
      </w:r>
    </w:p>
    <w:p>
      <w:pPr>
        <w:pStyle w:val="TextBody"/>
        <w:bidi w:val="0"/>
        <w:spacing w:before="240" w:after="0"/>
        <w:jc w:val="left"/>
        <w:rPr/>
      </w:pPr>
      <w:r>
        <w:rPr/>
        <w:t>“</w:t>
      </w:r>
      <w:r>
        <w:rPr>
          <w:rFonts w:ascii="Times New Roman" w:hAnsi="Times New Roman"/>
          <w:sz w:val="20"/>
          <w:u w:val="single"/>
        </w:rPr>
        <w:t>Lead Arrangers</w:t>
      </w:r>
      <w:r>
        <w:rPr>
          <w:rFonts w:ascii="Times New Roman" w:hAnsi="Times New Roman"/>
          <w:sz w:val="20"/>
        </w:rPr>
        <w:t xml:space="preserve">” means [***], each in its capacity as a joint lead arranger and bookrunner of the credit facilities established under this Agreement. </w:t>
      </w:r>
    </w:p>
    <w:p>
      <w:pPr>
        <w:pStyle w:val="TextBody"/>
        <w:bidi w:val="0"/>
        <w:spacing w:before="240" w:after="0"/>
        <w:jc w:val="left"/>
        <w:rPr/>
      </w:pPr>
      <w:r>
        <w:rPr/>
        <w:t>“</w:t>
      </w:r>
      <w:r>
        <w:rPr>
          <w:rFonts w:ascii="Times New Roman" w:hAnsi="Times New Roman"/>
          <w:sz w:val="20"/>
          <w:u w:val="single"/>
        </w:rPr>
        <w:t>Left Lead Arranger</w:t>
      </w:r>
      <w:r>
        <w:rPr>
          <w:rFonts w:ascii="Times New Roman" w:hAnsi="Times New Roman"/>
          <w:sz w:val="20"/>
        </w:rPr>
        <w:t xml:space="preserve">” means [***], in its capacity as left lead arranger and bookrunner of the credit facilities established under this Agreement. </w:t>
      </w:r>
    </w:p>
    <w:p>
      <w:pPr>
        <w:pStyle w:val="TextBody"/>
        <w:bidi w:val="0"/>
        <w:spacing w:before="240" w:after="0"/>
        <w:jc w:val="left"/>
        <w:rPr/>
      </w:pPr>
      <w:r>
        <w:rPr/>
        <w:t>“</w:t>
      </w:r>
      <w:r>
        <w:rPr>
          <w:rFonts w:ascii="Times New Roman" w:hAnsi="Times New Roman"/>
          <w:sz w:val="20"/>
          <w:u w:val="single"/>
        </w:rPr>
        <w:t>Lender</w:t>
      </w:r>
      <w:r>
        <w:rPr>
          <w:rFonts w:ascii="Times New Roman" w:hAnsi="Times New Roman"/>
          <w:sz w:val="20"/>
        </w:rPr>
        <w:t xml:space="preserve">” means each Person that shall have become a party to this Agreement as a Lender (including pursuant to a Lender Addendum), including, without limitation, each Term Lender, each Revolving Credit Lender, any Issuing Lender, the Swingline Lender (unless the context otherwise requires), any Incremental Lender and each other Person that shall have become a party hereto as a Lender, including pursuant to an Incremental Term Loan Amendment, a Revolving Credit Commitment Increase, a Refinancing Revolving Credit Commitments Amendment, a Refinancing Term Loan Amendment, or an Assignment and Assumption, in each case other than any such Person that ceases to be a party hereto pursuant to an Assignment and Assumption or otherwise as a result of such Person ceasing to hold any Commitments, any Revolving Credit Exposure, any Loans or other amounts due and payable in respect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Lender Addendum</w:t>
      </w:r>
      <w:r>
        <w:rPr>
          <w:rFonts w:ascii="Times New Roman" w:hAnsi="Times New Roman"/>
          <w:sz w:val="20"/>
        </w:rPr>
        <w:t xml:space="preserve">” means a Lender Addendum to this Agreement (or to any consent, waiver, amendment or supplement in respect of this Agreement and/or the other Loan Documents) in the form of </w:t>
      </w:r>
      <w:r>
        <w:rPr>
          <w:rFonts w:ascii="Times New Roman" w:hAnsi="Times New Roman"/>
          <w:sz w:val="20"/>
          <w:u w:val="single"/>
        </w:rPr>
        <w:t>Exhibit D</w:t>
      </w:r>
      <w:r>
        <w:rPr>
          <w:rFonts w:ascii="Times New Roman" w:hAnsi="Times New Roman"/>
          <w:sz w:val="20"/>
        </w:rPr>
        <w:t xml:space="preserve"> or any other form approved by the Administrative Agent, to be executed and delivered by each applicable Lender as provided in </w:t>
      </w:r>
      <w:r>
        <w:rPr>
          <w:rFonts w:ascii="Times New Roman" w:hAnsi="Times New Roman"/>
          <w:sz w:val="20"/>
          <w:u w:val="single"/>
        </w:rPr>
        <w:t>Section 9.06(b)</w:t>
      </w:r>
      <w:r>
        <w:rPr>
          <w:rFonts w:ascii="Times New Roman" w:hAnsi="Times New Roman"/>
          <w:sz w:val="20"/>
        </w:rPr>
        <w:t xml:space="preserve"> (or in any such consent, waiver or amendment, as applicable). </w:t>
      </w:r>
    </w:p>
    <w:p>
      <w:pPr>
        <w:pStyle w:val="TextBody"/>
        <w:bidi w:val="0"/>
        <w:spacing w:before="240" w:after="0"/>
        <w:jc w:val="left"/>
        <w:rPr/>
      </w:pPr>
      <w:r>
        <w:rPr/>
        <w:t>“</w:t>
      </w:r>
      <w:r>
        <w:rPr>
          <w:rFonts w:ascii="Times New Roman" w:hAnsi="Times New Roman"/>
          <w:sz w:val="20"/>
          <w:u w:val="single"/>
        </w:rPr>
        <w:t>Letter of Credit</w:t>
      </w:r>
      <w:r>
        <w:rPr>
          <w:rFonts w:ascii="Times New Roman" w:hAnsi="Times New Roman"/>
          <w:sz w:val="20"/>
        </w:rPr>
        <w:t xml:space="preserve">” means (i) any Existing Letter of Credit, (ii) any other letter of credit issued, extended or renewed by an Issuing Lender pursuant to this Agreement and (iii) any Rollover Letter of Credit to the extent permitted to be deemed issued hereunder. </w:t>
      </w:r>
    </w:p>
    <w:p>
      <w:pPr>
        <w:pStyle w:val="TextBody"/>
        <w:bidi w:val="0"/>
        <w:spacing w:before="240" w:after="0"/>
        <w:jc w:val="left"/>
        <w:rPr/>
      </w:pPr>
      <w:r>
        <w:rPr/>
        <w:t>“</w:t>
      </w:r>
      <w:r>
        <w:rPr>
          <w:rFonts w:ascii="Times New Roman" w:hAnsi="Times New Roman"/>
          <w:sz w:val="20"/>
          <w:u w:val="single"/>
        </w:rPr>
        <w:t>Letter of Credit Documents</w:t>
      </w:r>
      <w:r>
        <w:rPr>
          <w:rFonts w:ascii="Times New Roman" w:hAnsi="Times New Roman"/>
          <w:sz w:val="20"/>
        </w:rPr>
        <w:t xml:space="preserve">” means, with respect to any Letter of Credit, collectively, any application therefor and any other agreements, instruments, guarantees or other documents (whether general in application or applicable only to such Letter of Credit) governing or providing for (a) the rights and obligations of the parties concerned or at risk with respect to such Letter of Credit or (b) any collateral security for any of such obligations. </w:t>
      </w:r>
    </w:p>
    <w:p>
      <w:pPr>
        <w:pStyle w:val="TextBody"/>
        <w:bidi w:val="0"/>
        <w:spacing w:before="240" w:after="0"/>
        <w:jc w:val="left"/>
        <w:rPr/>
      </w:pPr>
      <w:r>
        <w:rPr/>
        <w:t>“</w:t>
      </w:r>
      <w:r>
        <w:rPr>
          <w:rFonts w:ascii="Times New Roman" w:hAnsi="Times New Roman"/>
          <w:sz w:val="20"/>
          <w:u w:val="single"/>
        </w:rPr>
        <w:t>Lien</w:t>
      </w:r>
      <w:r>
        <w:rPr>
          <w:rFonts w:ascii="Times New Roman" w:hAnsi="Times New Roman"/>
          <w:sz w:val="20"/>
        </w:rPr>
        <w:t xml:space="preserve">” means, with respect to any asset, (a) any mortgage, deed of trust, lien, pledge, hypothecation, encumbrance, collateral assignment, charge or security interest in, on or of such asset, (b) the interest of a vendor or a lessor under any conditional sale agreement, capital lease or title retention agreement (or any financing lease having substantially the same economic effect as any of the foregoing) relating to such asset and (c) in the case of securities, any purchase option, call or similar right of a third party with respect to such securities, other than customary rights of a third party to acquire Equity Interests in a Subsidiary pursuant to an agreement for a sale of such Equity Interests permitted hereunder. </w:t>
      </w:r>
    </w:p>
    <w:p>
      <w:pPr>
        <w:pStyle w:val="TextBody"/>
        <w:bidi w:val="0"/>
        <w:spacing w:before="240" w:after="0"/>
        <w:jc w:val="left"/>
        <w:rPr/>
      </w:pPr>
      <w:r>
        <w:rPr/>
        <w:t>“</w:t>
      </w:r>
      <w:r>
        <w:rPr>
          <w:rFonts w:ascii="Times New Roman" w:hAnsi="Times New Roman"/>
          <w:sz w:val="20"/>
          <w:u w:val="single"/>
        </w:rPr>
        <w:t>Loan Documents</w:t>
      </w:r>
      <w:r>
        <w:rPr>
          <w:rFonts w:ascii="Times New Roman" w:hAnsi="Times New Roman"/>
          <w:sz w:val="20"/>
        </w:rPr>
        <w:t xml:space="preserve">” means, collectively, (a) this Agreement, the Letter of Credit Documents, the Notes, the Security Documents, the Fee Letter, each Incremental Term Loan Amendment, each Refinancing Revolving Credit Commitments Amendment, each Refinancing Term Loan Amendment, each Borrowing Request, the Intercreditor Agreements, each certificate delivered by an authorized officer of any Loan Party pursuant to any other Loan Document, and any other document executed and/or delivered by or on behalf of any Loan Party in connection with the foregoing if expressly designated as a “Loan Document” therein, and (b) solely for purposes of each of Sections 4, 5, 6, 12(g) and 25 of the Guaranty Agreement, Sections 7.4(d), 7.11 and 7.14(a) of the Collateral Agreement and Sections 15 and 25 of the Collateral Assignment, the definitive documentation for the Cash Management Obligations. </w:t>
      </w:r>
    </w:p>
    <w:p>
      <w:pPr>
        <w:pStyle w:val="TextBody"/>
        <w:bidi w:val="0"/>
        <w:spacing w:before="240" w:after="0"/>
        <w:jc w:val="left"/>
        <w:rPr/>
      </w:pPr>
      <w:r>
        <w:rPr/>
        <w:t>“</w:t>
      </w:r>
      <w:r>
        <w:rPr>
          <w:rFonts w:ascii="Times New Roman" w:hAnsi="Times New Roman"/>
          <w:sz w:val="20"/>
          <w:u w:val="single"/>
        </w:rPr>
        <w:t>Loan Parties</w:t>
      </w:r>
      <w:r>
        <w:rPr>
          <w:rFonts w:ascii="Times New Roman" w:hAnsi="Times New Roman"/>
          <w:sz w:val="20"/>
        </w:rPr>
        <w:t xml:space="preserve">” means, collectively, the Borrowers and the Guarantors. </w:t>
      </w:r>
    </w:p>
    <w:p>
      <w:pPr>
        <w:pStyle w:val="TextBody"/>
        <w:bidi w:val="0"/>
        <w:spacing w:before="240" w:after="0"/>
        <w:jc w:val="left"/>
        <w:rPr/>
      </w:pPr>
      <w:r>
        <w:rPr/>
        <w:t>“</w:t>
      </w:r>
      <w:r>
        <w:rPr>
          <w:rFonts w:ascii="Times New Roman" w:hAnsi="Times New Roman"/>
          <w:sz w:val="20"/>
          <w:u w:val="single"/>
        </w:rPr>
        <w:t>Loans</w:t>
      </w:r>
      <w:r>
        <w:rPr>
          <w:rFonts w:ascii="Times New Roman" w:hAnsi="Times New Roman"/>
          <w:sz w:val="20"/>
        </w:rPr>
        <w:t xml:space="preserve">” means the loans made by Lenders pursuant to this Agreement, including the Term Loans, the Revolving Credit Loans, any Incremental Term Loans of any Series, any Refinancing Term Loans and any loans made under any Refinancing Revolving Credit Commitments. </w:t>
      </w:r>
    </w:p>
    <w:p>
      <w:pPr>
        <w:pStyle w:val="TextBody"/>
        <w:bidi w:val="0"/>
        <w:spacing w:before="240" w:after="0"/>
        <w:jc w:val="left"/>
        <w:rPr/>
      </w:pPr>
      <w:r>
        <w:rPr/>
        <w:t>“</w:t>
      </w:r>
      <w:r>
        <w:rPr>
          <w:rFonts w:ascii="Times New Roman" w:hAnsi="Times New Roman"/>
          <w:sz w:val="20"/>
          <w:u w:val="single"/>
        </w:rPr>
        <w:t>Margin Stock</w:t>
      </w:r>
      <w:r>
        <w:rPr>
          <w:rFonts w:ascii="Times New Roman" w:hAnsi="Times New Roman"/>
          <w:sz w:val="20"/>
        </w:rPr>
        <w:t xml:space="preserve">” means “margin stock” within the meaning of Regulations T, U and X of the Board.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Material Adverse Effect</w:t>
      </w:r>
      <w:r>
        <w:rPr>
          <w:rFonts w:ascii="Times New Roman" w:hAnsi="Times New Roman"/>
          <w:sz w:val="20"/>
        </w:rPr>
        <w:t xml:space="preserve">” means a material adverse effect on (a) the business, assets, operations or condition, financial or otherwise, of GEO and its Subsidiaries taken as a whole, (b) the ability of GEO and the Restricted Subsidiaries, taken as a whole, to pay any of their obligations under this Agreement or any of the other Loan Documents to which it is a party, (c) the legality, validity, binding effect or enforceability of this Agreement or any of the other Loan Documents, (d) the rights of or benefits available to the Lenders under this Agreement or any of the other Loan Documents, or (e) the ability of GEO and its Restricted Subsidiaries, taken as a whole, to satisfy the obligation to grant a first lien mortgage lien on its Material Real Property in favor of the Administrative Agent, on behalf of the Lenders, upon the occurrence of Springing Mortgage Trigger Event, as required by </w:t>
      </w:r>
      <w:r>
        <w:rPr>
          <w:rFonts w:ascii="Times New Roman" w:hAnsi="Times New Roman"/>
          <w:sz w:val="20"/>
          <w:u w:val="single"/>
        </w:rPr>
        <w:t>Section 5.11(b)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Material Contract</w:t>
      </w:r>
      <w:r>
        <w:rPr>
          <w:rFonts w:ascii="Times New Roman" w:hAnsi="Times New Roman"/>
          <w:sz w:val="20"/>
        </w:rPr>
        <w:t xml:space="preserve">” means (a) any Material Government Contract or (b) any other contract or agreement, written or oral, of GEO or any of its Restricted Subsidiaries the failure to comply with which could reasonably be expected to have a Material Adverse Effect. </w:t>
      </w:r>
    </w:p>
    <w:p>
      <w:pPr>
        <w:pStyle w:val="TextBody"/>
        <w:bidi w:val="0"/>
        <w:spacing w:before="240" w:after="0"/>
        <w:jc w:val="left"/>
        <w:rPr/>
      </w:pPr>
      <w:r>
        <w:rPr/>
        <w:t>“</w:t>
      </w:r>
      <w:r>
        <w:rPr>
          <w:rFonts w:ascii="Times New Roman" w:hAnsi="Times New Roman"/>
          <w:sz w:val="20"/>
          <w:u w:val="single"/>
        </w:rPr>
        <w:t>Material Government Contract</w:t>
      </w:r>
      <w:r>
        <w:rPr>
          <w:rFonts w:ascii="Times New Roman" w:hAnsi="Times New Roman"/>
          <w:sz w:val="20"/>
        </w:rPr>
        <w:t xml:space="preserve">” means any Government Contract, with respect to which the aggregate amount of EBITDA reasonably attributable to such Government Contract for the four fiscal quarters ending on or most recently ended prior to any date of determination is greater than 10% of EBITDA for the same four fiscal quarter period. </w:t>
      </w:r>
    </w:p>
    <w:p>
      <w:pPr>
        <w:pStyle w:val="TextBody"/>
        <w:bidi w:val="0"/>
        <w:spacing w:before="240" w:after="0"/>
        <w:jc w:val="left"/>
        <w:rPr/>
      </w:pPr>
      <w:r>
        <w:rPr/>
        <w:t>“</w:t>
      </w:r>
      <w:r>
        <w:rPr>
          <w:rFonts w:ascii="Times New Roman" w:hAnsi="Times New Roman"/>
          <w:sz w:val="20"/>
          <w:u w:val="single"/>
        </w:rPr>
        <w:t>Material Indebtedness</w:t>
      </w:r>
      <w:r>
        <w:rPr>
          <w:rFonts w:ascii="Times New Roman" w:hAnsi="Times New Roman"/>
          <w:sz w:val="20"/>
        </w:rPr>
        <w:t>” means Indebtedness (other than the Loans and Letters of Credit) or obligations in respect of one or more Hedging Agreements, of any one or more of GEO and its Restricted Subsidiaries (including Unrestricted Subsidiary Debt and any such obligations of Unrestricted Subsidiaries that are Guaranteed by GEO or any Restricted Subsidiary) in an aggregate principal amount exceeding $50,000,000. For purposes of determining Material Indebtedness, the “</w:t>
      </w:r>
      <w:r>
        <w:rPr>
          <w:rFonts w:ascii="Times New Roman" w:hAnsi="Times New Roman"/>
          <w:sz w:val="20"/>
          <w:u w:val="single"/>
        </w:rPr>
        <w:t>principal amount</w:t>
      </w:r>
      <w:r>
        <w:rPr>
          <w:rFonts w:ascii="Times New Roman" w:hAnsi="Times New Roman"/>
          <w:sz w:val="20"/>
        </w:rPr>
        <w:t xml:space="preserve">” of the obligations of any Person in respect of any Hedging Agreement at any time shall be the maximum aggregate amount (giving effect to any netting agreements) that such Person would be required to pay if such Hedging Agreement were terminated at such time. </w:t>
      </w:r>
    </w:p>
    <w:p>
      <w:pPr>
        <w:pStyle w:val="TextBody"/>
        <w:bidi w:val="0"/>
        <w:spacing w:before="240" w:after="0"/>
        <w:jc w:val="left"/>
        <w:rPr/>
      </w:pPr>
      <w:r>
        <w:rPr/>
        <w:t>“</w:t>
      </w:r>
      <w:r>
        <w:rPr>
          <w:rFonts w:ascii="Times New Roman" w:hAnsi="Times New Roman"/>
          <w:sz w:val="20"/>
          <w:u w:val="single"/>
        </w:rPr>
        <w:t>Material Intellectual Property</w:t>
      </w:r>
      <w:r>
        <w:rPr>
          <w:rFonts w:ascii="Times New Roman" w:hAnsi="Times New Roman"/>
          <w:sz w:val="20"/>
        </w:rPr>
        <w:t xml:space="preserve">” means any intellectual property that is material to the operations or businesses of GEO and its Subsidiaries taken as a whole. </w:t>
      </w:r>
    </w:p>
    <w:p>
      <w:pPr>
        <w:pStyle w:val="TextBody"/>
        <w:bidi w:val="0"/>
        <w:spacing w:before="240" w:after="0"/>
        <w:jc w:val="left"/>
        <w:rPr/>
      </w:pPr>
      <w:r>
        <w:rPr/>
        <w:t>“</w:t>
      </w:r>
      <w:r>
        <w:rPr>
          <w:rFonts w:ascii="Times New Roman" w:hAnsi="Times New Roman"/>
          <w:sz w:val="20"/>
          <w:u w:val="single"/>
        </w:rPr>
        <w:t>Material Real Property</w:t>
      </w:r>
      <w:r>
        <w:rPr>
          <w:rFonts w:ascii="Times New Roman" w:hAnsi="Times New Roman"/>
          <w:sz w:val="20"/>
        </w:rPr>
        <w:t xml:space="preserve">” means: </w:t>
      </w:r>
    </w:p>
    <w:p>
      <w:pPr>
        <w:pStyle w:val="TextBody"/>
        <w:bidi w:val="0"/>
        <w:spacing w:before="120" w:after="0"/>
        <w:jc w:val="left"/>
        <w:rPr>
          <w:rFonts w:ascii="Times New Roman" w:hAnsi="Times New Roman"/>
          <w:sz w:val="20"/>
        </w:rPr>
      </w:pPr>
      <w:r>
        <w:rPr>
          <w:rFonts w:ascii="Times New Roman" w:hAnsi="Times New Roman"/>
          <w:sz w:val="20"/>
        </w:rPr>
        <w:t>(a) prior to the Discharge of 2029 Senior Notes, any domestic real property interest, including improvements, owned or leased by a Borrower or any Guarantor that has a net book value in excess of $10,000,000 or (ii) any domestic real property owned or leased by a Borrower or any Guarantor that is to be secured by a Mortgage such that after giving effect to such Mortgage, the Collateral includes at least 80% of the net book value of the domestic real property interests of the Borrowers and the Guarantors, whichever of clause (i) or (ii) represents a greater proportion of the net book value of all domestic real property interests of the Borrowers and the Guarantors (the “</w:t>
      </w:r>
      <w:r>
        <w:rPr>
          <w:rFonts w:ascii="Times New Roman" w:hAnsi="Times New Roman"/>
          <w:sz w:val="20"/>
          <w:u w:val="single"/>
        </w:rPr>
        <w:t>Initial Material Real Property Threshold</w:t>
      </w:r>
      <w:r>
        <w:rPr>
          <w:rFonts w:ascii="Times New Roman" w:hAnsi="Times New Roman"/>
          <w:sz w:val="20"/>
        </w:rPr>
        <w:t xml:space="preserve">”); and </w:t>
      </w:r>
    </w:p>
    <w:p>
      <w:pPr>
        <w:pStyle w:val="TextBody"/>
        <w:bidi w:val="0"/>
        <w:spacing w:before="240" w:after="0"/>
        <w:jc w:val="left"/>
        <w:rPr>
          <w:rFonts w:ascii="Times New Roman" w:hAnsi="Times New Roman"/>
          <w:sz w:val="20"/>
        </w:rPr>
      </w:pPr>
      <w:r>
        <w:rPr>
          <w:rFonts w:ascii="Times New Roman" w:hAnsi="Times New Roman"/>
          <w:sz w:val="20"/>
        </w:rPr>
        <w:t xml:space="preserve">(b) on and after the Discharge of 2029 Senior Notes, any one or more domestic real property interests, including improvements, owned or leased by a Borrower or any Guarantor that is designated by Borrower to be secured by a Mortgage pursuant to </w:t>
      </w:r>
      <w:r>
        <w:rPr>
          <w:rFonts w:ascii="Times New Roman" w:hAnsi="Times New Roman"/>
          <w:sz w:val="20"/>
          <w:u w:val="single"/>
        </w:rPr>
        <w:t>Section 5.11(b</w:t>
      </w:r>
      <w:r>
        <w:rPr>
          <w:rFonts w:ascii="Times New Roman" w:hAnsi="Times New Roman"/>
          <w:sz w:val="20"/>
        </w:rPr>
        <w:t>), such that after giving effect to all such Mortgages, the Collateral has an aggregate appraised value which demonstrates to Administrative Agent’s satisfaction a loan to value of 50% or less, as evidenced by a third party real estate appraisal for each property in form and substance reasonably acceptable to Administrative Agent and calculated by giving effect to all Commitments, all Term Loans, all Incremental Term Loans, and any Incremental Equivalent Debt that is secured on a pari passu basis with the Liens securing the Obligations (the “</w:t>
      </w:r>
      <w:r>
        <w:rPr>
          <w:rFonts w:ascii="Times New Roman" w:hAnsi="Times New Roman"/>
          <w:sz w:val="20"/>
          <w:u w:val="single"/>
        </w:rPr>
        <w:t>Springing Material Real Property Threshold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however, that, no Excluded Real Property shall constitute “Material Real Property” for purposes of this Agreement and the other Loan Documents. </w:t>
      </w:r>
    </w:p>
    <w:p>
      <w:pPr>
        <w:pStyle w:val="TextBody"/>
        <w:bidi w:val="0"/>
        <w:spacing w:before="240" w:after="0"/>
        <w:jc w:val="left"/>
        <w:rPr/>
      </w:pPr>
      <w:r>
        <w:rPr/>
        <w:t>“</w:t>
      </w:r>
      <w:r>
        <w:rPr>
          <w:rFonts w:ascii="Times New Roman" w:hAnsi="Times New Roman"/>
          <w:sz w:val="20"/>
          <w:u w:val="single"/>
        </w:rPr>
        <w:t>Maturity Date</w:t>
      </w:r>
      <w:r>
        <w:rPr>
          <w:rFonts w:ascii="Times New Roman" w:hAnsi="Times New Roman"/>
          <w:sz w:val="20"/>
        </w:rPr>
        <w:t xml:space="preserve">” means (i) with respect to a Term Loan, the applicable Term Loan Maturity Date and (ii) with respect to the Revolving Credit Commitments, the Revolving Credit Commitment Termination Date. </w:t>
      </w:r>
    </w:p>
    <w:p>
      <w:pPr>
        <w:pStyle w:val="TextBody"/>
        <w:bidi w:val="0"/>
        <w:spacing w:before="240" w:after="0"/>
        <w:jc w:val="left"/>
        <w:rPr/>
      </w:pPr>
      <w:r>
        <w:rPr/>
        <w:t>“</w:t>
      </w:r>
      <w:r>
        <w:rPr>
          <w:rFonts w:ascii="Times New Roman" w:hAnsi="Times New Roman"/>
          <w:sz w:val="20"/>
          <w:u w:val="single"/>
        </w:rPr>
        <w:t>Maturity Reserve Condition</w:t>
      </w:r>
      <w:r>
        <w:rPr>
          <w:rFonts w:ascii="Times New Roman" w:hAnsi="Times New Roman"/>
          <w:sz w:val="20"/>
        </w:rPr>
        <w:t xml:space="preserve">” has the meaning assigned thereto in the definition of “Revolving Credit Commitment Termination Date”. </w:t>
      </w:r>
    </w:p>
    <w:p>
      <w:pPr>
        <w:pStyle w:val="TextBody"/>
        <w:bidi w:val="0"/>
        <w:spacing w:before="240" w:after="0"/>
        <w:jc w:val="left"/>
        <w:rPr/>
      </w:pPr>
      <w:r>
        <w:rPr/>
        <w:t>“</w:t>
      </w:r>
      <w:r>
        <w:rPr>
          <w:rFonts w:ascii="Times New Roman" w:hAnsi="Times New Roman"/>
          <w:sz w:val="20"/>
          <w:u w:val="single"/>
        </w:rPr>
        <w:t>Maximum Rate</w:t>
      </w:r>
      <w:r>
        <w:rPr>
          <w:rFonts w:ascii="Times New Roman" w:hAnsi="Times New Roman"/>
          <w:sz w:val="20"/>
        </w:rPr>
        <w:t xml:space="preserve">” has the meaning assigned thereto in </w:t>
      </w:r>
      <w:r>
        <w:rPr>
          <w:rFonts w:ascii="Times New Roman" w:hAnsi="Times New Roman"/>
          <w:sz w:val="20"/>
          <w:u w:val="single"/>
        </w:rPr>
        <w:t>Section 9.14</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MNPI</w:t>
      </w:r>
      <w:r>
        <w:rPr>
          <w:rFonts w:ascii="Times New Roman" w:hAnsi="Times New Roman"/>
          <w:sz w:val="20"/>
        </w:rPr>
        <w:t xml:space="preserve">” has the meaning assigned thereto in </w:t>
      </w:r>
      <w:r>
        <w:rPr>
          <w:rFonts w:ascii="Times New Roman" w:hAnsi="Times New Roman"/>
          <w:sz w:val="20"/>
          <w:u w:val="single"/>
        </w:rPr>
        <w:t>Section 9.01(d)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Moody’s</w:t>
      </w:r>
      <w:r>
        <w:rPr>
          <w:rFonts w:ascii="Times New Roman" w:hAnsi="Times New Roman"/>
          <w:sz w:val="20"/>
        </w:rPr>
        <w:t xml:space="preserve">” means Moody’s Investors Service, Inc. </w:t>
      </w:r>
    </w:p>
    <w:p>
      <w:pPr>
        <w:pStyle w:val="TextBody"/>
        <w:bidi w:val="0"/>
        <w:spacing w:before="240" w:after="0"/>
        <w:jc w:val="left"/>
        <w:rPr/>
      </w:pPr>
      <w:r>
        <w:rPr/>
        <w:t>“</w:t>
      </w:r>
      <w:r>
        <w:rPr>
          <w:rFonts w:ascii="Times New Roman" w:hAnsi="Times New Roman"/>
          <w:sz w:val="20"/>
          <w:u w:val="single"/>
        </w:rPr>
        <w:t>Mortgage Amendment</w:t>
      </w:r>
      <w:r>
        <w:rPr>
          <w:rFonts w:ascii="Times New Roman" w:hAnsi="Times New Roman"/>
          <w:sz w:val="20"/>
        </w:rPr>
        <w:t xml:space="preserve">” has the meaning assigned thereto in </w:t>
      </w:r>
      <w:r>
        <w:rPr>
          <w:rFonts w:ascii="Times New Roman" w:hAnsi="Times New Roman"/>
          <w:sz w:val="20"/>
          <w:u w:val="single"/>
        </w:rPr>
        <w:t>Section 5.11(c)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Mortgages</w:t>
      </w:r>
      <w:r>
        <w:rPr>
          <w:rFonts w:ascii="Times New Roman" w:hAnsi="Times New Roman"/>
          <w:sz w:val="20"/>
        </w:rPr>
        <w:t xml:space="preserve">” means, collectively, one or more mortgages and deeds of trust (or equivalent instruments), including any Mortgage Amendments, in form and substance reasonably satisfactory to the Administrative Agent (each with such changes as may be appropriate in the applicable jurisdiction), executed by a Borrower or a Guarantor in favor of the Administrative Agent for the benefit of the Secured Parties, as any such document may be amended, restated, supplemented or otherwise modified from time to time, and covering (i) as of the Effective Date, the properties and leasehold interests identified in </w:t>
      </w:r>
      <w:r>
        <w:rPr>
          <w:rFonts w:ascii="Times New Roman" w:hAnsi="Times New Roman"/>
          <w:sz w:val="20"/>
          <w:u w:val="single"/>
        </w:rPr>
        <w:t>Part A</w:t>
      </w:r>
      <w:r>
        <w:rPr>
          <w:rFonts w:ascii="Times New Roman" w:hAnsi="Times New Roman"/>
          <w:sz w:val="20"/>
        </w:rPr>
        <w:t xml:space="preserve"> of </w:t>
      </w:r>
      <w:r>
        <w:rPr>
          <w:rFonts w:ascii="Times New Roman" w:hAnsi="Times New Roman"/>
          <w:sz w:val="20"/>
          <w:u w:val="single"/>
        </w:rPr>
        <w:t>Schedule 3.17</w:t>
      </w:r>
      <w:r>
        <w:rPr>
          <w:rFonts w:ascii="Times New Roman" w:hAnsi="Times New Roman"/>
          <w:sz w:val="20"/>
        </w:rPr>
        <w:t xml:space="preserve"> of the Disclosure Supplement and (ii) thereafter, the properties and leasehold interests of the Borrowers and the Guarantors which constitute Material Real Property and are required to be subject to the Lien of a Mortgage in accordance with the terms hereof (the Mortgages referred to in this </w:t>
      </w:r>
      <w:r>
        <w:rPr>
          <w:rFonts w:ascii="Times New Roman" w:hAnsi="Times New Roman"/>
          <w:sz w:val="20"/>
          <w:u w:val="single"/>
        </w:rPr>
        <w:t>clause (ii)</w:t>
      </w:r>
      <w:r>
        <w:rPr>
          <w:rFonts w:ascii="Times New Roman" w:hAnsi="Times New Roman"/>
          <w:sz w:val="20"/>
        </w:rPr>
        <w:t>, the “</w:t>
      </w:r>
      <w:r>
        <w:rPr>
          <w:rFonts w:ascii="Times New Roman" w:hAnsi="Times New Roman"/>
          <w:sz w:val="20"/>
          <w:u w:val="single"/>
        </w:rPr>
        <w:t>Additional Mortgages</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Multiemployer Plan</w:t>
      </w:r>
      <w:r>
        <w:rPr>
          <w:rFonts w:ascii="Times New Roman" w:hAnsi="Times New Roman"/>
          <w:sz w:val="20"/>
        </w:rPr>
        <w:t xml:space="preserve">” means a multiemployer plan as defined in Section 4001(a)(3) of ERISA to which a Borrower or any ERISA Affiliate contributes, is obligated to contribute, or has any liability. </w:t>
      </w:r>
    </w:p>
    <w:p>
      <w:pPr>
        <w:pStyle w:val="TextBody"/>
        <w:bidi w:val="0"/>
        <w:spacing w:before="240" w:after="0"/>
        <w:jc w:val="left"/>
        <w:rPr/>
      </w:pPr>
      <w:r>
        <w:rPr/>
        <w:t>“</w:t>
      </w:r>
      <w:r>
        <w:rPr>
          <w:rFonts w:ascii="Times New Roman" w:hAnsi="Times New Roman"/>
          <w:sz w:val="20"/>
          <w:u w:val="single"/>
        </w:rPr>
        <w:t>Net Available Proceeds</w:t>
      </w:r>
      <w:r>
        <w:rPr>
          <w:rFonts w:ascii="Times New Roman" w:hAnsi="Times New Roman"/>
          <w:sz w:val="20"/>
        </w:rPr>
        <w:t xml:space="preserve">” means: </w:t>
      </w:r>
    </w:p>
    <w:p>
      <w:pPr>
        <w:pStyle w:val="TextBody"/>
        <w:bidi w:val="0"/>
        <w:spacing w:before="120" w:after="0"/>
        <w:jc w:val="left"/>
        <w:rPr>
          <w:rFonts w:ascii="Times New Roman" w:hAnsi="Times New Roman"/>
          <w:sz w:val="20"/>
        </w:rPr>
      </w:pPr>
      <w:r>
        <w:rPr>
          <w:rFonts w:ascii="Times New Roman" w:hAnsi="Times New Roman"/>
          <w:sz w:val="20"/>
        </w:rPr>
        <w:t xml:space="preserve">(a) in the case of any Disposition consummated after the Effective Date, the aggregate amount of all cash payments, received by or on behalf of GEO and its Restricted Subsidiaries directly or indirectly in connection with any such Disposition; </w:t>
      </w:r>
      <w:r>
        <w:rPr>
          <w:rFonts w:ascii="Times New Roman" w:hAnsi="Times New Roman"/>
          <w:sz w:val="20"/>
          <w:u w:val="single"/>
        </w:rPr>
        <w:t>provided</w:t>
      </w:r>
      <w:r>
        <w:rPr>
          <w:rFonts w:ascii="Times New Roman" w:hAnsi="Times New Roman"/>
          <w:sz w:val="20"/>
        </w:rPr>
        <w:t xml:space="preserve"> that Net Available Proceeds shall be net of (i) the amount of any legal fees and expenses, title premiums and costs, recording fees and expenses, state and local taxes, commissions, and other fees and expenses paid by GEO and its Restricted Subsidiaries in connection with such Disposition, (ii) any Federal, foreign, state and local income or other taxes estimated to be payable by GEO and its Restricted Subsidiaries as a result of such Disposition and (iii) any repayments by GEO or any of 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Restricted Subsidiaries of Indebtedness (other than Indebtedness secured by Liens that are junior to the Liens securing the Obligations) to the extent that (x) such Indebtedness is secured by a Lien on the property that is the subject of such Disposition and (y) the transferee of (or holder of a Lien on) such property requires that such Indebtedness be repaid as a condition to the purchase of such property; </w:t>
      </w:r>
      <w:r>
        <w:rPr>
          <w:rFonts w:ascii="Times New Roman" w:hAnsi="Times New Roman"/>
          <w:sz w:val="20"/>
          <w:u w:val="single"/>
        </w:rPr>
        <w:t>provided</w:t>
      </w:r>
      <w:r>
        <w:rPr>
          <w:rFonts w:ascii="Times New Roman" w:hAnsi="Times New Roman"/>
          <w:sz w:val="20"/>
        </w:rPr>
        <w:t xml:space="preserve"> that, in the case of any such Lien securing Indebtedness on a pari passu basis with the Liens securing the Obligations, the amount deducted pursuant to this clause (iii) shall be limited to the ratable share applicable to such other Indebtedness (determined on the basis of the aggregate outstanding principal amount of such other Indebtedness and the Indebtedness hereunder at such time); </w:t>
      </w:r>
    </w:p>
    <w:p>
      <w:pPr>
        <w:pStyle w:val="TextBody"/>
        <w:bidi w:val="0"/>
        <w:spacing w:before="240" w:after="0"/>
        <w:jc w:val="left"/>
        <w:rPr>
          <w:rFonts w:ascii="Times New Roman" w:hAnsi="Times New Roman"/>
          <w:sz w:val="20"/>
        </w:rPr>
      </w:pPr>
      <w:r>
        <w:rPr>
          <w:rFonts w:ascii="Times New Roman" w:hAnsi="Times New Roman"/>
          <w:sz w:val="20"/>
        </w:rPr>
        <w:t>(b) in the case of any Casualty Event, the aggregate amount of proceeds of insurance, condemnation awards and other compensation received by or on behalf of GEO and its Restricted Subsidiaries in respect of such Casualty Event net of (i) reasonable fees and expenses incurred by GEO and its Restricted Subsidiaries in connection therewith and (ii) contractually required repayments of Indebtedness to the extent secured by a Lien (other than any Lien that is junior to the Liens securing the Obligations) on such property (</w:t>
      </w:r>
      <w:r>
        <w:rPr>
          <w:rFonts w:ascii="Times New Roman" w:hAnsi="Times New Roman"/>
          <w:sz w:val="20"/>
          <w:u w:val="single"/>
        </w:rPr>
        <w:t>provided</w:t>
      </w:r>
      <w:r>
        <w:rPr>
          <w:rFonts w:ascii="Times New Roman" w:hAnsi="Times New Roman"/>
          <w:sz w:val="20"/>
        </w:rPr>
        <w:t xml:space="preserve"> that, in the case of any such Lien securing Indebtedness on a pari passu basis with the Liens securing the Obligations, the amount to be deducted shall be limited to the ratable share applicable to such other Indebtedness (determined on the basis of the aggregate outstanding principal amount of such other Indebtedness and the Indebtedness hereunder at such time)) and any income and transfer taxes payable by GEO or any of its Restricted Subsidiaries in respect of such Casualty Event; and </w:t>
      </w:r>
    </w:p>
    <w:p>
      <w:pPr>
        <w:pStyle w:val="TextBody"/>
        <w:bidi w:val="0"/>
        <w:spacing w:before="240" w:after="0"/>
        <w:jc w:val="left"/>
        <w:rPr>
          <w:rFonts w:ascii="Times New Roman" w:hAnsi="Times New Roman"/>
          <w:sz w:val="20"/>
        </w:rPr>
      </w:pPr>
      <w:r>
        <w:rPr>
          <w:rFonts w:ascii="Times New Roman" w:hAnsi="Times New Roman"/>
          <w:sz w:val="20"/>
        </w:rPr>
        <w:t xml:space="preserve">(c) in the case of any Equity Issuance, the aggregate amount of all cash received by or on behalf of GEO and its Restricted Subsidiaries in respect of such Equity Issuance net of reasonable fees and expenses incurred by GEO and its Restricted Subsidiaries in connection therewith; </w:t>
      </w:r>
    </w:p>
    <w:p>
      <w:pPr>
        <w:pStyle w:val="TextBody"/>
        <w:bidi w:val="0"/>
        <w:spacing w:before="24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that Net Available Proceeds of any Disposition or Casualty Event shall be net of any amounts required to be paid to avoid the imposition of federal or state income or excise taxes reasonably determined in good faith by a Financial Officer of GEO (as evidenced by a certification to that effect and setting forth the basis for such estimation in reasonable detail delivered to the Administrative Agent prior to or concurrently with the occurrence of the transaction or other events resulting in such Net Available Proceeds, as the same may be supplemented or modified in writing (in reasonable detail) by a Financial Officer of GEO to reflect good faith adjustments to such original determination prior to the date on which any of such Net Available Proceeds were (or were required to be) applied to prepay Loans or reduce Commitments pursuant to </w:t>
      </w:r>
      <w:r>
        <w:rPr>
          <w:rFonts w:ascii="Times New Roman" w:hAnsi="Times New Roman"/>
          <w:sz w:val="20"/>
          <w:u w:val="single"/>
        </w:rPr>
        <w:t>Section 2.10(b)</w:t>
      </w:r>
      <w:r>
        <w:rPr>
          <w:rFonts w:ascii="Times New Roman" w:hAnsi="Times New Roman"/>
          <w:sz w:val="20"/>
        </w:rPr>
        <w:t xml:space="preserve">) to be payable by GEO and its Restricted Subsidiaries as a result of such Disposition or Casualty Event. </w:t>
      </w:r>
    </w:p>
    <w:p>
      <w:pPr>
        <w:pStyle w:val="TextBody"/>
        <w:bidi w:val="0"/>
        <w:spacing w:before="240" w:after="0"/>
        <w:jc w:val="left"/>
        <w:rPr/>
      </w:pPr>
      <w:r>
        <w:rPr/>
        <w:t>“</w:t>
      </w:r>
      <w:r>
        <w:rPr>
          <w:rFonts w:ascii="Times New Roman" w:hAnsi="Times New Roman"/>
          <w:sz w:val="20"/>
          <w:u w:val="single"/>
        </w:rPr>
        <w:t>Net Income</w:t>
      </w:r>
      <w:r>
        <w:rPr>
          <w:rFonts w:ascii="Times New Roman" w:hAnsi="Times New Roman"/>
          <w:sz w:val="20"/>
        </w:rPr>
        <w:t xml:space="preserve">” means, with respect to GEO and its Subsidiaries and Other Consolidated Persons, for any period of determination, the net income (or loss) for such period, determined on a consolidated basis in accordance with GAAP. </w:t>
      </w:r>
    </w:p>
    <w:p>
      <w:pPr>
        <w:pStyle w:val="TextBody"/>
        <w:bidi w:val="0"/>
        <w:spacing w:before="240" w:after="0"/>
        <w:jc w:val="left"/>
        <w:rPr/>
      </w:pPr>
      <w:r>
        <w:rPr/>
        <w:t>“</w:t>
      </w:r>
      <w:r>
        <w:rPr>
          <w:rFonts w:ascii="Times New Roman" w:hAnsi="Times New Roman"/>
          <w:sz w:val="20"/>
          <w:u w:val="single"/>
        </w:rPr>
        <w:t>Non-Extension Notice Date</w:t>
      </w:r>
      <w:r>
        <w:rPr>
          <w:rFonts w:ascii="Times New Roman" w:hAnsi="Times New Roman"/>
          <w:sz w:val="20"/>
        </w:rPr>
        <w:t xml:space="preserve">” has the meaning assigned thereto in </w:t>
      </w:r>
      <w:r>
        <w:rPr>
          <w:rFonts w:ascii="Times New Roman" w:hAnsi="Times New Roman"/>
          <w:sz w:val="20"/>
          <w:u w:val="single"/>
        </w:rPr>
        <w:t>Section 2.05(b)(ii)</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Non-Recourse</w:t>
      </w:r>
      <w:r>
        <w:rPr>
          <w:rFonts w:ascii="Times New Roman" w:hAnsi="Times New Roman"/>
          <w:sz w:val="20"/>
        </w:rPr>
        <w:t xml:space="preserve">” means, with respect to any Indebtedness or other obligation and to any Person, that such Person has not Guaranteed such Indebtedness or other obligation, and is not otherwise liable, directly or indirectly for such Indebtedness or other obligation, and that any action or inaction by such Person, including without limitation any default by such Person on its own Indebtedness or other obligations, will not result in any default, event of default, acceleration, or increased financial or other obligations, under or with respect to such Indebtedness or other obligation; provided, that, any Indebtedness or other obligation of any Unrestricted Subsidiary or Other Consolidated Person that would otherwise be Non-Recourse to the Borrowers and the Restricted Subsidiaries shall not not be Non-Recourse to the Borrowers and the Restricted Subsidiaries solely due to (A) any investment funded at the time or prior to the incurrence of such Indebtedness or other obligation, (B) the assignment by any Borrower or any Restricted Subsidiary of its rights under any Government Contract to secure Unrestricted Subsidiary Debt, or Indebtedness or other obligations of any Other Consolidated Person, related to such Government Contract, or (C) to the extent undrawn, the issuance of any Letter of Credit in support of such Indebtedness or other obligation. </w:t>
      </w:r>
    </w:p>
    <w:p>
      <w:pPr>
        <w:pStyle w:val="TextBody"/>
        <w:bidi w:val="0"/>
        <w:spacing w:before="240" w:after="0"/>
        <w:jc w:val="left"/>
        <w:rPr/>
      </w:pPr>
      <w:r>
        <w:rPr/>
        <w:t>“</w:t>
      </w:r>
      <w:r>
        <w:rPr>
          <w:rFonts w:ascii="Times New Roman" w:hAnsi="Times New Roman"/>
          <w:sz w:val="20"/>
          <w:u w:val="single"/>
        </w:rPr>
        <w:t>Non-Recourse Debt Service</w:t>
      </w:r>
      <w:r>
        <w:rPr>
          <w:rFonts w:ascii="Times New Roman" w:hAnsi="Times New Roman"/>
          <w:sz w:val="20"/>
        </w:rPr>
        <w:t xml:space="preserve">” means, with respect to any Person, for any period, the sum of, without duplication (a) the net interest expense of such Person with respect to Indebtedness that is Non-Recourse to GEO and the Restricted Subsidiaries, determined for such period, without duplication, on a consolidated or combined basis, as the case may be, in accordance with GAAP, (b) the scheduled principal payments required to be made during such period by such Person with respect to Indebtedness that is Non-Recourse to GEO and the Restricted Subsidiaries and (c) rent expense for such period associated with Indebtedness that is Non-Recourse to GEO and the Restricted Subsidiaries. </w:t>
      </w:r>
    </w:p>
    <w:p>
      <w:pPr>
        <w:pStyle w:val="TextBody"/>
        <w:bidi w:val="0"/>
        <w:spacing w:before="240" w:after="0"/>
        <w:jc w:val="left"/>
        <w:rPr/>
      </w:pPr>
      <w:r>
        <w:rPr/>
        <w:t>“</w:t>
      </w:r>
      <w:r>
        <w:rPr>
          <w:rFonts w:ascii="Times New Roman" w:hAnsi="Times New Roman"/>
          <w:sz w:val="20"/>
          <w:u w:val="single"/>
        </w:rPr>
        <w:t>Not Otherwise Applied</w:t>
      </w:r>
      <w:r>
        <w:rPr>
          <w:rFonts w:ascii="Times New Roman" w:hAnsi="Times New Roman"/>
          <w:sz w:val="20"/>
        </w:rPr>
        <w:t xml:space="preserve">” means, with reference to the amount of any proceeds of any transaction or event that is proposed to be applied to a particular use or transaction, that such amount (a) was not required to prepay Loans pursuant to </w:t>
      </w:r>
      <w:r>
        <w:rPr>
          <w:rFonts w:ascii="Times New Roman" w:hAnsi="Times New Roman"/>
          <w:sz w:val="20"/>
          <w:u w:val="single"/>
        </w:rPr>
        <w:t>Section 2.10(b)</w:t>
      </w:r>
      <w:r>
        <w:rPr>
          <w:rFonts w:ascii="Times New Roman" w:hAnsi="Times New Roman"/>
          <w:sz w:val="20"/>
        </w:rPr>
        <w:t xml:space="preserve"> and (b) has not previously been (and is not simultaneously being) applied to any other use, payment, or transaction other than such particular use or transaction. </w:t>
      </w:r>
    </w:p>
    <w:p>
      <w:pPr>
        <w:pStyle w:val="TextBody"/>
        <w:bidi w:val="0"/>
        <w:spacing w:before="240" w:after="0"/>
        <w:jc w:val="left"/>
        <w:rPr/>
      </w:pPr>
      <w:r>
        <w:rPr/>
        <w:t>“</w:t>
      </w:r>
      <w:r>
        <w:rPr>
          <w:rFonts w:ascii="Times New Roman" w:hAnsi="Times New Roman"/>
          <w:sz w:val="20"/>
          <w:u w:val="single"/>
        </w:rPr>
        <w:t>Note</w:t>
      </w:r>
      <w:r>
        <w:rPr>
          <w:rFonts w:ascii="Times New Roman" w:hAnsi="Times New Roman"/>
          <w:sz w:val="20"/>
        </w:rPr>
        <w:t xml:space="preserve">” means, as the context may require, a Revolving Credit Loan Note or a Term Loan Note. </w:t>
      </w:r>
    </w:p>
    <w:p>
      <w:pPr>
        <w:pStyle w:val="TextBody"/>
        <w:bidi w:val="0"/>
        <w:spacing w:before="240" w:after="0"/>
        <w:jc w:val="left"/>
        <w:rPr/>
      </w:pPr>
      <w:r>
        <w:rPr/>
        <w:t>“</w:t>
      </w:r>
      <w:r>
        <w:rPr>
          <w:rFonts w:ascii="Times New Roman" w:hAnsi="Times New Roman"/>
          <w:sz w:val="20"/>
          <w:u w:val="single"/>
        </w:rPr>
        <w:t>Notice of Assignment</w:t>
      </w:r>
      <w:r>
        <w:rPr>
          <w:rFonts w:ascii="Times New Roman" w:hAnsi="Times New Roman"/>
          <w:sz w:val="20"/>
        </w:rPr>
        <w:t xml:space="preserve">” has the meaning assigned thereto in the Collateral Agreement. </w:t>
      </w:r>
    </w:p>
    <w:p>
      <w:pPr>
        <w:pStyle w:val="TextBody"/>
        <w:bidi w:val="0"/>
        <w:spacing w:before="240" w:after="0"/>
        <w:jc w:val="left"/>
        <w:rPr/>
      </w:pPr>
      <w:r>
        <w:rPr/>
        <w:t>“</w:t>
      </w:r>
      <w:r>
        <w:rPr>
          <w:rFonts w:ascii="Times New Roman" w:hAnsi="Times New Roman"/>
          <w:sz w:val="20"/>
          <w:u w:val="single"/>
        </w:rPr>
        <w:t>Obligations</w:t>
      </w:r>
      <w:r>
        <w:rPr>
          <w:rFonts w:ascii="Times New Roman" w:hAnsi="Times New Roman"/>
          <w:sz w:val="20"/>
        </w:rPr>
        <w:t xml:space="preserve">” means, collectively, (a) all obligations of the Borrowers under the Loan Documents to pay the principal of and interest on the Loans and all fees, indemnification payments and other amounts whatsoever, whether direct or indirect, absolute or contingent, now or hereafter from time to time owing to the Administrative Agent or the Lenders under the Loan Documents, (b) [reserved], (c) all existing or future payment and other obligations owing by GEO or any Restricted Subsidiary under any Hedging Agreement permitted hereunder with any Hedge Counterparty, excluding, for all purposes of the Security Documents and </w:t>
      </w:r>
      <w:r>
        <w:rPr>
          <w:rFonts w:ascii="Times New Roman" w:hAnsi="Times New Roman"/>
          <w:sz w:val="20"/>
          <w:u w:val="single"/>
        </w:rPr>
        <w:t>Section 2.21</w:t>
      </w:r>
      <w:r>
        <w:rPr>
          <w:rFonts w:ascii="Times New Roman" w:hAnsi="Times New Roman"/>
          <w:sz w:val="20"/>
        </w:rPr>
        <w:t xml:space="preserve">, Excluded Swap Obligations, (d) all Cash Management Obligations, and (e) all other interest, fees and commissions (including reasonable attorneys’ fees), charges, indebtedness, loans, liabilities, financial accommodations, obligations, covenants and duties owing by GEO or any of its Subsidiaries to the Lenders or the Administrative Agent, in each case under or in respect of this Agreement, any Note, any Letter of Credit or any of the other Loan Documents of every kind, nature and description, direct or indirect, absolute or contingent, due or to become due, contractual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tortious, liquidated or unliquidated, and whether or not evidenced by any note, and including interest and fees that accrue after the commencement by or against any Loan Party or any Affiliate thereof of any proceeding under any Debtor Relief Laws naming such Person as the debtor in such proceeding, regardless of whether such interest and fees are allowed claims in such proceeding. </w:t>
      </w:r>
    </w:p>
    <w:p>
      <w:pPr>
        <w:pStyle w:val="TextBody"/>
        <w:bidi w:val="0"/>
        <w:spacing w:before="240" w:after="0"/>
        <w:jc w:val="left"/>
        <w:rPr/>
      </w:pPr>
      <w:r>
        <w:rPr/>
        <w:t>“</w:t>
      </w:r>
      <w:r>
        <w:rPr>
          <w:rFonts w:ascii="Times New Roman" w:hAnsi="Times New Roman"/>
          <w:sz w:val="20"/>
          <w:u w:val="single"/>
        </w:rPr>
        <w:t>Other Consolidated Persons</w:t>
      </w:r>
      <w:r>
        <w:rPr>
          <w:rFonts w:ascii="Times New Roman" w:hAnsi="Times New Roman"/>
          <w:sz w:val="20"/>
        </w:rPr>
        <w:t xml:space="preserve">” means Persons, none of the Equity Interests of which are owned by GEO or any of its Subsidiaries, whose financial statements are required to be consolidated with the financial statements of GEO in accordance with GAAP. </w:t>
      </w:r>
    </w:p>
    <w:p>
      <w:pPr>
        <w:pStyle w:val="TextBody"/>
        <w:bidi w:val="0"/>
        <w:spacing w:before="240" w:after="0"/>
        <w:jc w:val="left"/>
        <w:rPr/>
      </w:pPr>
      <w:r>
        <w:rPr/>
        <w:t>“</w:t>
      </w:r>
      <w:r>
        <w:rPr>
          <w:rFonts w:ascii="Times New Roman" w:hAnsi="Times New Roman"/>
          <w:sz w:val="20"/>
          <w:u w:val="single"/>
        </w:rPr>
        <w:t>Other Taxes</w:t>
      </w:r>
      <w:r>
        <w:rPr>
          <w:rFonts w:ascii="Times New Roman" w:hAnsi="Times New Roman"/>
          <w:sz w:val="20"/>
        </w:rPr>
        <w:t xml:space="preserve">” means any and all present or future stamp, court or documentary, intangible, recording, filing or similar Taxes or any other excise or property Taxes, charges or similar levies arising from any payment made hereunder or under any other Loan Document or from the execution, delivery, performance, enforcement or registration of, from the receipt or perfection of a security interest under, or otherwise with respect to, this Agreement or any other Loan Document. </w:t>
      </w:r>
    </w:p>
    <w:p>
      <w:pPr>
        <w:pStyle w:val="TextBody"/>
        <w:bidi w:val="0"/>
        <w:spacing w:before="240" w:after="0"/>
        <w:jc w:val="left"/>
        <w:rPr/>
      </w:pPr>
      <w:r>
        <w:rPr/>
        <w:t>“</w:t>
      </w:r>
      <w:r>
        <w:rPr>
          <w:rFonts w:ascii="Times New Roman" w:hAnsi="Times New Roman"/>
          <w:sz w:val="20"/>
          <w:u w:val="single"/>
        </w:rPr>
        <w:t>Participant</w:t>
      </w:r>
      <w:r>
        <w:rPr>
          <w:rFonts w:ascii="Times New Roman" w:hAnsi="Times New Roman"/>
          <w:sz w:val="20"/>
        </w:rPr>
        <w:t xml:space="preserve">” means any Person to whom a participation is sold as permitted by </w:t>
      </w:r>
      <w:r>
        <w:rPr>
          <w:rFonts w:ascii="Times New Roman" w:hAnsi="Times New Roman"/>
          <w:sz w:val="20"/>
          <w:u w:val="single"/>
        </w:rPr>
        <w:t>Section 9.04(d)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Participant Register</w:t>
      </w:r>
      <w:r>
        <w:rPr>
          <w:rFonts w:ascii="Times New Roman" w:hAnsi="Times New Roman"/>
          <w:sz w:val="20"/>
        </w:rPr>
        <w:t xml:space="preserve">” has the meaning assigned thereto in </w:t>
      </w:r>
      <w:r>
        <w:rPr>
          <w:rFonts w:ascii="Times New Roman" w:hAnsi="Times New Roman"/>
          <w:sz w:val="20"/>
          <w:u w:val="single"/>
        </w:rPr>
        <w:t>Section 9.04(d)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Patriot Act</w:t>
      </w:r>
      <w:r>
        <w:rPr>
          <w:rFonts w:ascii="Times New Roman" w:hAnsi="Times New Roman"/>
          <w:sz w:val="20"/>
        </w:rPr>
        <w:t xml:space="preserve">” means the USA PATRIOT Act (Title III of Pub. L. 107-56 (signed into law October 26, 2001)). </w:t>
      </w:r>
    </w:p>
    <w:p>
      <w:pPr>
        <w:pStyle w:val="TextBody"/>
        <w:bidi w:val="0"/>
        <w:spacing w:before="240" w:after="0"/>
        <w:jc w:val="left"/>
        <w:rPr/>
      </w:pPr>
      <w:r>
        <w:rPr/>
        <w:t>“</w:t>
      </w:r>
      <w:r>
        <w:rPr>
          <w:rFonts w:ascii="Times New Roman" w:hAnsi="Times New Roman"/>
          <w:sz w:val="20"/>
          <w:u w:val="single"/>
        </w:rPr>
        <w:t>Payee</w:t>
      </w:r>
      <w:r>
        <w:rPr>
          <w:rFonts w:ascii="Times New Roman" w:hAnsi="Times New Roman"/>
          <w:sz w:val="20"/>
        </w:rPr>
        <w:t xml:space="preserve">” has the meaning assigned thereto in the definition of “Excluded Taxes” in this </w:t>
      </w:r>
      <w:r>
        <w:rPr>
          <w:rFonts w:ascii="Times New Roman" w:hAnsi="Times New Roman"/>
          <w:sz w:val="20"/>
          <w:u w:val="single"/>
        </w:rPr>
        <w:t>Section 1.01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PBGC</w:t>
      </w:r>
      <w:r>
        <w:rPr>
          <w:rFonts w:ascii="Times New Roman" w:hAnsi="Times New Roman"/>
          <w:sz w:val="20"/>
        </w:rPr>
        <w:t xml:space="preserve">” means the Pension Benefit Guaranty Corporation referred to and defined in ERISA and any successor entity performing similar functions. </w:t>
      </w:r>
    </w:p>
    <w:p>
      <w:pPr>
        <w:pStyle w:val="TextBody"/>
        <w:bidi w:val="0"/>
        <w:spacing w:before="240" w:after="0"/>
        <w:jc w:val="left"/>
        <w:rPr/>
      </w:pPr>
      <w:r>
        <w:rPr/>
        <w:t>“</w:t>
      </w:r>
      <w:r>
        <w:rPr>
          <w:rFonts w:ascii="Times New Roman" w:hAnsi="Times New Roman"/>
          <w:sz w:val="20"/>
          <w:u w:val="single"/>
        </w:rPr>
        <w:t>Periodic Term SOFR Determination Day</w:t>
      </w:r>
      <w:r>
        <w:rPr>
          <w:rFonts w:ascii="Times New Roman" w:hAnsi="Times New Roman"/>
          <w:sz w:val="20"/>
        </w:rPr>
        <w:t xml:space="preserve">” has the meaning assigned thereto in the definition of “Term SOFR”. </w:t>
      </w:r>
    </w:p>
    <w:p>
      <w:pPr>
        <w:pStyle w:val="TextBody"/>
        <w:bidi w:val="0"/>
        <w:spacing w:before="240" w:after="0"/>
        <w:jc w:val="left"/>
        <w:rPr/>
      </w:pPr>
      <w:r>
        <w:rPr/>
        <w:t>“</w:t>
      </w:r>
      <w:r>
        <w:rPr>
          <w:rFonts w:ascii="Times New Roman" w:hAnsi="Times New Roman"/>
          <w:sz w:val="20"/>
          <w:u w:val="single"/>
        </w:rPr>
        <w:t>Permitted Acquisition</w:t>
      </w:r>
      <w:r>
        <w:rPr>
          <w:rFonts w:ascii="Times New Roman" w:hAnsi="Times New Roman"/>
          <w:sz w:val="20"/>
        </w:rPr>
        <w:t xml:space="preserve">” means an acquisition by GEO or a Restricted Subsidiary of a Facility, all of the Equity Interests of a Person or all or substantially all of the assets and related rights constituting an ongoing business, in each case primarily constituting a Permitted Business, and where each of the following conditions is satisfied: </w:t>
      </w:r>
    </w:p>
    <w:p>
      <w:pPr>
        <w:pStyle w:val="TextBody"/>
        <w:bidi w:val="0"/>
        <w:spacing w:before="120" w:after="0"/>
        <w:jc w:val="left"/>
        <w:rPr>
          <w:rFonts w:ascii="Times New Roman" w:hAnsi="Times New Roman"/>
          <w:sz w:val="20"/>
        </w:rPr>
      </w:pPr>
      <w:r>
        <w:rPr>
          <w:rFonts w:ascii="Times New Roman" w:hAnsi="Times New Roman"/>
          <w:sz w:val="20"/>
        </w:rPr>
        <w:t xml:space="preserve">(a) at the time of such acquisition, both before and immediately after the consummation thereof, no Event of Default shall have occurred and be continuing; </w:t>
      </w:r>
    </w:p>
    <w:p>
      <w:pPr>
        <w:pStyle w:val="TextBody"/>
        <w:bidi w:val="0"/>
        <w:spacing w:before="240" w:after="0"/>
        <w:jc w:val="left"/>
        <w:rPr>
          <w:rFonts w:ascii="Times New Roman" w:hAnsi="Times New Roman"/>
          <w:sz w:val="20"/>
        </w:rPr>
      </w:pPr>
      <w:r>
        <w:rPr>
          <w:rFonts w:ascii="Times New Roman" w:hAnsi="Times New Roman"/>
          <w:sz w:val="20"/>
        </w:rPr>
        <w:t xml:space="preserve">(b) unless the consideration paid for such acquisition (including, without duplication, the assumption of Indebtedness and aggregate amount of Indebtedness of the subject of such acquisition remaining outstanding after the consummation thereof) is less than $15,000,000, Subject EBITDA for the period of four fiscal quarters of the proposed Acquired Business ended most recently before the consummation of such acquisition, was greater than zero;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each of the Pro Forma Total Leverage Ratio and Pro Forma First Lien Leverage Ratio is at least 0.25 below the Total Leverage Ratio and First Lien Leverage Ratio, respectively, required to be maintained pursuant to </w:t>
      </w:r>
      <w:r>
        <w:rPr>
          <w:rFonts w:ascii="Times New Roman" w:hAnsi="Times New Roman"/>
          <w:sz w:val="20"/>
          <w:u w:val="single"/>
        </w:rPr>
        <w:t>Section 6.09</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such acquisition shall be consummated such that, after giving effect thereto, the subject of such acquisition shall be one or more Guarantors or (to the extent constituting assets that are not Persons) shall be acquired directly by one or more Loan Parties and shall constitute Collateral; and </w:t>
      </w:r>
    </w:p>
    <w:p>
      <w:pPr>
        <w:pStyle w:val="TextBody"/>
        <w:bidi w:val="0"/>
        <w:spacing w:before="240" w:after="0"/>
        <w:jc w:val="left"/>
        <w:rPr>
          <w:rFonts w:ascii="Times New Roman" w:hAnsi="Times New Roman"/>
          <w:sz w:val="20"/>
        </w:rPr>
      </w:pPr>
      <w:r>
        <w:rPr>
          <w:rFonts w:ascii="Times New Roman" w:hAnsi="Times New Roman"/>
          <w:sz w:val="20"/>
        </w:rPr>
        <w:t xml:space="preserve">(e) such acquisition of Equity Interests was not preceded by an unsolicited tender offer for such Equity Interests by, or proxy contest initiated by or on behalf of, GEO or a Restricted Subsidiary. </w:t>
      </w:r>
    </w:p>
    <w:p>
      <w:pPr>
        <w:pStyle w:val="TextBody"/>
        <w:bidi w:val="0"/>
        <w:spacing w:before="240" w:after="0"/>
        <w:jc w:val="left"/>
        <w:rPr/>
      </w:pPr>
      <w:r>
        <w:rPr/>
        <w:t>“</w:t>
      </w:r>
      <w:r>
        <w:rPr>
          <w:rFonts w:ascii="Times New Roman" w:hAnsi="Times New Roman"/>
          <w:sz w:val="20"/>
          <w:u w:val="single"/>
        </w:rPr>
        <w:t>Permitted Business</w:t>
      </w:r>
      <w:r>
        <w:rPr>
          <w:rFonts w:ascii="Times New Roman" w:hAnsi="Times New Roman"/>
          <w:sz w:val="20"/>
        </w:rPr>
        <w:t xml:space="preserve">” means a business, a line of business or a facility in the same line of business as is conducted by GEO and its Subsidiaries on the Effective Date and any business reasonably related thereto or ancillary or incidental thereto, or a reasonable extension thereof, including the provision of services or goods to Governmental Authorities. </w:t>
      </w:r>
    </w:p>
    <w:p>
      <w:pPr>
        <w:pStyle w:val="TextBody"/>
        <w:bidi w:val="0"/>
        <w:spacing w:before="240" w:after="0"/>
        <w:jc w:val="left"/>
        <w:rPr/>
      </w:pPr>
      <w:r>
        <w:rPr/>
        <w:t>“</w:t>
      </w:r>
      <w:r>
        <w:rPr>
          <w:rFonts w:ascii="Times New Roman" w:hAnsi="Times New Roman"/>
          <w:sz w:val="20"/>
          <w:u w:val="single"/>
        </w:rPr>
        <w:t>Permitted Encumbrances</w:t>
      </w:r>
      <w:r>
        <w:rPr>
          <w:rFonts w:ascii="Times New Roman" w:hAnsi="Times New Roman"/>
          <w:sz w:val="20"/>
        </w:rPr>
        <w:t xml:space="preserve">” means: </w:t>
      </w:r>
    </w:p>
    <w:p>
      <w:pPr>
        <w:pStyle w:val="TextBody"/>
        <w:bidi w:val="0"/>
        <w:spacing w:before="120" w:after="0"/>
        <w:jc w:val="left"/>
        <w:rPr>
          <w:rFonts w:ascii="Times New Roman" w:hAnsi="Times New Roman"/>
          <w:sz w:val="20"/>
        </w:rPr>
      </w:pPr>
      <w:r>
        <w:rPr>
          <w:rFonts w:ascii="Times New Roman" w:hAnsi="Times New Roman"/>
          <w:sz w:val="20"/>
        </w:rPr>
        <w:t xml:space="preserve">(a) Liens imposed by law for taxes, assessments and other governmental charges that are not yet due beyond the period of grace or are being contested in compliance with </w:t>
      </w:r>
      <w:r>
        <w:rPr>
          <w:rFonts w:ascii="Times New Roman" w:hAnsi="Times New Roman"/>
          <w:sz w:val="20"/>
          <w:u w:val="single"/>
        </w:rPr>
        <w:t>Section 5.04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carriers’, warehousemen’s, mechanics’, materialmen’s, repairmen’s, landlord’s, banker’s and other like Liens imposed by law, arising in the ordinary course of business and securing obligations that are not overdue by more than 30 days or are being contested in compliance with </w:t>
      </w:r>
      <w:r>
        <w:rPr>
          <w:rFonts w:ascii="Times New Roman" w:hAnsi="Times New Roman"/>
          <w:sz w:val="20"/>
          <w:u w:val="single"/>
        </w:rPr>
        <w:t>Section 5.04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pledges and deposits made in the ordinary course of business in compliance with workers’ compensation, unemployment insurance and other social security laws or regulations; </w:t>
      </w:r>
    </w:p>
    <w:p>
      <w:pPr>
        <w:pStyle w:val="TextBody"/>
        <w:bidi w:val="0"/>
        <w:spacing w:before="240" w:after="0"/>
        <w:jc w:val="left"/>
        <w:rPr>
          <w:rFonts w:ascii="Times New Roman" w:hAnsi="Times New Roman"/>
          <w:sz w:val="20"/>
        </w:rPr>
      </w:pPr>
      <w:r>
        <w:rPr>
          <w:rFonts w:ascii="Times New Roman" w:hAnsi="Times New Roman"/>
          <w:sz w:val="20"/>
        </w:rPr>
        <w:t xml:space="preserve">(d) deposits to secure the performance of bids, trade contracts, leases, statutory obligations, surety and appeal bonds, performance bonds and other obligations of a like nature, in each case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(e) judgment liens in respect of judgments that do not constitute an Event of Default under </w:t>
      </w:r>
      <w:r>
        <w:rPr>
          <w:rFonts w:ascii="Times New Roman" w:hAnsi="Times New Roman"/>
          <w:sz w:val="20"/>
          <w:u w:val="single"/>
        </w:rPr>
        <w:t>Section 7.01(k)</w:t>
      </w:r>
      <w:r>
        <w:rPr>
          <w:rFonts w:ascii="Times New Roman" w:hAnsi="Times New Roman"/>
          <w:sz w:val="20"/>
        </w:rPr>
        <w:t xml:space="preserve">; and </w:t>
      </w:r>
    </w:p>
    <w:p>
      <w:pPr>
        <w:pStyle w:val="TextBody"/>
        <w:bidi w:val="0"/>
        <w:spacing w:before="240" w:after="0"/>
        <w:jc w:val="left"/>
        <w:rPr>
          <w:rFonts w:ascii="Times New Roman" w:hAnsi="Times New Roman"/>
          <w:sz w:val="20"/>
        </w:rPr>
      </w:pPr>
      <w:r>
        <w:rPr>
          <w:rFonts w:ascii="Times New Roman" w:hAnsi="Times New Roman"/>
          <w:sz w:val="20"/>
        </w:rPr>
        <w:t xml:space="preserve">(f) easements, zoning restrictions, rights-of-way and similar encumbrances on real property imposed by law or arising in the ordinary course of business that do not secure any monetary obligations and do not materially detract from the value of the affected property or interfere with the ordinary conduct of business of GEO or any of its Subsidiaries; </w:t>
      </w:r>
    </w:p>
    <w:p>
      <w:pPr>
        <w:pStyle w:val="TextBody"/>
        <w:bidi w:val="0"/>
        <w:spacing w:before="24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that the term “Permitted Encumbrances” shall not include any Lien securing Indebtedness.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Permitted Investments</w:t>
      </w:r>
      <w:r>
        <w:rPr>
          <w:rFonts w:ascii="Times New Roman" w:hAnsi="Times New Roman"/>
          <w:sz w:val="20"/>
        </w:rPr>
        <w:t xml:space="preserve">” means: </w:t>
      </w:r>
    </w:p>
    <w:p>
      <w:pPr>
        <w:pStyle w:val="TextBody"/>
        <w:bidi w:val="0"/>
        <w:spacing w:before="120" w:after="0"/>
        <w:jc w:val="left"/>
        <w:rPr>
          <w:rFonts w:ascii="Times New Roman" w:hAnsi="Times New Roman"/>
          <w:sz w:val="20"/>
        </w:rPr>
      </w:pPr>
      <w:r>
        <w:rPr>
          <w:rFonts w:ascii="Times New Roman" w:hAnsi="Times New Roman"/>
          <w:sz w:val="20"/>
        </w:rPr>
        <w:t xml:space="preserve">(a) direct obligations of, or obligations the principal of and interest on which are unconditionally guaranteed by, the United States (or by any agency thereof to the extent such obligations are backed by the full faith and credit of the United States), in each case maturing within one year from the date of acquisition thereof; </w:t>
      </w:r>
    </w:p>
    <w:p>
      <w:pPr>
        <w:pStyle w:val="TextBody"/>
        <w:bidi w:val="0"/>
        <w:spacing w:before="240" w:after="0"/>
        <w:jc w:val="left"/>
        <w:rPr>
          <w:rFonts w:ascii="Times New Roman" w:hAnsi="Times New Roman"/>
          <w:sz w:val="20"/>
        </w:rPr>
      </w:pPr>
      <w:r>
        <w:rPr>
          <w:rFonts w:ascii="Times New Roman" w:hAnsi="Times New Roman"/>
          <w:sz w:val="20"/>
        </w:rPr>
        <w:t xml:space="preserve">(b) marketable direct obligations issued by any state of the United States or any political subdivision of any such state or any public instrumentality thereof maturing within one year from the date of acquisition thereof and, at the time of acquisition, having a rating of at least AA from S&amp;P or Aa from Moody’s; </w:t>
      </w:r>
    </w:p>
    <w:p>
      <w:pPr>
        <w:pStyle w:val="TextBody"/>
        <w:bidi w:val="0"/>
        <w:spacing w:before="240" w:after="0"/>
        <w:jc w:val="left"/>
        <w:rPr>
          <w:rFonts w:ascii="Times New Roman" w:hAnsi="Times New Roman"/>
          <w:sz w:val="20"/>
        </w:rPr>
      </w:pPr>
      <w:r>
        <w:rPr>
          <w:rFonts w:ascii="Times New Roman" w:hAnsi="Times New Roman"/>
          <w:sz w:val="20"/>
        </w:rPr>
        <w:t xml:space="preserve">(c) investments in commercial paper maturing within 270 days from the date of acquisition thereof and having, at such date of acquisition, a rating of at least A-2 from S&amp;P or P-2 from Moody’s; </w:t>
      </w:r>
    </w:p>
    <w:p>
      <w:pPr>
        <w:pStyle w:val="TextBody"/>
        <w:bidi w:val="0"/>
        <w:spacing w:before="240" w:after="0"/>
        <w:jc w:val="left"/>
        <w:rPr>
          <w:rFonts w:ascii="Times New Roman" w:hAnsi="Times New Roman"/>
          <w:sz w:val="20"/>
        </w:rPr>
      </w:pPr>
      <w:r>
        <w:rPr>
          <w:rFonts w:ascii="Times New Roman" w:hAnsi="Times New Roman"/>
          <w:sz w:val="20"/>
        </w:rPr>
        <w:t xml:space="preserve">(d) investments in certificates of deposit, banker’s acceptances and time deposits maturing within one year from the date of acquisition thereof issued or guaranteed by or placed with, and money market deposit accounts issued or offered by, any domestic office of any commercial bank organized under the laws of the United States or any State thereof, or by any Lender which has a combined capital and surplus and undivided profits of not less than $500,000,000; </w:t>
      </w:r>
    </w:p>
    <w:p>
      <w:pPr>
        <w:pStyle w:val="TextBody"/>
        <w:bidi w:val="0"/>
        <w:spacing w:before="240" w:after="0"/>
        <w:jc w:val="left"/>
        <w:rPr>
          <w:rFonts w:ascii="Times New Roman" w:hAnsi="Times New Roman"/>
          <w:sz w:val="20"/>
        </w:rPr>
      </w:pPr>
      <w:r>
        <w:rPr>
          <w:rFonts w:ascii="Times New Roman" w:hAnsi="Times New Roman"/>
          <w:sz w:val="20"/>
        </w:rPr>
        <w:t xml:space="preserve">(e) fully collateralized repurchase agreements with a term of not more than 90 days for securities described in </w:t>
      </w:r>
      <w:r>
        <w:rPr>
          <w:rFonts w:ascii="Times New Roman" w:hAnsi="Times New Roman"/>
          <w:sz w:val="20"/>
          <w:u w:val="single"/>
        </w:rPr>
        <w:t>clause (a)</w:t>
      </w:r>
      <w:r>
        <w:rPr>
          <w:rFonts w:ascii="Times New Roman" w:hAnsi="Times New Roman"/>
          <w:sz w:val="20"/>
        </w:rPr>
        <w:t xml:space="preserve"> of this definition and entered into with a financial institution satisfying the criteria described in </w:t>
      </w:r>
      <w:r>
        <w:rPr>
          <w:rFonts w:ascii="Times New Roman" w:hAnsi="Times New Roman"/>
          <w:sz w:val="20"/>
          <w:u w:val="single"/>
        </w:rPr>
        <w:t>clause (d)</w:t>
      </w:r>
      <w:r>
        <w:rPr>
          <w:rFonts w:ascii="Times New Roman" w:hAnsi="Times New Roman"/>
          <w:sz w:val="20"/>
        </w:rPr>
        <w:t xml:space="preserve"> of this definition; and </w:t>
      </w:r>
    </w:p>
    <w:p>
      <w:pPr>
        <w:pStyle w:val="TextBody"/>
        <w:bidi w:val="0"/>
        <w:spacing w:before="240" w:after="0"/>
        <w:jc w:val="left"/>
        <w:rPr>
          <w:rFonts w:ascii="Times New Roman" w:hAnsi="Times New Roman"/>
          <w:sz w:val="20"/>
        </w:rPr>
      </w:pPr>
      <w:r>
        <w:rPr>
          <w:rFonts w:ascii="Times New Roman" w:hAnsi="Times New Roman"/>
          <w:sz w:val="20"/>
        </w:rPr>
        <w:t xml:space="preserve">(f) money market funds that (i) comply with the criteria set forth in Securities and Exchange Commission Rule 2a-7 under the Investment Company Act of 1940, (ii) are rated at least AA by S&amp;P or Aa by Moody’s and (iii) have portfolio assets of at least $1,000,000,000. </w:t>
      </w:r>
    </w:p>
    <w:p>
      <w:pPr>
        <w:pStyle w:val="TextBody"/>
        <w:bidi w:val="0"/>
        <w:spacing w:before="240" w:after="0"/>
        <w:jc w:val="left"/>
        <w:rPr/>
      </w:pPr>
      <w:r>
        <w:rPr/>
        <w:t>“</w:t>
      </w:r>
      <w:r>
        <w:rPr>
          <w:rFonts w:ascii="Times New Roman" w:hAnsi="Times New Roman"/>
          <w:sz w:val="20"/>
          <w:u w:val="single"/>
        </w:rPr>
        <w:t>Permitted Land Use Encumbrances</w:t>
      </w:r>
      <w:r>
        <w:rPr>
          <w:rFonts w:ascii="Times New Roman" w:hAnsi="Times New Roman"/>
          <w:sz w:val="20"/>
        </w:rPr>
        <w:t xml:space="preserve">” means the encumbrances described in clause (f) of the definition of ”Permitted Encumbrances”. </w:t>
      </w:r>
    </w:p>
    <w:p>
      <w:pPr>
        <w:pStyle w:val="TextBody"/>
        <w:bidi w:val="0"/>
        <w:spacing w:before="240" w:after="0"/>
        <w:jc w:val="left"/>
        <w:rPr/>
      </w:pPr>
      <w:r>
        <w:rPr/>
        <w:t>“</w:t>
      </w:r>
      <w:r>
        <w:rPr>
          <w:rFonts w:ascii="Times New Roman" w:hAnsi="Times New Roman"/>
          <w:sz w:val="20"/>
          <w:u w:val="single"/>
        </w:rPr>
        <w:t>Person</w:t>
      </w:r>
      <w:r>
        <w:rPr>
          <w:rFonts w:ascii="Times New Roman" w:hAnsi="Times New Roman"/>
          <w:sz w:val="20"/>
        </w:rPr>
        <w:t xml:space="preserve">” means any natural person, corporation, limited liability company, trust, joint venture, association, company, partnership, Governmental Authority or other entity. </w:t>
      </w:r>
    </w:p>
    <w:p>
      <w:pPr>
        <w:pStyle w:val="TextBody"/>
        <w:bidi w:val="0"/>
        <w:spacing w:before="240" w:after="0"/>
        <w:jc w:val="left"/>
        <w:rPr/>
      </w:pPr>
      <w:r>
        <w:rPr/>
        <w:t>“</w:t>
      </w:r>
      <w:r>
        <w:rPr>
          <w:rFonts w:ascii="Times New Roman" w:hAnsi="Times New Roman"/>
          <w:sz w:val="20"/>
          <w:u w:val="single"/>
        </w:rPr>
        <w:t>Plan</w:t>
      </w:r>
      <w:r>
        <w:rPr>
          <w:rFonts w:ascii="Times New Roman" w:hAnsi="Times New Roman"/>
          <w:sz w:val="20"/>
        </w:rPr>
        <w:t xml:space="preserve">” means any employee pension benefit plan (other than a Multiemployer Plan) subject to the provisions of Title IV of ERISA or Section 412 of the Code or Section 302 of ERISA, and in respect of which a Borrower or any ERISA Affiliate is (or, if such plan were terminated, would under Section 4069 of ERISA be deemed to be) an “employer” as defined in Section 3(5) of ERISA. </w:t>
      </w:r>
    </w:p>
    <w:p>
      <w:pPr>
        <w:pStyle w:val="TextBody"/>
        <w:bidi w:val="0"/>
        <w:spacing w:before="240" w:after="0"/>
        <w:jc w:val="left"/>
        <w:rPr/>
      </w:pPr>
      <w:r>
        <w:rPr/>
        <w:t>“</w:t>
      </w:r>
      <w:r>
        <w:rPr>
          <w:rFonts w:ascii="Times New Roman" w:hAnsi="Times New Roman"/>
          <w:sz w:val="20"/>
          <w:u w:val="single"/>
        </w:rPr>
        <w:t>Planned Future Expenditures</w:t>
      </w:r>
      <w:r>
        <w:rPr>
          <w:rFonts w:ascii="Times New Roman" w:hAnsi="Times New Roman"/>
          <w:sz w:val="20"/>
        </w:rPr>
        <w:t xml:space="preserve">” has the meaning assigned thereto in the definition of “Excess Cash Flow.” </w:t>
      </w:r>
    </w:p>
    <w:p>
      <w:pPr>
        <w:pStyle w:val="TextBody"/>
        <w:bidi w:val="0"/>
        <w:spacing w:before="240" w:after="0"/>
        <w:jc w:val="left"/>
        <w:rPr/>
      </w:pPr>
      <w:r>
        <w:rPr/>
        <w:t>“</w:t>
      </w:r>
      <w:r>
        <w:rPr>
          <w:rFonts w:ascii="Times New Roman" w:hAnsi="Times New Roman"/>
          <w:sz w:val="20"/>
          <w:u w:val="single"/>
        </w:rPr>
        <w:t>Platform</w:t>
      </w:r>
      <w:r>
        <w:rPr>
          <w:rFonts w:ascii="Times New Roman" w:hAnsi="Times New Roman"/>
          <w:sz w:val="20"/>
        </w:rPr>
        <w:t xml:space="preserve">” has the meaning assigned thereto in </w:t>
      </w:r>
      <w:r>
        <w:rPr>
          <w:rFonts w:ascii="Times New Roman" w:hAnsi="Times New Roman"/>
          <w:sz w:val="20"/>
          <w:u w:val="single"/>
        </w:rPr>
        <w:t>Section 9.01(d)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Prepayment Premium</w:t>
      </w:r>
      <w:r>
        <w:rPr>
          <w:rFonts w:ascii="Times New Roman" w:hAnsi="Times New Roman"/>
          <w:sz w:val="20"/>
        </w:rPr>
        <w:t xml:space="preserve">” means [Reserved]. </w:t>
      </w:r>
    </w:p>
    <w:p>
      <w:pPr>
        <w:pStyle w:val="TextBody"/>
        <w:bidi w:val="0"/>
        <w:spacing w:before="240" w:after="0"/>
        <w:jc w:val="left"/>
        <w:rPr/>
      </w:pPr>
      <w:r>
        <w:rPr/>
        <w:t>“</w:t>
      </w:r>
      <w:r>
        <w:rPr>
          <w:rFonts w:ascii="Times New Roman" w:hAnsi="Times New Roman"/>
          <w:sz w:val="20"/>
          <w:u w:val="single"/>
        </w:rPr>
        <w:t>Prepayment Premium Trigger Event</w:t>
      </w:r>
      <w:r>
        <w:rPr>
          <w:rFonts w:ascii="Times New Roman" w:hAnsi="Times New Roman"/>
          <w:sz w:val="20"/>
        </w:rPr>
        <w:t xml:space="preserve">” means [Reserved]. </w:t>
      </w:r>
    </w:p>
    <w:p>
      <w:pPr>
        <w:pStyle w:val="TextBody"/>
        <w:bidi w:val="0"/>
        <w:spacing w:before="240" w:after="0"/>
        <w:jc w:val="left"/>
        <w:rPr/>
      </w:pPr>
      <w:r>
        <w:rPr/>
        <w:t>“</w:t>
      </w:r>
      <w:r>
        <w:rPr>
          <w:rFonts w:ascii="Times New Roman" w:hAnsi="Times New Roman"/>
          <w:sz w:val="20"/>
          <w:u w:val="single"/>
        </w:rPr>
        <w:t>Prime Rate</w:t>
      </w:r>
      <w:r>
        <w:rPr>
          <w:rFonts w:ascii="Times New Roman" w:hAnsi="Times New Roman"/>
          <w:sz w:val="20"/>
        </w:rPr>
        <w:t xml:space="preserve">” means the rate of interest per annum last quoted by </w:t>
      </w:r>
      <w:r>
        <w:rPr>
          <w:rFonts w:ascii="Times New Roman" w:hAnsi="Times New Roman"/>
          <w:sz w:val="20"/>
          <w:u w:val="single"/>
        </w:rPr>
        <w:t>The Wall Street Journal</w:t>
      </w:r>
      <w:r>
        <w:rPr>
          <w:rFonts w:ascii="Times New Roman" w:hAnsi="Times New Roman"/>
          <w:sz w:val="20"/>
        </w:rPr>
        <w:t xml:space="preserve"> as the “Prime Rate” in the U.S. or, if </w:t>
      </w:r>
      <w:r>
        <w:rPr>
          <w:rFonts w:ascii="Times New Roman" w:hAnsi="Times New Roman"/>
          <w:sz w:val="20"/>
          <w:u w:val="single"/>
        </w:rPr>
        <w:t>The Wall Street Journal</w:t>
      </w:r>
      <w:r>
        <w:rPr>
          <w:rFonts w:ascii="Times New Roman" w:hAnsi="Times New Roman"/>
          <w:sz w:val="20"/>
        </w:rPr>
        <w:t xml:space="preserve"> ceases to quote such rate, the highest per annum interest rate published by the Board in Federal Reserve Statistical Release H.15 (519) (Selected Interest Rates) as the “bank prime loan” rate or, if such rate is no longer quoted therein, any similar rate quoted therein (as determined by the Administrative Agent) or any similar release by the Board (as determined by the Administrative Agent). Any change in the Prime Rate shall take effect at the opening of business on the day such change is publicly announced or quoted as being effective. </w:t>
      </w:r>
    </w:p>
    <w:p>
      <w:pPr>
        <w:pStyle w:val="TextBody"/>
        <w:bidi w:val="0"/>
        <w:spacing w:before="240" w:after="0"/>
        <w:jc w:val="left"/>
        <w:rPr/>
      </w:pPr>
      <w:r>
        <w:rPr/>
        <w:t>“</w:t>
      </w:r>
      <w:r>
        <w:rPr>
          <w:rFonts w:ascii="Times New Roman" w:hAnsi="Times New Roman"/>
          <w:sz w:val="20"/>
          <w:u w:val="single"/>
        </w:rPr>
        <w:t>Principal Financial Center</w:t>
      </w:r>
      <w:r>
        <w:rPr>
          <w:rFonts w:ascii="Times New Roman" w:hAnsi="Times New Roman"/>
          <w:sz w:val="20"/>
        </w:rPr>
        <w:t xml:space="preserve">” means, in respect of any Currency, the principal financial center where such Currency is cleared and settled, as determined by the Administrative Agent. </w:t>
      </w:r>
    </w:p>
    <w:p>
      <w:pPr>
        <w:pStyle w:val="TextBody"/>
        <w:bidi w:val="0"/>
        <w:spacing w:before="240" w:after="0"/>
        <w:jc w:val="left"/>
        <w:rPr/>
      </w:pPr>
      <w:r>
        <w:rPr/>
        <w:t>“</w:t>
      </w:r>
      <w:r>
        <w:rPr>
          <w:rFonts w:ascii="Times New Roman" w:hAnsi="Times New Roman"/>
          <w:sz w:val="20"/>
          <w:u w:val="single"/>
        </w:rPr>
        <w:t>Principal Payment Date</w:t>
      </w:r>
      <w:r>
        <w:rPr>
          <w:rFonts w:ascii="Times New Roman" w:hAnsi="Times New Roman"/>
          <w:sz w:val="20"/>
        </w:rPr>
        <w:t xml:space="preserve">” means the last Business Day of each of March, June, September and December. </w:t>
      </w:r>
    </w:p>
    <w:p>
      <w:pPr>
        <w:pStyle w:val="TextBody"/>
        <w:bidi w:val="0"/>
        <w:spacing w:before="240" w:after="0"/>
        <w:jc w:val="left"/>
        <w:rPr/>
      </w:pPr>
      <w:r>
        <w:rPr/>
        <w:t>“</w:t>
      </w:r>
      <w:r>
        <w:rPr>
          <w:rFonts w:ascii="Times New Roman" w:hAnsi="Times New Roman"/>
          <w:sz w:val="20"/>
          <w:u w:val="single"/>
        </w:rPr>
        <w:t>Pro Forma Basis</w:t>
      </w:r>
      <w:r>
        <w:rPr>
          <w:rFonts w:ascii="Times New Roman" w:hAnsi="Times New Roman"/>
          <w:sz w:val="20"/>
        </w:rPr>
        <w:t xml:space="preserve">” means, in making any determination of EBITDA or Adjusted EBITDA for any period, that pro forma effect shall be given to any acquisition permitted hereunder including any Permitted Acquisition that occurred during such period or, in determining the Pro Forma Total Leverage Ratio or the Pro Forma First Lien Leverage Ratio, after such period and on or prior to such date of determination and any acquisition by the Person acquired by GEO or any Restricted Subsidiary that occurred during such period or, in determining the Pro Forma Total Leverage Ratio or the Pro Forma First Lien Leverage Ratio, after such period and on or prior to such date of determination, in each case, taking into account both revenues (excluding revenues created by synergies) and estimated cost-savings, as determined reasonably and in good faith by a Financial Officer of GEO and approved by the Administrative Agent, </w:t>
      </w:r>
      <w:r>
        <w:rPr>
          <w:rFonts w:ascii="Times New Roman" w:hAnsi="Times New Roman"/>
          <w:sz w:val="20"/>
          <w:u w:val="single"/>
        </w:rPr>
        <w:t>provided</w:t>
      </w:r>
      <w:r>
        <w:rPr>
          <w:rFonts w:ascii="Times New Roman" w:hAnsi="Times New Roman"/>
          <w:sz w:val="20"/>
        </w:rPr>
        <w:t xml:space="preserve"> that GEO delivers to the Administrative Agent a certificate of a Financial Officer of GEO setting forth such pro forma calculations and all assumptions that are material to such calculations. </w:t>
      </w:r>
    </w:p>
    <w:p>
      <w:pPr>
        <w:pStyle w:val="TextBody"/>
        <w:bidi w:val="0"/>
        <w:spacing w:before="240" w:after="0"/>
        <w:jc w:val="left"/>
        <w:rPr/>
      </w:pPr>
      <w:r>
        <w:rPr/>
        <w:t>“</w:t>
      </w:r>
      <w:r>
        <w:rPr>
          <w:rFonts w:ascii="Times New Roman" w:hAnsi="Times New Roman"/>
          <w:sz w:val="20"/>
          <w:u w:val="single"/>
        </w:rPr>
        <w:t>Pro Forma First Lien Leverage Ratio</w:t>
      </w:r>
      <w:r>
        <w:rPr>
          <w:rFonts w:ascii="Times New Roman" w:hAnsi="Times New Roman"/>
          <w:sz w:val="20"/>
        </w:rPr>
        <w:t xml:space="preserve">” means, on any date, the First Lien Leverage Ratio on the last day of GEO’s fiscal quarter then most recently ended for which financial statements have been delivered pursuant to </w:t>
      </w:r>
      <w:r>
        <w:rPr>
          <w:rFonts w:ascii="Times New Roman" w:hAnsi="Times New Roman"/>
          <w:sz w:val="20"/>
          <w:u w:val="single"/>
        </w:rPr>
        <w:t>Section 5.01(a)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as applicable, (i) after giving pro forma effect since such last day through and including such date to: (x) all payments, prepayments, redemptions, retirements, sinking fund payments, and borrowings, issuances and other incurrences, of Indebtedness that is secured by a Lien on the Collateral that is </w:t>
      </w:r>
      <w:r>
        <w:rPr>
          <w:rFonts w:ascii="Times New Roman" w:hAnsi="Times New Roman"/>
          <w:sz w:val="20"/>
          <w:u w:val="single"/>
        </w:rPr>
        <w:t>pari</w:t>
      </w:r>
      <w:r>
        <w:rPr>
          <w:rFonts w:ascii="Times New Roman" w:hAnsi="Times New Roman"/>
          <w:sz w:val="20"/>
        </w:rPr>
        <w:t xml:space="preserve"> </w:t>
      </w:r>
      <w:r>
        <w:rPr>
          <w:rFonts w:ascii="Times New Roman" w:hAnsi="Times New Roman"/>
          <w:sz w:val="20"/>
          <w:u w:val="single"/>
        </w:rPr>
        <w:t>passu</w:t>
      </w:r>
      <w:r>
        <w:rPr>
          <w:rFonts w:ascii="Times New Roman" w:hAnsi="Times New Roman"/>
          <w:sz w:val="20"/>
        </w:rPr>
        <w:t xml:space="preserve"> with the Liens securing the Obligations and (y) any changes to the amount of Unrestricted Cash of GEO and its Restricted Subsidiaries (but without netting cash proceeds of concurrent borrowings, issuances and other incurrences, of Indebtedness) and (ii) calculating EBITDA for the period of computation on a Pro Forma Basis.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Pro Forma Total Leverage Ratio</w:t>
      </w:r>
      <w:r>
        <w:rPr>
          <w:rFonts w:ascii="Times New Roman" w:hAnsi="Times New Roman"/>
          <w:sz w:val="20"/>
        </w:rPr>
        <w:t xml:space="preserve">” means, on any date, the Total Leverage Ratio on the last day of GEO’s fiscal quarter then most recently ended for which financial statements have been delivered pursuant to </w:t>
      </w:r>
      <w:r>
        <w:rPr>
          <w:rFonts w:ascii="Times New Roman" w:hAnsi="Times New Roman"/>
          <w:sz w:val="20"/>
          <w:u w:val="single"/>
        </w:rPr>
        <w:t>Section 5.01(a)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as applicable, (i) after giving pro forma effect since such last day through and including such date to: (x) all payments, prepayments, redemptions, retirements, sinking fund payments, and borrowings, issuances and other incurrences, of Indebtedness and (y) any changes to the amount of Unrestricted Cash of GEO and its Restricted Subsidiaries (but without netting cash proceeds of concurrent borrowings, issuances and other incurrences, of Indebtedness) and (ii) calculating EBITDA for the period of computation on a Pro Forma Basis. </w:t>
      </w:r>
    </w:p>
    <w:p>
      <w:pPr>
        <w:pStyle w:val="TextBody"/>
        <w:bidi w:val="0"/>
        <w:spacing w:before="240" w:after="0"/>
        <w:jc w:val="left"/>
        <w:rPr/>
      </w:pPr>
      <w:r>
        <w:rPr/>
        <w:t>“</w:t>
      </w:r>
      <w:r>
        <w:rPr>
          <w:rFonts w:ascii="Times New Roman" w:hAnsi="Times New Roman"/>
          <w:sz w:val="20"/>
          <w:u w:val="single"/>
        </w:rPr>
        <w:t>Public Lender</w:t>
      </w:r>
      <w:r>
        <w:rPr>
          <w:rFonts w:ascii="Times New Roman" w:hAnsi="Times New Roman"/>
          <w:sz w:val="20"/>
        </w:rPr>
        <w:t xml:space="preserve">” has the meaning assigned thereto in </w:t>
      </w:r>
      <w:r>
        <w:rPr>
          <w:rFonts w:ascii="Times New Roman" w:hAnsi="Times New Roman"/>
          <w:sz w:val="20"/>
          <w:u w:val="single"/>
        </w:rPr>
        <w:t>Section 9.01(d)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Quarterly Date</w:t>
      </w:r>
      <w:r>
        <w:rPr>
          <w:rFonts w:ascii="Times New Roman" w:hAnsi="Times New Roman"/>
          <w:sz w:val="20"/>
        </w:rPr>
        <w:t xml:space="preserve">” means the last Business Day of each of January, April, July and October. </w:t>
      </w:r>
    </w:p>
    <w:p>
      <w:pPr>
        <w:pStyle w:val="TextBody"/>
        <w:bidi w:val="0"/>
        <w:spacing w:before="240" w:after="0"/>
        <w:jc w:val="left"/>
        <w:rPr/>
      </w:pPr>
      <w:r>
        <w:rPr/>
        <w:t>“</w:t>
      </w:r>
      <w:r>
        <w:rPr>
          <w:rFonts w:ascii="Times New Roman" w:hAnsi="Times New Roman"/>
          <w:sz w:val="20"/>
          <w:u w:val="single"/>
        </w:rPr>
        <w:t>Qualified Intermediary</w:t>
      </w:r>
      <w:r>
        <w:rPr>
          <w:rFonts w:ascii="Times New Roman" w:hAnsi="Times New Roman"/>
          <w:sz w:val="20"/>
        </w:rPr>
        <w:t xml:space="preserve">” means a “qualified intermediary” pursuant to the provisions of Treasury Regulation Section 1.1031(k)-1(g)(4). </w:t>
      </w:r>
    </w:p>
    <w:p>
      <w:pPr>
        <w:pStyle w:val="TextBody"/>
        <w:bidi w:val="0"/>
        <w:spacing w:before="240" w:after="0"/>
        <w:jc w:val="left"/>
        <w:rPr/>
      </w:pPr>
      <w:r>
        <w:rPr/>
        <w:t>“</w:t>
      </w:r>
      <w:r>
        <w:rPr>
          <w:rFonts w:ascii="Times New Roman" w:hAnsi="Times New Roman"/>
          <w:sz w:val="20"/>
          <w:u w:val="single"/>
        </w:rPr>
        <w:t>Qualified Trust</w:t>
      </w:r>
      <w:r>
        <w:rPr>
          <w:rFonts w:ascii="Times New Roman" w:hAnsi="Times New Roman"/>
          <w:sz w:val="20"/>
        </w:rPr>
        <w:t xml:space="preserve">” means a trust established under Treasury Regulation Section 1.1031(k)-1(g)(3). </w:t>
      </w:r>
    </w:p>
    <w:p>
      <w:pPr>
        <w:pStyle w:val="TextBody"/>
        <w:bidi w:val="0"/>
        <w:spacing w:before="240" w:after="0"/>
        <w:jc w:val="left"/>
        <w:rPr/>
      </w:pPr>
      <w:r>
        <w:rPr/>
        <w:t>“</w:t>
      </w:r>
      <w:r>
        <w:rPr>
          <w:rFonts w:ascii="Times New Roman" w:hAnsi="Times New Roman"/>
          <w:sz w:val="20"/>
          <w:u w:val="single"/>
        </w:rPr>
        <w:t>RCF Excess</w:t>
      </w:r>
      <w:r>
        <w:rPr>
          <w:rFonts w:ascii="Times New Roman" w:hAnsi="Times New Roman"/>
          <w:sz w:val="20"/>
        </w:rPr>
        <w:t xml:space="preserve">” has the meaning assigned thereto in </w:t>
      </w:r>
      <w:r>
        <w:rPr>
          <w:rFonts w:ascii="Times New Roman" w:hAnsi="Times New Roman"/>
          <w:sz w:val="20"/>
          <w:u w:val="single"/>
        </w:rPr>
        <w:t>Section 2.10(c)(ii)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Refinancing Revolving Credit Commitments</w:t>
      </w:r>
      <w:r>
        <w:rPr>
          <w:rFonts w:ascii="Times New Roman" w:hAnsi="Times New Roman"/>
          <w:sz w:val="20"/>
        </w:rPr>
        <w:t xml:space="preserve">” has the meaning assigned thereto in </w:t>
      </w:r>
      <w:r>
        <w:rPr>
          <w:rFonts w:ascii="Times New Roman" w:hAnsi="Times New Roman"/>
          <w:sz w:val="20"/>
          <w:u w:val="single"/>
        </w:rPr>
        <w:t>Section 2.22(b)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Refinancing Revolving Credit Commitments Amendment</w:t>
      </w:r>
      <w:r>
        <w:rPr>
          <w:rFonts w:ascii="Times New Roman" w:hAnsi="Times New Roman"/>
          <w:sz w:val="20"/>
        </w:rPr>
        <w:t xml:space="preserve">” has the meaning assigned thereto in </w:t>
      </w:r>
      <w:r>
        <w:rPr>
          <w:rFonts w:ascii="Times New Roman" w:hAnsi="Times New Roman"/>
          <w:sz w:val="20"/>
          <w:u w:val="single"/>
        </w:rPr>
        <w:t>Section 2.22(b)(vii)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Refinancing Revolving Credit Commitments Effective Date</w:t>
      </w:r>
      <w:r>
        <w:rPr>
          <w:rFonts w:ascii="Times New Roman" w:hAnsi="Times New Roman"/>
          <w:sz w:val="20"/>
        </w:rPr>
        <w:t xml:space="preserve">” has the meaning assigned thereto in </w:t>
      </w:r>
      <w:r>
        <w:rPr>
          <w:rFonts w:ascii="Times New Roman" w:hAnsi="Times New Roman"/>
          <w:sz w:val="20"/>
          <w:u w:val="single"/>
        </w:rPr>
        <w:t>Section 2.22(b)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Refinancing Revolving Credit Commitments Notice</w:t>
      </w:r>
      <w:r>
        <w:rPr>
          <w:rFonts w:ascii="Times New Roman" w:hAnsi="Times New Roman"/>
          <w:sz w:val="20"/>
        </w:rPr>
        <w:t xml:space="preserve">” has the meaning assigned thereto in </w:t>
      </w:r>
      <w:r>
        <w:rPr>
          <w:rFonts w:ascii="Times New Roman" w:hAnsi="Times New Roman"/>
          <w:sz w:val="20"/>
          <w:u w:val="single"/>
        </w:rPr>
        <w:t>Section 2.22(b)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Refinancing Term Loan</w:t>
      </w:r>
      <w:r>
        <w:rPr>
          <w:rFonts w:ascii="Times New Roman" w:hAnsi="Times New Roman"/>
          <w:sz w:val="20"/>
        </w:rPr>
        <w:t xml:space="preserve">” has the meaning assigned thereto in </w:t>
      </w:r>
      <w:r>
        <w:rPr>
          <w:rFonts w:ascii="Times New Roman" w:hAnsi="Times New Roman"/>
          <w:sz w:val="20"/>
          <w:u w:val="single"/>
        </w:rPr>
        <w:t>Section 2.22(a)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Refinancing Term Loan Amendment</w:t>
      </w:r>
      <w:r>
        <w:rPr>
          <w:rFonts w:ascii="Times New Roman" w:hAnsi="Times New Roman"/>
          <w:sz w:val="20"/>
        </w:rPr>
        <w:t xml:space="preserve">” has the meaning assigned thereto in </w:t>
      </w:r>
      <w:r>
        <w:rPr>
          <w:rFonts w:ascii="Times New Roman" w:hAnsi="Times New Roman"/>
          <w:sz w:val="20"/>
          <w:u w:val="single"/>
        </w:rPr>
        <w:t>Section 2.22(a)(vi)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Refinancing Term Loan Effective Date</w:t>
      </w:r>
      <w:r>
        <w:rPr>
          <w:rFonts w:ascii="Times New Roman" w:hAnsi="Times New Roman"/>
          <w:sz w:val="20"/>
        </w:rPr>
        <w:t xml:space="preserve">” has the meaning assigned thereto in </w:t>
      </w:r>
      <w:r>
        <w:rPr>
          <w:rFonts w:ascii="Times New Roman" w:hAnsi="Times New Roman"/>
          <w:sz w:val="20"/>
          <w:u w:val="single"/>
        </w:rPr>
        <w:t>Section 2.22(a)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Refinancing Term Loan Notice</w:t>
      </w:r>
      <w:r>
        <w:rPr>
          <w:rFonts w:ascii="Times New Roman" w:hAnsi="Times New Roman"/>
          <w:sz w:val="20"/>
        </w:rPr>
        <w:t xml:space="preserve">” has the meaning assigned thereto in </w:t>
      </w:r>
      <w:r>
        <w:rPr>
          <w:rFonts w:ascii="Times New Roman" w:hAnsi="Times New Roman"/>
          <w:sz w:val="20"/>
          <w:u w:val="single"/>
        </w:rPr>
        <w:t>Section 2.22(a)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Refundable Excess</w:t>
      </w:r>
      <w:r>
        <w:rPr>
          <w:rFonts w:ascii="Times New Roman" w:hAnsi="Times New Roman"/>
          <w:sz w:val="20"/>
        </w:rPr>
        <w:t xml:space="preserve">” has the meaning assigned thereto in </w:t>
      </w:r>
      <w:r>
        <w:rPr>
          <w:rFonts w:ascii="Times New Roman" w:hAnsi="Times New Roman"/>
          <w:sz w:val="20"/>
          <w:u w:val="single"/>
        </w:rPr>
        <w:t>Section 2.10(c)(iii)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Register</w:t>
      </w:r>
      <w:r>
        <w:rPr>
          <w:rFonts w:ascii="Times New Roman" w:hAnsi="Times New Roman"/>
          <w:sz w:val="20"/>
        </w:rPr>
        <w:t xml:space="preserve">” has the meaning assigned thereto in </w:t>
      </w:r>
      <w:r>
        <w:rPr>
          <w:rFonts w:ascii="Times New Roman" w:hAnsi="Times New Roman"/>
          <w:sz w:val="20"/>
          <w:u w:val="single"/>
        </w:rPr>
        <w:t>Section 9.04(c)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Related Parties</w:t>
      </w:r>
      <w:r>
        <w:rPr>
          <w:rFonts w:ascii="Times New Roman" w:hAnsi="Times New Roman"/>
          <w:sz w:val="20"/>
        </w:rPr>
        <w:t xml:space="preserve">” means, with respect to any Person, such Person’s Affiliates and the partners, directors, officers, employees, agents, trustees, administrators, managers and advisors of such Person and of such Person’s Affiliates.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Release Date</w:t>
      </w:r>
      <w:r>
        <w:rPr>
          <w:rFonts w:ascii="Times New Roman" w:hAnsi="Times New Roman"/>
          <w:sz w:val="20"/>
        </w:rPr>
        <w:t xml:space="preserve">” means the date on which all of the Obligations (other than (x) obligations described in </w:t>
      </w:r>
      <w:r>
        <w:rPr>
          <w:rFonts w:ascii="Times New Roman" w:hAnsi="Times New Roman"/>
          <w:sz w:val="20"/>
          <w:u w:val="single"/>
        </w:rPr>
        <w:t>clause (c)</w:t>
      </w:r>
      <w:r>
        <w:rPr>
          <w:rFonts w:ascii="Times New Roman" w:hAnsi="Times New Roman"/>
          <w:sz w:val="20"/>
        </w:rPr>
        <w:t xml:space="preserve"> of the definition of “Obligations” set forth above, (y) Cash Management Obligations or (z) contingent indemnification obligations, in each case not yet due and payable and asserted in writing) have been paid in full in cash, all Commitments have expired or been terminated, and all Letters of Credit (other than Letters of Credit that have been cash collateralized or backstopped in an amount and pursuant to arrangements reasonably satisfactory to the Administrative Agent and the applicable Issuing Lender) have expired or been terminated. </w:t>
      </w:r>
    </w:p>
    <w:p>
      <w:pPr>
        <w:pStyle w:val="TextBody"/>
        <w:bidi w:val="0"/>
        <w:spacing w:before="240" w:after="0"/>
        <w:jc w:val="left"/>
        <w:rPr/>
      </w:pPr>
      <w:r>
        <w:rPr/>
        <w:t>“</w:t>
      </w:r>
      <w:r>
        <w:rPr>
          <w:rFonts w:ascii="Times New Roman" w:hAnsi="Times New Roman"/>
          <w:sz w:val="20"/>
          <w:u w:val="single"/>
        </w:rPr>
        <w:t>Relevant Governmental Body</w:t>
      </w:r>
      <w:r>
        <w:rPr>
          <w:rFonts w:ascii="Times New Roman" w:hAnsi="Times New Roman"/>
          <w:sz w:val="20"/>
        </w:rPr>
        <w:t xml:space="preserve">” means the Board or the Federal Reserve Bank of New York, or a committee officially endorsed or convened by the Board or the Federal Reserve Bank of New York, or any successor thereto. </w:t>
      </w:r>
    </w:p>
    <w:p>
      <w:pPr>
        <w:pStyle w:val="TextBody"/>
        <w:bidi w:val="0"/>
        <w:spacing w:before="240" w:after="0"/>
        <w:jc w:val="left"/>
        <w:rPr/>
      </w:pPr>
      <w:r>
        <w:rPr/>
        <w:t>“</w:t>
      </w:r>
      <w:r>
        <w:rPr>
          <w:rFonts w:ascii="Times New Roman" w:hAnsi="Times New Roman"/>
          <w:sz w:val="20"/>
          <w:u w:val="single"/>
        </w:rPr>
        <w:t>Removal Effective Date</w:t>
      </w:r>
      <w:r>
        <w:rPr>
          <w:rFonts w:ascii="Times New Roman" w:hAnsi="Times New Roman"/>
          <w:sz w:val="20"/>
        </w:rPr>
        <w:t xml:space="preserve">” has the meaning assigned thereto in </w:t>
      </w:r>
      <w:r>
        <w:rPr>
          <w:rFonts w:ascii="Times New Roman" w:hAnsi="Times New Roman"/>
          <w:sz w:val="20"/>
          <w:u w:val="single"/>
        </w:rPr>
        <w:t>Section 8.01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Required Lenders</w:t>
      </w:r>
      <w:r>
        <w:rPr>
          <w:rFonts w:ascii="Times New Roman" w:hAnsi="Times New Roman"/>
          <w:sz w:val="20"/>
        </w:rPr>
        <w:t xml:space="preserve">” means, at any time, subject to </w:t>
      </w:r>
      <w:r>
        <w:rPr>
          <w:rFonts w:ascii="Times New Roman" w:hAnsi="Times New Roman"/>
          <w:sz w:val="20"/>
          <w:u w:val="single"/>
        </w:rPr>
        <w:t>Section 2.18(b)</w:t>
      </w:r>
      <w:r>
        <w:rPr>
          <w:rFonts w:ascii="Times New Roman" w:hAnsi="Times New Roman"/>
          <w:sz w:val="20"/>
        </w:rPr>
        <w:t xml:space="preserve"> and to </w:t>
      </w:r>
      <w:r>
        <w:rPr>
          <w:rFonts w:ascii="Times New Roman" w:hAnsi="Times New Roman"/>
          <w:sz w:val="20"/>
          <w:u w:val="single"/>
        </w:rPr>
        <w:t>Section 9.02(b)</w:t>
      </w:r>
      <w:r>
        <w:rPr>
          <w:rFonts w:ascii="Times New Roman" w:hAnsi="Times New Roman"/>
          <w:sz w:val="20"/>
        </w:rPr>
        <w:t>, Lenders having Revolving Credit Exposures, outstanding Term Loans, outstanding Incremental Term Loans and unused Commitments representing more than 50% of the sum of the total Revolving Credit Exposures, outstanding Term Loans, outstanding Incremental Term Loans and unused Commitments at such time. The “</w:t>
      </w:r>
      <w:r>
        <w:rPr>
          <w:rFonts w:ascii="Times New Roman" w:hAnsi="Times New Roman"/>
          <w:sz w:val="20"/>
          <w:u w:val="single"/>
        </w:rPr>
        <w:t>Required Lenders</w:t>
      </w:r>
      <w:r>
        <w:rPr>
          <w:rFonts w:ascii="Times New Roman" w:hAnsi="Times New Roman"/>
          <w:sz w:val="20"/>
        </w:rPr>
        <w:t xml:space="preserve">” of a particular Class of Loans means Lenders having Revolving Credit Exposures, outstanding Term Loans, outstanding Incremental Term Loans and unused Commitments of such Class representing more than 50% of the total Revolving Credit Exposures, outstanding Term Loans, outstanding Incremental Term Loans and unused Commitments of such Class at such time. </w:t>
      </w:r>
    </w:p>
    <w:p>
      <w:pPr>
        <w:pStyle w:val="TextBody"/>
        <w:bidi w:val="0"/>
        <w:spacing w:before="240" w:after="0"/>
        <w:jc w:val="left"/>
        <w:rPr/>
      </w:pPr>
      <w:r>
        <w:rPr/>
        <w:t>“</w:t>
      </w:r>
      <w:r>
        <w:rPr>
          <w:rFonts w:ascii="Times New Roman" w:hAnsi="Times New Roman"/>
          <w:sz w:val="20"/>
          <w:u w:val="single"/>
        </w:rPr>
        <w:t>Required Revolving Credit Lenders</w:t>
      </w:r>
      <w:r>
        <w:rPr>
          <w:rFonts w:ascii="Times New Roman" w:hAnsi="Times New Roman"/>
          <w:sz w:val="20"/>
        </w:rPr>
        <w:t xml:space="preserve">” means Revolving Credit Lenders having Revolving Credit Exposures and unused Revolving Credit Commitments representing more than 50% of the sum of the total Revolving Credit Exposures and unused Revolving Credit Commitments at such time. </w:t>
      </w:r>
    </w:p>
    <w:p>
      <w:pPr>
        <w:pStyle w:val="TextBody"/>
        <w:bidi w:val="0"/>
        <w:spacing w:before="240" w:after="0"/>
        <w:jc w:val="left"/>
        <w:rPr/>
      </w:pPr>
      <w:r>
        <w:rPr/>
        <w:t>“</w:t>
      </w:r>
      <w:r>
        <w:rPr>
          <w:rFonts w:ascii="Times New Roman" w:hAnsi="Times New Roman"/>
          <w:sz w:val="20"/>
          <w:u w:val="single"/>
        </w:rPr>
        <w:t>Required Term Lenders</w:t>
      </w:r>
      <w:r>
        <w:rPr>
          <w:rFonts w:ascii="Times New Roman" w:hAnsi="Times New Roman"/>
          <w:sz w:val="20"/>
        </w:rPr>
        <w:t xml:space="preserve">” means Lenders having outstanding Term Loans, outstanding Incremental Term Loans and unused Incremental Term Loan Commitments representing more than 50% of the sum of the total outstanding Term Loans, outstanding Incremental Term Loans and unused Incremental Term Loan Commitments at such time. </w:t>
      </w:r>
    </w:p>
    <w:p>
      <w:pPr>
        <w:pStyle w:val="TextBody"/>
        <w:bidi w:val="0"/>
        <w:spacing w:before="240" w:after="0"/>
        <w:jc w:val="left"/>
        <w:rPr/>
      </w:pPr>
      <w:r>
        <w:rPr/>
        <w:t>“</w:t>
      </w:r>
      <w:r>
        <w:rPr>
          <w:rFonts w:ascii="Times New Roman" w:hAnsi="Times New Roman"/>
          <w:sz w:val="20"/>
          <w:u w:val="single"/>
        </w:rPr>
        <w:t>Resignation Effective Date</w:t>
      </w:r>
      <w:r>
        <w:rPr>
          <w:rFonts w:ascii="Times New Roman" w:hAnsi="Times New Roman"/>
          <w:sz w:val="20"/>
        </w:rPr>
        <w:t xml:space="preserve">” has the meaning assigned thereto in </w:t>
      </w:r>
      <w:r>
        <w:rPr>
          <w:rFonts w:ascii="Times New Roman" w:hAnsi="Times New Roman"/>
          <w:sz w:val="20"/>
          <w:u w:val="single"/>
        </w:rPr>
        <w:t>Section 8.01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Resolution Authority</w:t>
      </w:r>
      <w:r>
        <w:rPr>
          <w:rFonts w:ascii="Times New Roman" w:hAnsi="Times New Roman"/>
          <w:sz w:val="20"/>
        </w:rPr>
        <w:t xml:space="preserve">” means an EEA Resolution Authority or, with respect to any UK Financial Institution, a UK Resolution Authority. </w:t>
      </w:r>
    </w:p>
    <w:p>
      <w:pPr>
        <w:pStyle w:val="TextBody"/>
        <w:bidi w:val="0"/>
        <w:spacing w:before="240" w:after="0"/>
        <w:jc w:val="left"/>
        <w:rPr/>
      </w:pPr>
      <w:r>
        <w:rPr/>
        <w:t>“</w:t>
      </w:r>
      <w:r>
        <w:rPr>
          <w:rFonts w:ascii="Times New Roman" w:hAnsi="Times New Roman"/>
          <w:sz w:val="20"/>
          <w:u w:val="single"/>
        </w:rPr>
        <w:t>Restricted Domestic Subsidiary</w:t>
      </w:r>
      <w:r>
        <w:rPr>
          <w:rFonts w:ascii="Times New Roman" w:hAnsi="Times New Roman"/>
          <w:sz w:val="20"/>
        </w:rPr>
        <w:t xml:space="preserve">” means any Domestic Subsidiary of GEO that is not an Unrestricted Subsidiary. </w:t>
      </w:r>
    </w:p>
    <w:p>
      <w:pPr>
        <w:pStyle w:val="TextBody"/>
        <w:bidi w:val="0"/>
        <w:spacing w:before="240" w:after="0"/>
        <w:jc w:val="left"/>
        <w:rPr/>
      </w:pPr>
      <w:r>
        <w:rPr/>
        <w:t>“</w:t>
      </w:r>
      <w:r>
        <w:rPr>
          <w:rFonts w:ascii="Times New Roman" w:hAnsi="Times New Roman"/>
          <w:sz w:val="20"/>
          <w:u w:val="single"/>
        </w:rPr>
        <w:t>Restricted Payment</w:t>
      </w:r>
      <w:r>
        <w:rPr>
          <w:rFonts w:ascii="Times New Roman" w:hAnsi="Times New Roman"/>
          <w:sz w:val="20"/>
        </w:rPr>
        <w:t xml:space="preserve">” means, with respect to any Person, any (x) dividend or other distribution (whether in cash, securities or other property) with respect to any Equity Interests of such Person, or (y) payment (whether in cash, securities or other property), including any sinking fund or similar deposit, on account of the purchase, redemption, retirement, acquisition, cancellation or termination of any Equity Interests of such Person or any Equity Rights with respect to such Person (including, without limitation, any payment of any convertible debt securities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original principal amount thereof (or the portion thereof to which such payment is attributable)); </w:t>
      </w:r>
      <w:r>
        <w:rPr>
          <w:rFonts w:ascii="Times New Roman" w:hAnsi="Times New Roman"/>
          <w:sz w:val="20"/>
          <w:u w:val="single"/>
        </w:rPr>
        <w:t>provided</w:t>
      </w:r>
      <w:r>
        <w:rPr>
          <w:rFonts w:ascii="Times New Roman" w:hAnsi="Times New Roman"/>
          <w:sz w:val="20"/>
        </w:rPr>
        <w:t xml:space="preserve"> that the payment of principal of any convertible debt securities not in excess of the original principal amount thereof (or the portion thereof to which such payment is attributable), and the payment of interest with respect to any convertible debt securities, shall in each case not constitute a Restricted Payment. </w:t>
      </w:r>
    </w:p>
    <w:p>
      <w:pPr>
        <w:pStyle w:val="TextBody"/>
        <w:bidi w:val="0"/>
        <w:spacing w:before="240" w:after="0"/>
        <w:jc w:val="left"/>
        <w:rPr/>
      </w:pPr>
      <w:r>
        <w:rPr/>
        <w:t>“</w:t>
      </w:r>
      <w:r>
        <w:rPr>
          <w:rFonts w:ascii="Times New Roman" w:hAnsi="Times New Roman"/>
          <w:sz w:val="20"/>
          <w:u w:val="single"/>
        </w:rPr>
        <w:t>Restricted Subsidiary</w:t>
      </w:r>
      <w:r>
        <w:rPr>
          <w:rFonts w:ascii="Times New Roman" w:hAnsi="Times New Roman"/>
          <w:sz w:val="20"/>
        </w:rPr>
        <w:t xml:space="preserve">” means any Subsidiary of GEO that is not an Unrestricted Subsidiary. </w:t>
      </w:r>
    </w:p>
    <w:p>
      <w:pPr>
        <w:pStyle w:val="TextBody"/>
        <w:bidi w:val="0"/>
        <w:spacing w:before="240" w:after="0"/>
        <w:jc w:val="left"/>
        <w:rPr/>
      </w:pPr>
      <w:r>
        <w:rPr/>
        <w:t>“</w:t>
      </w:r>
      <w:r>
        <w:rPr>
          <w:rFonts w:ascii="Times New Roman" w:hAnsi="Times New Roman"/>
          <w:sz w:val="20"/>
          <w:u w:val="single"/>
        </w:rPr>
        <w:t>Revolving Credit</w:t>
      </w:r>
      <w:r>
        <w:rPr>
          <w:rFonts w:ascii="Times New Roman" w:hAnsi="Times New Roman"/>
          <w:sz w:val="20"/>
        </w:rPr>
        <w:t xml:space="preserve">”, when used in reference to any Loan or Borrowing, refers to whether such Loan, or the Loans comprising such Borrowing, is or are made pursuant to </w:t>
      </w:r>
      <w:r>
        <w:rPr>
          <w:rFonts w:ascii="Times New Roman" w:hAnsi="Times New Roman"/>
          <w:sz w:val="20"/>
          <w:u w:val="single"/>
        </w:rPr>
        <w:t>Section 2.01(a)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Revolving Credit Availability Period</w:t>
      </w:r>
      <w:r>
        <w:rPr>
          <w:rFonts w:ascii="Times New Roman" w:hAnsi="Times New Roman"/>
          <w:sz w:val="20"/>
        </w:rPr>
        <w:t xml:space="preserve">” means the period from and including the Effective Date to but excluding the earlier of the Revolving Credit Commitment Termination Date and the date of termination of the Revolving Credit Commitments. </w:t>
      </w:r>
    </w:p>
    <w:p>
      <w:pPr>
        <w:pStyle w:val="TextBody"/>
        <w:bidi w:val="0"/>
        <w:spacing w:before="240" w:after="0"/>
        <w:jc w:val="left"/>
        <w:rPr/>
      </w:pPr>
      <w:r>
        <w:rPr/>
        <w:t>“</w:t>
      </w:r>
      <w:r>
        <w:rPr>
          <w:rFonts w:ascii="Times New Roman" w:hAnsi="Times New Roman"/>
          <w:sz w:val="20"/>
          <w:u w:val="single"/>
        </w:rPr>
        <w:t>Revolving Credit Commitment</w:t>
      </w:r>
      <w:r>
        <w:rPr>
          <w:rFonts w:ascii="Times New Roman" w:hAnsi="Times New Roman"/>
          <w:sz w:val="20"/>
        </w:rPr>
        <w:t xml:space="preserve">” means, with respect to each Lender, the commitment, if any, of such Lender to make Revolving Credit Loans and to acquire participations in Letters of Credit and Swingline Loans hereunder, expressed as an amount representing the maximum aggregate amount of such Lender’s Revolving Credit Exposure hereunder, as such commitment may be (a) reduced or increased from time to time pursuant to Section 2.08 and (b) reduced or increased from time to time pursuant to assignments by or to such Lender pursuant to Section 9.04. The aggregate amount of the Lenders’ Revolving Credit Commitments as of the Effective Date is $550,000,000. The initial amount of each applicable Lender’s Revolving Credit Commitment is set forth in such Lender’s Lender Addendum delivered on the Effective Date or the Assignment and Assumption pursuant to which such Lender shall have become a party to this Agreement and/or assumed its Revolving Credit Commitment, as the case may be. </w:t>
      </w:r>
    </w:p>
    <w:p>
      <w:pPr>
        <w:pStyle w:val="TextBody"/>
        <w:bidi w:val="0"/>
        <w:spacing w:before="240" w:after="0"/>
        <w:jc w:val="left"/>
        <w:rPr/>
      </w:pPr>
      <w:r>
        <w:rPr/>
        <w:t>“</w:t>
      </w:r>
      <w:r>
        <w:rPr>
          <w:rFonts w:ascii="Times New Roman" w:hAnsi="Times New Roman"/>
          <w:sz w:val="20"/>
          <w:u w:val="single"/>
        </w:rPr>
        <w:t>Revolving Credit Commitment Increase</w:t>
      </w:r>
      <w:r>
        <w:rPr>
          <w:rFonts w:ascii="Times New Roman" w:hAnsi="Times New Roman"/>
          <w:sz w:val="20"/>
        </w:rPr>
        <w:t xml:space="preserve">” has the meaning assigned thereto in </w:t>
      </w:r>
      <w:r>
        <w:rPr>
          <w:rFonts w:ascii="Times New Roman" w:hAnsi="Times New Roman"/>
          <w:sz w:val="20"/>
          <w:u w:val="single"/>
        </w:rPr>
        <w:t>Section 2.08(e)(i)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Revolving Credit Commitment Increase Amendment</w:t>
      </w:r>
      <w:r>
        <w:rPr>
          <w:rFonts w:ascii="Times New Roman" w:hAnsi="Times New Roman"/>
          <w:sz w:val="20"/>
        </w:rPr>
        <w:t xml:space="preserve">” has the meaning assigned thereto in </w:t>
      </w:r>
      <w:r>
        <w:rPr>
          <w:rFonts w:ascii="Times New Roman" w:hAnsi="Times New Roman"/>
          <w:sz w:val="20"/>
          <w:u w:val="single"/>
        </w:rPr>
        <w:t>Section 2.08(e)(ii)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Revolving Credit Commitment Termination Date</w:t>
      </w:r>
      <w:r>
        <w:rPr>
          <w:rFonts w:ascii="Times New Roman" w:hAnsi="Times New Roman"/>
          <w:sz w:val="20"/>
        </w:rPr>
        <w:t>” means the earliest of (i) July 14, 2031 (the “</w:t>
      </w:r>
      <w:r>
        <w:rPr>
          <w:rFonts w:ascii="Times New Roman" w:hAnsi="Times New Roman"/>
          <w:sz w:val="20"/>
          <w:u w:val="single"/>
        </w:rPr>
        <w:t>Outside Revolving Credit Commitment Termination Date</w:t>
      </w:r>
      <w:r>
        <w:rPr>
          <w:rFonts w:ascii="Times New Roman" w:hAnsi="Times New Roman"/>
          <w:sz w:val="20"/>
        </w:rPr>
        <w:t>”) and (ii) in the event that the principal amount of Term Loans and Senior Notes (other than those that mature more than ninety-one (91) days after the Outside Revolving Credit Commitment Termination Date) outstanding in the aggregate is equal to or greater than $100,000,000 on any Springing Maturity Date with respect to any series or class of Term Loans or any Senior Notes, such Springing Maturity Date, it being understood that Senior Notes shall not be considered to be outstanding for purposes of this clause (ii) to the extent GEO shall have deposited or caused to be deposited funds into a customary irrevocable escrow in an amount sufficient to pay or redeem such Senior Notes in full on the maturity date thereof (the “</w:t>
      </w:r>
      <w:r>
        <w:rPr>
          <w:rFonts w:ascii="Times New Roman" w:hAnsi="Times New Roman"/>
          <w:sz w:val="20"/>
          <w:u w:val="single"/>
        </w:rPr>
        <w:t>Maturity Reserve Condition</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if such date is not a Business Day, then the Revolving Credit Commitment Termination Date shall be the preceding Business Day.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Revolving Credit Exposure</w:t>
      </w:r>
      <w:r>
        <w:rPr>
          <w:rFonts w:ascii="Times New Roman" w:hAnsi="Times New Roman"/>
          <w:sz w:val="20"/>
        </w:rPr>
        <w:t xml:space="preserve">” means, with respect to any Lender at any time, the sum of the outstanding principal amount of such Lender’s Revolving Credit Loans and its LC Exposure and Swingline Exposure at such time. </w:t>
      </w:r>
    </w:p>
    <w:p>
      <w:pPr>
        <w:pStyle w:val="TextBody"/>
        <w:bidi w:val="0"/>
        <w:spacing w:before="240" w:after="0"/>
        <w:jc w:val="left"/>
        <w:rPr/>
      </w:pPr>
      <w:r>
        <w:rPr/>
        <w:t>“</w:t>
      </w:r>
      <w:r>
        <w:rPr>
          <w:rFonts w:ascii="Times New Roman" w:hAnsi="Times New Roman"/>
          <w:sz w:val="20"/>
          <w:u w:val="single"/>
        </w:rPr>
        <w:t>Revolving Credit Lender</w:t>
      </w:r>
      <w:r>
        <w:rPr>
          <w:rFonts w:ascii="Times New Roman" w:hAnsi="Times New Roman"/>
          <w:sz w:val="20"/>
        </w:rPr>
        <w:t xml:space="preserve">” means a Lender with a Revolving Credit Commitment or, if the Revolving Credit Commitments have expired or been terminated, a Lender with Revolving Credit Exposure. </w:t>
      </w:r>
    </w:p>
    <w:p>
      <w:pPr>
        <w:pStyle w:val="TextBody"/>
        <w:bidi w:val="0"/>
        <w:spacing w:before="240" w:after="0"/>
        <w:jc w:val="left"/>
        <w:rPr/>
      </w:pPr>
      <w:r>
        <w:rPr/>
        <w:t>“</w:t>
      </w:r>
      <w:r>
        <w:rPr>
          <w:rFonts w:ascii="Times New Roman" w:hAnsi="Times New Roman"/>
          <w:sz w:val="20"/>
          <w:u w:val="single"/>
        </w:rPr>
        <w:t>Revolving Credit Loan</w:t>
      </w:r>
      <w:r>
        <w:rPr>
          <w:rFonts w:ascii="Times New Roman" w:hAnsi="Times New Roman"/>
          <w:sz w:val="20"/>
        </w:rPr>
        <w:t xml:space="preserve">” means a Loan made pursuant to </w:t>
      </w:r>
      <w:r>
        <w:rPr>
          <w:rFonts w:ascii="Times New Roman" w:hAnsi="Times New Roman"/>
          <w:sz w:val="20"/>
          <w:u w:val="single"/>
        </w:rPr>
        <w:t>Section 2.01(a)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Revolving Credit Loan Note</w:t>
      </w:r>
      <w:r>
        <w:rPr>
          <w:rFonts w:ascii="Times New Roman" w:hAnsi="Times New Roman"/>
          <w:sz w:val="20"/>
        </w:rPr>
        <w:t xml:space="preserve">” means a promissory note of the Borrowers payable to any Revolving Credit Lender, substantially in the form of </w:t>
      </w:r>
      <w:r>
        <w:rPr>
          <w:rFonts w:ascii="Times New Roman" w:hAnsi="Times New Roman"/>
          <w:sz w:val="20"/>
          <w:u w:val="single"/>
        </w:rPr>
        <w:t>Exhibit A-1</w:t>
      </w:r>
      <w:r>
        <w:rPr>
          <w:rFonts w:ascii="Times New Roman" w:hAnsi="Times New Roman"/>
          <w:sz w:val="20"/>
        </w:rPr>
        <w:t xml:space="preserve"> (as such promissory note may be amended, endorsed or otherwise modified from time to time), evidencing the aggregate Indebtedness of the Borrowers to such Lender resulting from outstanding Revolving Credit Loans, and also means all other promissory notes accepted from time to time in substitution therefor or renewal thereof. </w:t>
      </w:r>
    </w:p>
    <w:p>
      <w:pPr>
        <w:pStyle w:val="TextBody"/>
        <w:bidi w:val="0"/>
        <w:spacing w:before="240" w:after="0"/>
        <w:jc w:val="left"/>
        <w:rPr/>
      </w:pPr>
      <w:r>
        <w:rPr/>
        <w:t>“</w:t>
      </w:r>
      <w:r>
        <w:rPr>
          <w:rFonts w:ascii="Times New Roman" w:hAnsi="Times New Roman"/>
          <w:sz w:val="20"/>
          <w:u w:val="single"/>
        </w:rPr>
        <w:t>Rollover Letter of Credit</w:t>
      </w:r>
      <w:r>
        <w:rPr>
          <w:rFonts w:ascii="Times New Roman" w:hAnsi="Times New Roman"/>
          <w:sz w:val="20"/>
        </w:rPr>
        <w:t xml:space="preserve">” means, with respect to any Acquired Business, any undrawn letter of credit issued on behalf or in respect of such Acquired Business and outstanding on the date the relevant Permitted Acquisition shall have been consummated; </w:t>
      </w:r>
      <w:r>
        <w:rPr>
          <w:rFonts w:ascii="Times New Roman" w:hAnsi="Times New Roman"/>
          <w:sz w:val="20"/>
          <w:u w:val="single"/>
        </w:rPr>
        <w:t>provided</w:t>
      </w:r>
      <w:r>
        <w:rPr>
          <w:rFonts w:ascii="Times New Roman" w:hAnsi="Times New Roman"/>
          <w:sz w:val="20"/>
        </w:rPr>
        <w:t xml:space="preserve"> that (x) the issuer of such letter of credit shall be or shall have become an Issuing Lender hereunder, (y) each of the conditions set forth in </w:t>
      </w:r>
      <w:r>
        <w:rPr>
          <w:rFonts w:ascii="Times New Roman" w:hAnsi="Times New Roman"/>
          <w:sz w:val="20"/>
          <w:u w:val="single"/>
        </w:rPr>
        <w:t>Section 4.02</w:t>
      </w:r>
      <w:r>
        <w:rPr>
          <w:rFonts w:ascii="Times New Roman" w:hAnsi="Times New Roman"/>
          <w:sz w:val="20"/>
        </w:rPr>
        <w:t xml:space="preserve"> shall have been satisfied and (z) such letter of credit shall comply with all other applicable requirements of this Agreement with respect to Letters of Credit issued hereunder (including, without limitation, </w:t>
      </w:r>
      <w:r>
        <w:rPr>
          <w:rFonts w:ascii="Times New Roman" w:hAnsi="Times New Roman"/>
          <w:sz w:val="20"/>
          <w:u w:val="single"/>
        </w:rPr>
        <w:t>Section 2.05(c))</w:t>
      </w:r>
      <w:r>
        <w:rPr>
          <w:rFonts w:ascii="Times New Roman" w:hAnsi="Times New Roman"/>
          <w:sz w:val="20"/>
        </w:rPr>
        <w:t xml:space="preserve">, in each case on and as of such date. </w:t>
      </w:r>
    </w:p>
    <w:p>
      <w:pPr>
        <w:pStyle w:val="TextBody"/>
        <w:bidi w:val="0"/>
        <w:spacing w:before="240" w:after="0"/>
        <w:jc w:val="left"/>
        <w:rPr/>
      </w:pPr>
      <w:r>
        <w:rPr/>
        <w:t>“</w:t>
      </w:r>
      <w:r>
        <w:rPr>
          <w:rFonts w:ascii="Times New Roman" w:hAnsi="Times New Roman"/>
          <w:sz w:val="20"/>
          <w:u w:val="single"/>
        </w:rPr>
        <w:t>S&amp;P</w:t>
      </w:r>
      <w:r>
        <w:rPr>
          <w:rFonts w:ascii="Times New Roman" w:hAnsi="Times New Roman"/>
          <w:sz w:val="20"/>
        </w:rPr>
        <w:t xml:space="preserve">” means Standard &amp; Poor’s Ratings Services, a Standard &amp; Poor’s Financial Services LLC business, and any successor thereto. </w:t>
      </w:r>
    </w:p>
    <w:p>
      <w:pPr>
        <w:pStyle w:val="TextBody"/>
        <w:bidi w:val="0"/>
        <w:spacing w:before="240" w:after="0"/>
        <w:jc w:val="left"/>
        <w:rPr/>
      </w:pPr>
      <w:r>
        <w:rPr/>
        <w:t>“</w:t>
      </w:r>
      <w:r>
        <w:rPr>
          <w:rFonts w:ascii="Times New Roman" w:hAnsi="Times New Roman"/>
          <w:sz w:val="20"/>
          <w:u w:val="single"/>
        </w:rPr>
        <w:t>Sanctioned Country</w:t>
      </w:r>
      <w:r>
        <w:rPr>
          <w:rFonts w:ascii="Times New Roman" w:hAnsi="Times New Roman"/>
          <w:sz w:val="20"/>
        </w:rPr>
        <w:t xml:space="preserve">” means, at any time, a country, territory or region that is, or whose government is, the subject or target of any Sanctions (which, as of the Effective Date, includes Cuba, Iran, North Korea, Syria and the Crimea, the so-called Donetsk People’s Republic, the so-called Luhansk People’s Republic, and the Kherson and Zaporizhzhia regions of Ukraine). </w:t>
      </w:r>
    </w:p>
    <w:p>
      <w:pPr>
        <w:pStyle w:val="TextBody"/>
        <w:bidi w:val="0"/>
        <w:spacing w:before="240" w:after="0"/>
        <w:jc w:val="left"/>
        <w:rPr/>
      </w:pPr>
      <w:r>
        <w:rPr/>
        <w:t>“</w:t>
      </w:r>
      <w:r>
        <w:rPr>
          <w:rFonts w:ascii="Times New Roman" w:hAnsi="Times New Roman"/>
          <w:sz w:val="20"/>
          <w:u w:val="single"/>
        </w:rPr>
        <w:t>Sanctioned Person</w:t>
      </w:r>
      <w:r>
        <w:rPr>
          <w:rFonts w:ascii="Times New Roman" w:hAnsi="Times New Roman"/>
          <w:sz w:val="20"/>
        </w:rPr>
        <w:t xml:space="preserve">” means, at any time, any Person with whom dealings are restricted or prohibited under Sanctions, including (a) any Person listed in any Sanctions-related list of designated Persons maintained by the United States (including by the Office of Foreign Assets Control of the U.S. Department of the Treasury, the U.S. Department of State, or the U.S. Department of Commerce), the United Nations Security Council, the European Union or any of its member states, His Majesty’s Treasury, Switzerland or any other relevant authority, (b) any Person located, operating, organized or resident in, or any Governmental Authority or governmental instrumentality of, a Sanctioned Country or (c) any Person 25% or more directly or indirectly owned by, controlled by, or acting for the benefit or on behalf of, any Person described in clauses (a) or (b) hereof. </w:t>
      </w:r>
    </w:p>
    <w:p>
      <w:pPr>
        <w:pStyle w:val="TextBody"/>
        <w:bidi w:val="0"/>
        <w:spacing w:before="240" w:after="0"/>
        <w:jc w:val="left"/>
        <w:rPr/>
      </w:pPr>
      <w:r>
        <w:rPr/>
        <w:t>“</w:t>
      </w:r>
      <w:r>
        <w:rPr>
          <w:rFonts w:ascii="Times New Roman" w:hAnsi="Times New Roman"/>
          <w:sz w:val="20"/>
          <w:u w:val="single"/>
        </w:rPr>
        <w:t>Sanctions</w:t>
      </w:r>
      <w:r>
        <w:rPr>
          <w:rFonts w:ascii="Times New Roman" w:hAnsi="Times New Roman"/>
          <w:sz w:val="20"/>
        </w:rPr>
        <w:t xml:space="preserve">” means economic or financial sanctions or trade embargoes or restrictive measures enacted, imposed, administered or enforced from time to time by (a) the U.S. government, including those administered by the Office of Foreign Assets Control of the U.S. Department of the Treasury, the U.S. Department of State, or the U.S. Department of Commerce, (b) the United Nations Security Council, (c) the European Union or any of its member states, (d) His Majesty’s Treasury, (e) Switzerland or (f) any other relevant authority.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Second Currency</w:t>
      </w:r>
      <w:r>
        <w:rPr>
          <w:rFonts w:ascii="Times New Roman" w:hAnsi="Times New Roman"/>
          <w:sz w:val="20"/>
        </w:rPr>
        <w:t xml:space="preserve">” has the meaning assigned thereto in </w:t>
      </w:r>
      <w:r>
        <w:rPr>
          <w:rFonts w:ascii="Times New Roman" w:hAnsi="Times New Roman"/>
          <w:sz w:val="20"/>
          <w:u w:val="single"/>
        </w:rPr>
        <w:t>Section 9.15</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Secured Parties</w:t>
      </w:r>
      <w:r>
        <w:rPr>
          <w:rFonts w:ascii="Times New Roman" w:hAnsi="Times New Roman"/>
          <w:sz w:val="20"/>
        </w:rPr>
        <w:t xml:space="preserve">” means the Administrative Agent, the Lenders, the Issuing Lenders, the Hedge Counterparties and the Cash Management Banks. </w:t>
      </w:r>
    </w:p>
    <w:p>
      <w:pPr>
        <w:pStyle w:val="TextBody"/>
        <w:bidi w:val="0"/>
        <w:spacing w:before="240" w:after="0"/>
        <w:jc w:val="left"/>
        <w:rPr/>
      </w:pPr>
      <w:r>
        <w:rPr/>
        <w:t>“</w:t>
      </w:r>
      <w:r>
        <w:rPr>
          <w:rFonts w:ascii="Times New Roman" w:hAnsi="Times New Roman"/>
          <w:sz w:val="20"/>
          <w:u w:val="single"/>
        </w:rPr>
        <w:t>Security Documents</w:t>
      </w:r>
      <w:r>
        <w:rPr>
          <w:rFonts w:ascii="Times New Roman" w:hAnsi="Times New Roman"/>
          <w:sz w:val="20"/>
        </w:rPr>
        <w:t xml:space="preserve">” means the Guaranty Agreement, the Collateral Agreement, the Mortgages, the Collateral Assignment, each Joinder Agreement and each other agreement or writing pursuant to which any Borrower or any Restricted Subsidiary purports to grant a Lien on any property or assets securing their obligations under the Loan Documents. </w:t>
      </w:r>
    </w:p>
    <w:p>
      <w:pPr>
        <w:pStyle w:val="TextBody"/>
        <w:bidi w:val="0"/>
        <w:spacing w:before="240" w:after="0"/>
        <w:jc w:val="left"/>
        <w:rPr/>
      </w:pPr>
      <w:r>
        <w:rPr/>
        <w:t>“</w:t>
      </w:r>
      <w:r>
        <w:rPr>
          <w:rFonts w:ascii="Times New Roman" w:hAnsi="Times New Roman"/>
          <w:sz w:val="20"/>
          <w:u w:val="single"/>
        </w:rPr>
        <w:t>Senior Note Indentures</w:t>
      </w:r>
      <w:r>
        <w:rPr>
          <w:rFonts w:ascii="Times New Roman" w:hAnsi="Times New Roman"/>
          <w:sz w:val="20"/>
        </w:rPr>
        <w:t xml:space="preserve">” means, collectively, each of the indentures under which the Senior Notes are issued. </w:t>
      </w:r>
    </w:p>
    <w:p>
      <w:pPr>
        <w:pStyle w:val="TextBody"/>
        <w:bidi w:val="0"/>
        <w:spacing w:before="240" w:after="0"/>
        <w:jc w:val="left"/>
        <w:rPr/>
      </w:pPr>
      <w:r>
        <w:rPr/>
        <w:t>“</w:t>
      </w:r>
      <w:r>
        <w:rPr>
          <w:rFonts w:ascii="Times New Roman" w:hAnsi="Times New Roman"/>
          <w:sz w:val="20"/>
          <w:u w:val="single"/>
        </w:rPr>
        <w:t>Senior Notes</w:t>
      </w:r>
      <w:r>
        <w:rPr>
          <w:rFonts w:ascii="Times New Roman" w:hAnsi="Times New Roman"/>
          <w:sz w:val="20"/>
        </w:rPr>
        <w:t xml:space="preserve">” means, collectively, any senior notes issued, whether prior to, on or after the Effective Date, by GEO or any of its Subsidiaries. </w:t>
      </w:r>
    </w:p>
    <w:p>
      <w:pPr>
        <w:pStyle w:val="TextBody"/>
        <w:bidi w:val="0"/>
        <w:spacing w:before="240" w:after="0"/>
        <w:jc w:val="left"/>
        <w:rPr/>
      </w:pPr>
      <w:r>
        <w:rPr/>
        <w:t>“</w:t>
      </w:r>
      <w:r>
        <w:rPr>
          <w:rFonts w:ascii="Times New Roman" w:hAnsi="Times New Roman"/>
          <w:sz w:val="20"/>
          <w:u w:val="single"/>
        </w:rPr>
        <w:t>Series</w:t>
      </w:r>
      <w:r>
        <w:rPr>
          <w:rFonts w:ascii="Times New Roman" w:hAnsi="Times New Roman"/>
          <w:sz w:val="20"/>
        </w:rPr>
        <w:t xml:space="preserve">” has the meaning assigned thereto in </w:t>
      </w:r>
      <w:r>
        <w:rPr>
          <w:rFonts w:ascii="Times New Roman" w:hAnsi="Times New Roman"/>
          <w:sz w:val="20"/>
          <w:u w:val="single"/>
        </w:rPr>
        <w:t>Section 2.01(e)</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Significant Subsidiary</w:t>
      </w:r>
      <w:r>
        <w:rPr>
          <w:rFonts w:ascii="Times New Roman" w:hAnsi="Times New Roman"/>
          <w:sz w:val="20"/>
        </w:rPr>
        <w:t xml:space="preserve">” means (a) any Subsidiary (or group of Subsidiaries on a consolidated or combined basis) that would be a “significant subsidiary” as defined in Article 1, Rule 1-02 of Regulation S-X, promulgated pursuant to the Securities Act of 1933, as such Regulation is in effect on the date hereof, and (b) Corrections. </w:t>
      </w:r>
    </w:p>
    <w:p>
      <w:pPr>
        <w:pStyle w:val="TextBody"/>
        <w:bidi w:val="0"/>
        <w:spacing w:before="240" w:after="0"/>
        <w:jc w:val="left"/>
        <w:rPr/>
      </w:pPr>
      <w:r>
        <w:rPr/>
        <w:t>“</w:t>
      </w:r>
      <w:r>
        <w:rPr>
          <w:rFonts w:ascii="Times New Roman" w:hAnsi="Times New Roman"/>
          <w:sz w:val="20"/>
          <w:u w:val="single"/>
        </w:rPr>
        <w:t>SOFR</w:t>
      </w:r>
      <w:r>
        <w:rPr>
          <w:rFonts w:ascii="Times New Roman" w:hAnsi="Times New Roman"/>
          <w:sz w:val="20"/>
        </w:rPr>
        <w:t xml:space="preserve">” means a rate equal to the secured overnight financing rate as administered by the SOFR Administrator. </w:t>
      </w:r>
    </w:p>
    <w:p>
      <w:pPr>
        <w:pStyle w:val="TextBody"/>
        <w:bidi w:val="0"/>
        <w:spacing w:before="240" w:after="0"/>
        <w:jc w:val="left"/>
        <w:rPr/>
      </w:pPr>
      <w:r>
        <w:rPr/>
        <w:t>“</w:t>
      </w:r>
      <w:r>
        <w:rPr>
          <w:rFonts w:ascii="Times New Roman" w:hAnsi="Times New Roman"/>
          <w:sz w:val="20"/>
          <w:u w:val="single"/>
        </w:rPr>
        <w:t>SOFR Administrator</w:t>
      </w:r>
      <w:r>
        <w:rPr>
          <w:rFonts w:ascii="Times New Roman" w:hAnsi="Times New Roman"/>
          <w:sz w:val="20"/>
        </w:rPr>
        <w:t xml:space="preserve">” means the Federal Reserve Bank of New York (or a successor administrator of the secured overnight financing rate). </w:t>
      </w:r>
    </w:p>
    <w:p>
      <w:pPr>
        <w:pStyle w:val="TextBody"/>
        <w:bidi w:val="0"/>
        <w:spacing w:before="240" w:after="0"/>
        <w:jc w:val="left"/>
        <w:rPr/>
      </w:pPr>
      <w:r>
        <w:rPr/>
        <w:t>“</w:t>
      </w:r>
      <w:r>
        <w:rPr>
          <w:rFonts w:ascii="Times New Roman" w:hAnsi="Times New Roman"/>
          <w:sz w:val="20"/>
          <w:u w:val="single"/>
        </w:rPr>
        <w:t>SOFR Borrowing</w:t>
      </w:r>
      <w:r>
        <w:rPr>
          <w:rFonts w:ascii="Times New Roman" w:hAnsi="Times New Roman"/>
          <w:sz w:val="20"/>
        </w:rPr>
        <w:t xml:space="preserve">” means, as to any Borrowing, the SOFR Loans comprising such Borrowing. </w:t>
      </w:r>
    </w:p>
    <w:p>
      <w:pPr>
        <w:pStyle w:val="TextBody"/>
        <w:bidi w:val="0"/>
        <w:spacing w:before="240" w:after="0"/>
        <w:jc w:val="left"/>
        <w:rPr/>
      </w:pPr>
      <w:r>
        <w:rPr/>
        <w:t>“</w:t>
      </w:r>
      <w:r>
        <w:rPr>
          <w:rFonts w:ascii="Times New Roman" w:hAnsi="Times New Roman"/>
          <w:sz w:val="20"/>
          <w:u w:val="single"/>
        </w:rPr>
        <w:t>SOFR Loan</w:t>
      </w:r>
      <w:r>
        <w:rPr>
          <w:rFonts w:ascii="Times New Roman" w:hAnsi="Times New Roman"/>
          <w:sz w:val="20"/>
        </w:rPr>
        <w:t xml:space="preserve">” means a Loan that bears interest at a rate based on Term SOFR, other than pursuant to </w:t>
      </w:r>
      <w:r>
        <w:rPr>
          <w:rFonts w:ascii="Times New Roman" w:hAnsi="Times New Roman"/>
          <w:sz w:val="20"/>
          <w:u w:val="single"/>
        </w:rPr>
        <w:t>clause (c)</w:t>
      </w:r>
      <w:r>
        <w:rPr>
          <w:rFonts w:ascii="Times New Roman" w:hAnsi="Times New Roman"/>
          <w:sz w:val="20"/>
        </w:rPr>
        <w:t xml:space="preserve"> of the definition of “Alternate Base Rate”. </w:t>
      </w:r>
    </w:p>
    <w:p>
      <w:pPr>
        <w:pStyle w:val="TextBody"/>
        <w:bidi w:val="0"/>
        <w:spacing w:before="240" w:after="0"/>
        <w:jc w:val="left"/>
        <w:rPr/>
      </w:pPr>
      <w:r>
        <w:rPr/>
        <w:t>“</w:t>
      </w:r>
      <w:r>
        <w:rPr>
          <w:rFonts w:ascii="Times New Roman" w:hAnsi="Times New Roman"/>
          <w:sz w:val="20"/>
          <w:u w:val="single"/>
        </w:rPr>
        <w:t>Solvent</w:t>
      </w:r>
      <w:r>
        <w:rPr>
          <w:rFonts w:ascii="Times New Roman" w:hAnsi="Times New Roman"/>
          <w:sz w:val="20"/>
        </w:rPr>
        <w:t xml:space="preserve">” means, as to GEO and its Subsidiaries on a particular date, that each such Person (a) has capital sufficient to carry on its business and transactions and all business and transactions in which it is about to engage and is able to pay its debts as they mature, (b) owns property having a value, both at fair valuation and at present fair saleable value, greater than the amount required to pay its probable liabilities (including contingencies), (c) does not intend to, and does not believe that it will, incur debts or liabilities beyond such Person’s ability to pay as such debts and liabilities mature and (d) is “solvent” within the meaning given that term and similar terms under Title 11 of the United States Code entitled “Bankruptcy” (as now and hereafter in effect or any successor statute) and other applicable laws relating to fraudulent transfers and conveyances.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Specified Currency</w:t>
      </w:r>
      <w:r>
        <w:rPr>
          <w:rFonts w:ascii="Times New Roman" w:hAnsi="Times New Roman"/>
          <w:sz w:val="20"/>
        </w:rPr>
        <w:t xml:space="preserve">” has the meaning assigned thereto in </w:t>
      </w:r>
      <w:r>
        <w:rPr>
          <w:rFonts w:ascii="Times New Roman" w:hAnsi="Times New Roman"/>
          <w:sz w:val="20"/>
          <w:u w:val="single"/>
        </w:rPr>
        <w:t>Section 9.15</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Specified Financial Covenant Event of Default</w:t>
      </w:r>
      <w:r>
        <w:rPr>
          <w:rFonts w:ascii="Times New Roman" w:hAnsi="Times New Roman"/>
          <w:sz w:val="20"/>
        </w:rPr>
        <w:t xml:space="preserve">” has the meaning assigned thereto in </w:t>
      </w:r>
      <w:r>
        <w:rPr>
          <w:rFonts w:ascii="Times New Roman" w:hAnsi="Times New Roman"/>
          <w:sz w:val="20"/>
          <w:u w:val="single"/>
        </w:rPr>
        <w:t>Section 7.01(d)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Specified Place</w:t>
      </w:r>
      <w:r>
        <w:rPr>
          <w:rFonts w:ascii="Times New Roman" w:hAnsi="Times New Roman"/>
          <w:sz w:val="20"/>
        </w:rPr>
        <w:t xml:space="preserve">” has the meaning assigned thereto in </w:t>
      </w:r>
      <w:r>
        <w:rPr>
          <w:rFonts w:ascii="Times New Roman" w:hAnsi="Times New Roman"/>
          <w:sz w:val="20"/>
          <w:u w:val="single"/>
        </w:rPr>
        <w:t>Section 9.15</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Specified Term Loan Refinancing</w:t>
      </w:r>
      <w:r>
        <w:rPr>
          <w:rFonts w:ascii="Times New Roman" w:hAnsi="Times New Roman"/>
          <w:sz w:val="20"/>
        </w:rPr>
        <w:t xml:space="preserve">” has the meaning assigned thereto in </w:t>
      </w:r>
      <w:r>
        <w:rPr>
          <w:rFonts w:ascii="Times New Roman" w:hAnsi="Times New Roman"/>
          <w:sz w:val="20"/>
          <w:u w:val="single"/>
        </w:rPr>
        <w:t>Section 2.01(f)</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Springing Material Real Property Threshold</w:t>
      </w:r>
      <w:r>
        <w:rPr>
          <w:rFonts w:ascii="Times New Roman" w:hAnsi="Times New Roman"/>
          <w:sz w:val="20"/>
        </w:rPr>
        <w:t xml:space="preserve">” has the meaning assigned thereto in clause (b) of the definition of “Material Real Property.” </w:t>
      </w:r>
    </w:p>
    <w:p>
      <w:pPr>
        <w:pStyle w:val="TextBody"/>
        <w:bidi w:val="0"/>
        <w:spacing w:before="240" w:after="0"/>
        <w:jc w:val="left"/>
        <w:rPr/>
      </w:pPr>
      <w:r>
        <w:rPr/>
        <w:t>“</w:t>
      </w:r>
      <w:r>
        <w:rPr>
          <w:rFonts w:ascii="Times New Roman" w:hAnsi="Times New Roman"/>
          <w:sz w:val="20"/>
          <w:u w:val="single"/>
        </w:rPr>
        <w:t>Springing Maturity Date</w:t>
      </w:r>
      <w:r>
        <w:rPr>
          <w:rFonts w:ascii="Times New Roman" w:hAnsi="Times New Roman"/>
          <w:sz w:val="20"/>
        </w:rPr>
        <w:t xml:space="preserve">” means the date that is ninety-one (91) days prior to the maturity date (or equivalent term) applicable to any Senior Notes or, solely with respect to the Revolving Credit Commitment Termination Date, any series or class of Term Loans. </w:t>
      </w:r>
    </w:p>
    <w:p>
      <w:pPr>
        <w:pStyle w:val="TextBody"/>
        <w:bidi w:val="0"/>
        <w:spacing w:before="240" w:after="0"/>
        <w:jc w:val="left"/>
        <w:rPr/>
      </w:pPr>
      <w:r>
        <w:rPr/>
        <w:t>“</w:t>
      </w:r>
      <w:r>
        <w:rPr>
          <w:rFonts w:ascii="Times New Roman" w:hAnsi="Times New Roman"/>
          <w:sz w:val="20"/>
          <w:u w:val="single"/>
        </w:rPr>
        <w:t>Springing Mortgage Material Real Property Certificate</w:t>
      </w:r>
      <w:r>
        <w:rPr>
          <w:rFonts w:ascii="Times New Roman" w:hAnsi="Times New Roman"/>
          <w:sz w:val="20"/>
        </w:rPr>
        <w:t xml:space="preserve">” means a certificate substantially in the form of </w:t>
      </w:r>
      <w:r>
        <w:rPr>
          <w:rFonts w:ascii="Times New Roman" w:hAnsi="Times New Roman"/>
          <w:sz w:val="20"/>
          <w:u w:val="single"/>
        </w:rPr>
        <w:t>Exhibit H</w:t>
      </w:r>
      <w:r>
        <w:rPr>
          <w:rFonts w:ascii="Times New Roman" w:hAnsi="Times New Roman"/>
          <w:sz w:val="20"/>
        </w:rPr>
        <w:t xml:space="preserve"> from GEO certifying the ownership by one or more Loan Parties of unencumbered domestic real property available to be mortgaged in satisfaction of the requirements of </w:t>
      </w:r>
      <w:r>
        <w:rPr>
          <w:rFonts w:ascii="Times New Roman" w:hAnsi="Times New Roman"/>
          <w:sz w:val="20"/>
          <w:u w:val="single"/>
        </w:rPr>
        <w:t>Section 5.11(b)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Springing Mortgage Period</w:t>
      </w:r>
      <w:r>
        <w:rPr>
          <w:rFonts w:ascii="Times New Roman" w:hAnsi="Times New Roman"/>
          <w:sz w:val="20"/>
        </w:rPr>
        <w:t xml:space="preserve">” means the period commencing on the date that all Mortgages and deliverables are filed, furnished and completed as required by </w:t>
      </w:r>
      <w:r>
        <w:rPr>
          <w:rFonts w:ascii="Times New Roman" w:hAnsi="Times New Roman"/>
          <w:sz w:val="20"/>
          <w:u w:val="single"/>
        </w:rPr>
        <w:t>Section 5.11(b)</w:t>
      </w:r>
      <w:r>
        <w:rPr>
          <w:rFonts w:ascii="Times New Roman" w:hAnsi="Times New Roman"/>
          <w:sz w:val="20"/>
        </w:rPr>
        <w:t xml:space="preserve"> and ending when the Total Leverage Ratio is less than 3.50 to 1.00 for any fiscal quarter of Borrowers thereafter and no Default or Event of Default exists. </w:t>
      </w:r>
    </w:p>
    <w:p>
      <w:pPr>
        <w:pStyle w:val="TextBody"/>
        <w:bidi w:val="0"/>
        <w:spacing w:before="240" w:after="0"/>
        <w:jc w:val="left"/>
        <w:rPr/>
      </w:pPr>
      <w:r>
        <w:rPr/>
        <w:t>“</w:t>
      </w:r>
      <w:r>
        <w:rPr>
          <w:rFonts w:ascii="Times New Roman" w:hAnsi="Times New Roman"/>
          <w:sz w:val="20"/>
          <w:u w:val="single"/>
        </w:rPr>
        <w:t>Springing Mortgage Trigger Event</w:t>
      </w:r>
      <w:r>
        <w:rPr>
          <w:rFonts w:ascii="Times New Roman" w:hAnsi="Times New Roman"/>
          <w:sz w:val="20"/>
        </w:rPr>
        <w:t xml:space="preserve">” shall be deemed to occur, at any time after the Discharge of 2029 Senior Notes, if </w:t>
      </w:r>
    </w:p>
    <w:p>
      <w:pPr>
        <w:pStyle w:val="TextBody"/>
        <w:bidi w:val="0"/>
        <w:spacing w:before="240" w:after="0"/>
        <w:jc w:val="left"/>
        <w:rPr>
          <w:rFonts w:ascii="Times New Roman" w:hAnsi="Times New Roman"/>
          <w:sz w:val="20"/>
        </w:rPr>
      </w:pPr>
      <w:r>
        <w:rPr>
          <w:rFonts w:ascii="Times New Roman" w:hAnsi="Times New Roman"/>
          <w:sz w:val="20"/>
        </w:rPr>
        <w:t xml:space="preserve">(a) the Total Leverage Ratio is greater than or equal to 3.50:1.00 as reported in the certificate furnished under </w:t>
      </w:r>
      <w:r>
        <w:rPr>
          <w:rFonts w:ascii="Times New Roman" w:hAnsi="Times New Roman"/>
          <w:sz w:val="20"/>
          <w:u w:val="single"/>
        </w:rPr>
        <w:t>Section 5.01(c)</w:t>
      </w:r>
      <w:r>
        <w:rPr>
          <w:rFonts w:ascii="Times New Roman" w:hAnsi="Times New Roman"/>
          <w:sz w:val="20"/>
        </w:rPr>
        <w:t xml:space="preserve">, or if no such certificate is furnished to Administrative Agent as required by </w:t>
      </w:r>
      <w:r>
        <w:rPr>
          <w:rFonts w:ascii="Times New Roman" w:hAnsi="Times New Roman"/>
          <w:sz w:val="20"/>
          <w:u w:val="single"/>
        </w:rPr>
        <w:t>Section 5.01(c)</w:t>
      </w:r>
      <w:r>
        <w:rPr>
          <w:rFonts w:ascii="Times New Roman" w:hAnsi="Times New Roman"/>
          <w:sz w:val="20"/>
        </w:rPr>
        <w:t xml:space="preserve">, as determined by Administrative Agent, or </w:t>
      </w:r>
    </w:p>
    <w:p>
      <w:pPr>
        <w:pStyle w:val="TextBody"/>
        <w:bidi w:val="0"/>
        <w:spacing w:before="240" w:after="0"/>
        <w:jc w:val="left"/>
        <w:rPr>
          <w:rFonts w:ascii="Times New Roman" w:hAnsi="Times New Roman"/>
          <w:sz w:val="20"/>
        </w:rPr>
      </w:pPr>
      <w:r>
        <w:rPr>
          <w:rFonts w:ascii="Times New Roman" w:hAnsi="Times New Roman"/>
          <w:sz w:val="20"/>
        </w:rPr>
        <w:t xml:space="preserve">(b) upon the written notice to GEO by the Administrative Agent acting at the written direction of the Supermajority Required Lenders, at such time as any Loan Party is named as a defendant in any lawsuit, arbitration or other litigation proceeding whereby the amount of damages claimed or sought by the petitioner(s) from GEO or any Loan Party is in excess of $200,000,000 (excluding any portion thereof covered by insurance issued by a creditworthy insurer that has assumed the duty to defend the claim, to the extent such insurer has not denied or reserved coverage in writing in respect thereof) and a loss is probable and can be reasonably estimated by Borrowers to exceed $200,000,000, or </w:t>
      </w:r>
    </w:p>
    <w:p>
      <w:pPr>
        <w:pStyle w:val="TextBody"/>
        <w:bidi w:val="0"/>
        <w:spacing w:before="240" w:after="0"/>
        <w:jc w:val="left"/>
        <w:rPr>
          <w:rFonts w:ascii="Times New Roman" w:hAnsi="Times New Roman"/>
          <w:sz w:val="20"/>
        </w:rPr>
      </w:pPr>
      <w:r>
        <w:rPr>
          <w:rFonts w:ascii="Times New Roman" w:hAnsi="Times New Roman"/>
          <w:sz w:val="20"/>
        </w:rPr>
        <w:t xml:space="preserve">(c) upon the written notice to GEO by the Administrative Agent acting at the written direction of the Supermajority Required Lenders, upon the occurrence and during the continuance of an Event of Default (after giving effect to any applicable grace period provided for in </w:t>
      </w:r>
      <w:r>
        <w:rPr>
          <w:rFonts w:ascii="Times New Roman" w:hAnsi="Times New Roman"/>
          <w:sz w:val="20"/>
          <w:u w:val="single"/>
        </w:rPr>
        <w:t>Section 7.01</w:t>
      </w:r>
      <w:r>
        <w:rPr>
          <w:rFonts w:ascii="Times New Roman" w:hAnsi="Times New Roman"/>
          <w:sz w:val="20"/>
        </w:rPr>
        <w:t xml:space="preserve">) and such Event of Default shall continue unremedied or unwaived by the requisite Lenders for a period of 30 or more days; provided that, nothing herein shall be deemed to provide for any grace period not explicitly set forth in </w:t>
      </w:r>
      <w:r>
        <w:rPr>
          <w:rFonts w:ascii="Times New Roman" w:hAnsi="Times New Roman"/>
          <w:sz w:val="20"/>
          <w:u w:val="single"/>
        </w:rPr>
        <w:t>Section 7.01</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Subject EBITDA</w:t>
      </w:r>
      <w:r>
        <w:rPr>
          <w:rFonts w:ascii="Times New Roman" w:hAnsi="Times New Roman"/>
          <w:sz w:val="20"/>
        </w:rPr>
        <w:t xml:space="preserve">” means, for any period, for any Acquired Business, the sum of the following for such period (calculated without duplication on a consolidated basis for such Acquired Business and its Subsidiaries to the fullest extent practicable in accordance with GAAP (and, if such Acquired Business consists of assets rather than a Person, as if such Acquired Business were a Person)) (a) net operating income (or loss) </w:t>
      </w:r>
      <w:r>
        <w:rPr>
          <w:rFonts w:ascii="Times New Roman" w:hAnsi="Times New Roman"/>
          <w:sz w:val="20"/>
          <w:u w:val="single"/>
        </w:rPr>
        <w:t>plus</w:t>
      </w:r>
      <w:r>
        <w:rPr>
          <w:rFonts w:ascii="Times New Roman" w:hAnsi="Times New Roman"/>
          <w:sz w:val="20"/>
        </w:rPr>
        <w:t xml:space="preserve"> (b) the sum of the following to the extent deducted in determining such net operating income: (i) income and franchise taxes, (ii) interest expense, (iii) amortization, depreciation and other non-cash charges (excluding insurance reserves), and (iv) extraordinary losses. </w:t>
      </w:r>
    </w:p>
    <w:p>
      <w:pPr>
        <w:pStyle w:val="TextBody"/>
        <w:bidi w:val="0"/>
        <w:spacing w:before="240" w:after="0"/>
        <w:jc w:val="left"/>
        <w:rPr/>
      </w:pPr>
      <w:r>
        <w:rPr/>
        <w:t>“</w:t>
      </w:r>
      <w:r>
        <w:rPr>
          <w:rFonts w:ascii="Times New Roman" w:hAnsi="Times New Roman"/>
          <w:sz w:val="20"/>
          <w:u w:val="single"/>
        </w:rPr>
        <w:t>Subordinated Debt</w:t>
      </w:r>
      <w:r>
        <w:rPr>
          <w:rFonts w:ascii="Times New Roman" w:hAnsi="Times New Roman"/>
          <w:sz w:val="20"/>
        </w:rPr>
        <w:t xml:space="preserve">” means Indebtedness incurred by a Loan Party that is subordinated in right of payment to the prior payment of the Obligations of such Loan Party and contains subordination and other terms acceptable to the Administrative Agent. </w:t>
      </w:r>
    </w:p>
    <w:p>
      <w:pPr>
        <w:pStyle w:val="TextBody"/>
        <w:bidi w:val="0"/>
        <w:spacing w:before="240" w:after="0"/>
        <w:jc w:val="left"/>
        <w:rPr/>
      </w:pPr>
      <w:r>
        <w:rPr/>
        <w:t>“</w:t>
      </w:r>
      <w:r>
        <w:rPr>
          <w:rFonts w:ascii="Times New Roman" w:hAnsi="Times New Roman"/>
          <w:sz w:val="20"/>
          <w:u w:val="single"/>
        </w:rPr>
        <w:t>Subsidiary</w:t>
      </w:r>
      <w:r>
        <w:rPr>
          <w:rFonts w:ascii="Times New Roman" w:hAnsi="Times New Roman"/>
          <w:sz w:val="20"/>
        </w:rPr>
        <w:t>” means, with respect to any Person (the “</w:t>
      </w:r>
      <w:r>
        <w:rPr>
          <w:rFonts w:ascii="Times New Roman" w:hAnsi="Times New Roman"/>
          <w:sz w:val="20"/>
          <w:u w:val="single"/>
        </w:rPr>
        <w:t>parent</w:t>
      </w:r>
      <w:r>
        <w:rPr>
          <w:rFonts w:ascii="Times New Roman" w:hAnsi="Times New Roman"/>
          <w:sz w:val="20"/>
        </w:rPr>
        <w:t xml:space="preserve">”) at any date, any other corporation, limited liability company, partnership, association or other entity of which securities or other ownership interests representing more than 50% of the equity or more than 50% of the ordinary voting power or, in the case of a partnership, more than 50% of the general partnership interests are, as of such date, owned, controlled or held, or that is, as of such date, otherwise Controlled, by the parent or one or more subsidiaries of the parent or by the parent and one or more subsidiaries of the parent. Unless otherwise specified, “Subsidiary” means a Subsidiary of GEO. </w:t>
      </w:r>
    </w:p>
    <w:p>
      <w:pPr>
        <w:pStyle w:val="TextBody"/>
        <w:bidi w:val="0"/>
        <w:spacing w:before="240" w:after="0"/>
        <w:jc w:val="left"/>
        <w:rPr/>
      </w:pPr>
      <w:r>
        <w:rPr/>
        <w:t>“</w:t>
      </w:r>
      <w:r>
        <w:rPr>
          <w:rFonts w:ascii="Times New Roman" w:hAnsi="Times New Roman"/>
          <w:sz w:val="20"/>
          <w:u w:val="single"/>
        </w:rPr>
        <w:t>Supermajority Required Lenders</w:t>
      </w:r>
      <w:r>
        <w:rPr>
          <w:rFonts w:ascii="Times New Roman" w:hAnsi="Times New Roman"/>
          <w:sz w:val="20"/>
        </w:rPr>
        <w:t xml:space="preserve">” means, at any time, subject to </w:t>
      </w:r>
      <w:r>
        <w:rPr>
          <w:rFonts w:ascii="Times New Roman" w:hAnsi="Times New Roman"/>
          <w:sz w:val="20"/>
          <w:u w:val="single"/>
        </w:rPr>
        <w:t>Section 2.18(b)</w:t>
      </w:r>
      <w:r>
        <w:rPr>
          <w:rFonts w:ascii="Times New Roman" w:hAnsi="Times New Roman"/>
          <w:sz w:val="20"/>
        </w:rPr>
        <w:t xml:space="preserve">, Lenders having Revolving Credit Exposures and unused Revolving Credit Commitments representing more than 66 2/3% of the sum of the total Revolving Credit Exposures and unused Revolving Credit Commitments at such time. </w:t>
      </w:r>
    </w:p>
    <w:p>
      <w:pPr>
        <w:pStyle w:val="TextBody"/>
        <w:bidi w:val="0"/>
        <w:spacing w:before="240" w:after="0"/>
        <w:jc w:val="left"/>
        <w:rPr/>
      </w:pPr>
      <w:r>
        <w:rPr/>
        <w:t>“</w:t>
      </w:r>
      <w:r>
        <w:rPr>
          <w:rFonts w:ascii="Times New Roman" w:hAnsi="Times New Roman"/>
          <w:sz w:val="20"/>
          <w:u w:val="single"/>
        </w:rPr>
        <w:t>Swap Obligation</w:t>
      </w:r>
      <w:r>
        <w:rPr>
          <w:rFonts w:ascii="Times New Roman" w:hAnsi="Times New Roman"/>
          <w:sz w:val="20"/>
        </w:rPr>
        <w:t xml:space="preserve">” has the meaning assigned thereto in the definition of “Excluded Swap Obligation” in this </w:t>
      </w:r>
      <w:r>
        <w:rPr>
          <w:rFonts w:ascii="Times New Roman" w:hAnsi="Times New Roman"/>
          <w:sz w:val="20"/>
          <w:u w:val="single"/>
        </w:rPr>
        <w:t>Section 1.01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Swingline Exposure</w:t>
      </w:r>
      <w:r>
        <w:rPr>
          <w:rFonts w:ascii="Times New Roman" w:hAnsi="Times New Roman"/>
          <w:sz w:val="20"/>
        </w:rPr>
        <w:t xml:space="preserve">” means, at any time, the aggregate principal amount of all Swingline Loans outstanding at such time. The Swingline Exposure of any Lender at any time shall be its Applicable Percentage of the total Swingline Exposure at such time. </w:t>
      </w:r>
    </w:p>
    <w:p>
      <w:pPr>
        <w:pStyle w:val="TextBody"/>
        <w:bidi w:val="0"/>
        <w:spacing w:before="240" w:after="0"/>
        <w:jc w:val="left"/>
        <w:rPr/>
      </w:pPr>
      <w:r>
        <w:rPr/>
        <w:t>“</w:t>
      </w:r>
      <w:r>
        <w:rPr>
          <w:rFonts w:ascii="Times New Roman" w:hAnsi="Times New Roman"/>
          <w:sz w:val="20"/>
          <w:u w:val="single"/>
        </w:rPr>
        <w:t>Swingline Lender</w:t>
      </w:r>
      <w:r>
        <w:rPr>
          <w:rFonts w:ascii="Times New Roman" w:hAnsi="Times New Roman"/>
          <w:sz w:val="20"/>
        </w:rPr>
        <w:t xml:space="preserve">” means Bank OZK in its capacity as lender of Swingline Loans. </w:t>
      </w:r>
    </w:p>
    <w:p>
      <w:pPr>
        <w:pStyle w:val="TextBody"/>
        <w:bidi w:val="0"/>
        <w:spacing w:before="240" w:after="0"/>
        <w:jc w:val="left"/>
        <w:rPr/>
      </w:pPr>
      <w:r>
        <w:rPr/>
        <w:t>“</w:t>
      </w:r>
      <w:r>
        <w:rPr>
          <w:rFonts w:ascii="Times New Roman" w:hAnsi="Times New Roman"/>
          <w:sz w:val="20"/>
          <w:u w:val="single"/>
        </w:rPr>
        <w:t>Swingline Loan</w:t>
      </w:r>
      <w:r>
        <w:rPr>
          <w:rFonts w:ascii="Times New Roman" w:hAnsi="Times New Roman"/>
          <w:sz w:val="20"/>
        </w:rPr>
        <w:t xml:space="preserve">” means a Loan made pursuant to </w:t>
      </w:r>
      <w:r>
        <w:rPr>
          <w:rFonts w:ascii="Times New Roman" w:hAnsi="Times New Roman"/>
          <w:sz w:val="20"/>
          <w:u w:val="single"/>
        </w:rPr>
        <w:t>Section 2.04</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Swingline Sublimit</w:t>
      </w:r>
      <w:r>
        <w:rPr>
          <w:rFonts w:ascii="Times New Roman" w:hAnsi="Times New Roman"/>
          <w:sz w:val="20"/>
        </w:rPr>
        <w:t xml:space="preserve">” means $75,000,000. </w:t>
      </w:r>
    </w:p>
    <w:p>
      <w:pPr>
        <w:pStyle w:val="TextBody"/>
        <w:bidi w:val="0"/>
        <w:spacing w:before="240" w:after="0"/>
        <w:jc w:val="left"/>
        <w:rPr/>
      </w:pPr>
      <w:r>
        <w:rPr/>
        <w:t>“</w:t>
      </w:r>
      <w:r>
        <w:rPr>
          <w:rFonts w:ascii="Times New Roman" w:hAnsi="Times New Roman"/>
          <w:sz w:val="20"/>
          <w:u w:val="single"/>
        </w:rPr>
        <w:t>Synthetic Leases</w:t>
      </w:r>
      <w:r>
        <w:rPr>
          <w:rFonts w:ascii="Times New Roman" w:hAnsi="Times New Roman"/>
          <w:sz w:val="20"/>
        </w:rPr>
        <w:t xml:space="preserve">” means any synthetic lease, tax retention operating lease, off-balance sheet loan or similar off-balance sheet financing product where such transaction is considered borrowed money indebtedness for tax purposes but is classified as an operating lease in accordance with GAAP. </w:t>
      </w:r>
    </w:p>
    <w:p>
      <w:pPr>
        <w:pStyle w:val="TextBody"/>
        <w:bidi w:val="0"/>
        <w:spacing w:before="240" w:after="0"/>
        <w:jc w:val="left"/>
        <w:rPr/>
      </w:pPr>
      <w:r>
        <w:rPr/>
        <w:t>“</w:t>
      </w:r>
      <w:r>
        <w:rPr>
          <w:rFonts w:ascii="Times New Roman" w:hAnsi="Times New Roman"/>
          <w:sz w:val="20"/>
          <w:u w:val="single"/>
        </w:rPr>
        <w:t>Tax Savings Repurchase Event</w:t>
      </w:r>
      <w:r>
        <w:rPr>
          <w:rFonts w:ascii="Times New Roman" w:hAnsi="Times New Roman"/>
          <w:sz w:val="20"/>
        </w:rPr>
        <w:t xml:space="preserve">” means any repurchase of convertible debt securities consummated after the Effective Date which results in tax savings for GEO.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Taxes</w:t>
      </w:r>
      <w:r>
        <w:rPr>
          <w:rFonts w:ascii="Times New Roman" w:hAnsi="Times New Roman"/>
          <w:sz w:val="20"/>
        </w:rPr>
        <w:t xml:space="preserve">” means all present or future taxes, levies, imposts, duties, deductions, withholdings (including backup withholding), assessments, fees or other charges imposed by any Governmental Authority, including any interest, additions to tax or penalties applicable thereto. </w:t>
      </w:r>
    </w:p>
    <w:p>
      <w:pPr>
        <w:pStyle w:val="TextBody"/>
        <w:bidi w:val="0"/>
        <w:spacing w:before="240" w:after="0"/>
        <w:jc w:val="left"/>
        <w:rPr/>
      </w:pPr>
      <w:r>
        <w:rPr/>
        <w:t>“</w:t>
      </w:r>
      <w:r>
        <w:rPr>
          <w:rFonts w:ascii="Times New Roman" w:hAnsi="Times New Roman"/>
          <w:sz w:val="20"/>
          <w:u w:val="single"/>
        </w:rPr>
        <w:t>Term</w:t>
      </w:r>
      <w:r>
        <w:rPr>
          <w:rFonts w:ascii="Times New Roman" w:hAnsi="Times New Roman"/>
          <w:sz w:val="20"/>
        </w:rPr>
        <w:t xml:space="preserve">”, when used in reference to any Loan or Borrowing, refers to whether such Loan, or the Loans comprising such Borrowing, is or are Term Loans, as opposed to Revolving Credit Loans, Swingline Loans or Incremental Term Loans. </w:t>
      </w:r>
    </w:p>
    <w:p>
      <w:pPr>
        <w:pStyle w:val="TextBody"/>
        <w:bidi w:val="0"/>
        <w:spacing w:before="240" w:after="0"/>
        <w:jc w:val="left"/>
        <w:rPr/>
      </w:pPr>
      <w:r>
        <w:rPr/>
        <w:t>“</w:t>
      </w:r>
      <w:r>
        <w:rPr>
          <w:rFonts w:ascii="Times New Roman" w:hAnsi="Times New Roman"/>
          <w:sz w:val="20"/>
          <w:u w:val="single"/>
        </w:rPr>
        <w:t>Term Lender</w:t>
      </w:r>
      <w:r>
        <w:rPr>
          <w:rFonts w:ascii="Times New Roman" w:hAnsi="Times New Roman"/>
          <w:sz w:val="20"/>
        </w:rPr>
        <w:t xml:space="preserve">” means a Lender with a Term Loan Commitment or an outstanding Term Loan. There are no Term Lenders on the Effective Date. </w:t>
      </w:r>
    </w:p>
    <w:p>
      <w:pPr>
        <w:pStyle w:val="TextBody"/>
        <w:bidi w:val="0"/>
        <w:spacing w:before="240" w:after="0"/>
        <w:jc w:val="left"/>
        <w:rPr/>
      </w:pPr>
      <w:r>
        <w:rPr/>
        <w:t>“</w:t>
      </w:r>
      <w:r>
        <w:rPr>
          <w:rFonts w:ascii="Times New Roman" w:hAnsi="Times New Roman"/>
          <w:sz w:val="20"/>
          <w:u w:val="single"/>
        </w:rPr>
        <w:t>Term Loan</w:t>
      </w:r>
      <w:r>
        <w:rPr>
          <w:rFonts w:ascii="Times New Roman" w:hAnsi="Times New Roman"/>
          <w:sz w:val="20"/>
        </w:rPr>
        <w:t xml:space="preserve">” means a Loan made pursuant to </w:t>
      </w:r>
      <w:r>
        <w:rPr>
          <w:rFonts w:ascii="Times New Roman" w:hAnsi="Times New Roman"/>
          <w:sz w:val="20"/>
          <w:u w:val="single"/>
        </w:rPr>
        <w:t>Section 2.01(b)</w:t>
      </w:r>
      <w:r>
        <w:rPr>
          <w:rFonts w:ascii="Times New Roman" w:hAnsi="Times New Roman"/>
          <w:sz w:val="20"/>
        </w:rPr>
        <w:t xml:space="preserve">, if any. On the Effective Date there are no Term Loans outstanding. </w:t>
      </w:r>
    </w:p>
    <w:p>
      <w:pPr>
        <w:pStyle w:val="TextBody"/>
        <w:bidi w:val="0"/>
        <w:spacing w:before="240" w:after="0"/>
        <w:jc w:val="left"/>
        <w:rPr/>
      </w:pPr>
      <w:r>
        <w:rPr/>
        <w:t>“</w:t>
      </w:r>
      <w:r>
        <w:rPr>
          <w:rFonts w:ascii="Times New Roman" w:hAnsi="Times New Roman"/>
          <w:sz w:val="20"/>
          <w:u w:val="single"/>
        </w:rPr>
        <w:t>Term Loan Commitment</w:t>
      </w:r>
      <w:r>
        <w:rPr>
          <w:rFonts w:ascii="Times New Roman" w:hAnsi="Times New Roman"/>
          <w:sz w:val="20"/>
        </w:rPr>
        <w:t xml:space="preserve">” means, with respect to each Lender, the commitment, if any, of such Lender to make a Term Loan hereunder on the Effective Date, expressed as an amount representing the maximum aggregate principal amount of the Term Loans to be made by such Lender hereunder, as such commitment may be (i) reduced pursuant to </w:t>
      </w:r>
      <w:r>
        <w:rPr>
          <w:rFonts w:ascii="Times New Roman" w:hAnsi="Times New Roman"/>
          <w:sz w:val="20"/>
          <w:u w:val="single"/>
        </w:rPr>
        <w:t>Section 2.08(a)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and (ii) reduced or increased from time to time pursuant to assignments by or to such Lender pursuant to </w:t>
      </w:r>
      <w:r>
        <w:rPr>
          <w:rFonts w:ascii="Times New Roman" w:hAnsi="Times New Roman"/>
          <w:sz w:val="20"/>
          <w:u w:val="single"/>
        </w:rPr>
        <w:t>Section 9.04</w:t>
      </w:r>
      <w:r>
        <w:rPr>
          <w:rFonts w:ascii="Times New Roman" w:hAnsi="Times New Roman"/>
          <w:sz w:val="20"/>
        </w:rPr>
        <w:t xml:space="preserve">. The amount of each applicable Lender’s Term Loan Commitment is set forth in such Lender’s Lender Addendum or in the Assignment and Assumption pursuant to which such Lender shall have assumed its Term Loan Commitment, as the case may be. The aggregate amount of the Lenders’ Term Loan Commitments on the Effective Date is $0. </w:t>
      </w:r>
    </w:p>
    <w:p>
      <w:pPr>
        <w:pStyle w:val="TextBody"/>
        <w:bidi w:val="0"/>
        <w:spacing w:before="240" w:after="0"/>
        <w:jc w:val="left"/>
        <w:rPr/>
      </w:pPr>
      <w:r>
        <w:rPr/>
        <w:t>“</w:t>
      </w:r>
      <w:r>
        <w:rPr>
          <w:rFonts w:ascii="Times New Roman" w:hAnsi="Times New Roman"/>
          <w:sz w:val="20"/>
          <w:u w:val="single"/>
        </w:rPr>
        <w:t>Term Loan Exposure</w:t>
      </w:r>
      <w:r>
        <w:rPr>
          <w:rFonts w:ascii="Times New Roman" w:hAnsi="Times New Roman"/>
          <w:sz w:val="20"/>
        </w:rPr>
        <w:t xml:space="preserve">” means, as of any date of determination, an amount equal to the sum of outstanding Term Loans, outstanding Incremental Term Loans and unused Incremental Term Loan Commitments at such time, if any. </w:t>
      </w:r>
    </w:p>
    <w:p>
      <w:pPr>
        <w:pStyle w:val="TextBody"/>
        <w:bidi w:val="0"/>
        <w:spacing w:before="240" w:after="0"/>
        <w:jc w:val="left"/>
        <w:rPr/>
      </w:pPr>
      <w:r>
        <w:rPr/>
        <w:t>“</w:t>
      </w:r>
      <w:r>
        <w:rPr>
          <w:rFonts w:ascii="Times New Roman" w:hAnsi="Times New Roman"/>
          <w:sz w:val="20"/>
          <w:u w:val="single"/>
        </w:rPr>
        <w:t>Term Loan Maturity Date</w:t>
      </w:r>
      <w:r>
        <w:rPr>
          <w:rFonts w:ascii="Times New Roman" w:hAnsi="Times New Roman"/>
          <w:sz w:val="20"/>
        </w:rPr>
        <w:t xml:space="preserve">” means the earliest of (i) the Outside Revolving Credit Commitment Termination Date, and (ii) in the event that an aggregate principal amount equal to or greater than $100,000,000 of any series or class of any Senior Notes remains outstanding on the Springing Maturity Date applicable thereto, such Springing Maturity Date, unless the Maturity Reserve Condition is satisfied with respect to such Senior Notes; </w:t>
      </w:r>
      <w:r>
        <w:rPr>
          <w:rFonts w:ascii="Times New Roman" w:hAnsi="Times New Roman"/>
          <w:sz w:val="20"/>
          <w:u w:val="single"/>
        </w:rPr>
        <w:t>provided</w:t>
      </w:r>
      <w:r>
        <w:rPr>
          <w:rFonts w:ascii="Times New Roman" w:hAnsi="Times New Roman"/>
          <w:sz w:val="20"/>
        </w:rPr>
        <w:t xml:space="preserve"> that, if such date is not a Business Day, then the Term Loan Maturity Date shall be the preceding Business Day. </w:t>
      </w:r>
    </w:p>
    <w:p>
      <w:pPr>
        <w:pStyle w:val="TextBody"/>
        <w:bidi w:val="0"/>
        <w:spacing w:before="240" w:after="0"/>
        <w:jc w:val="left"/>
        <w:rPr/>
      </w:pPr>
      <w:r>
        <w:rPr/>
        <w:t>“</w:t>
      </w:r>
      <w:r>
        <w:rPr>
          <w:rFonts w:ascii="Times New Roman" w:hAnsi="Times New Roman"/>
          <w:sz w:val="20"/>
          <w:u w:val="single"/>
        </w:rPr>
        <w:t>Term Loan Note</w:t>
      </w:r>
      <w:r>
        <w:rPr>
          <w:rFonts w:ascii="Times New Roman" w:hAnsi="Times New Roman"/>
          <w:sz w:val="20"/>
        </w:rPr>
        <w:t xml:space="preserve">” means a promissory note of GEO payable to any Term Lender, substantially in the form of </w:t>
      </w:r>
      <w:r>
        <w:rPr>
          <w:rFonts w:ascii="Times New Roman" w:hAnsi="Times New Roman"/>
          <w:sz w:val="20"/>
          <w:u w:val="single"/>
        </w:rPr>
        <w:t>Exhibit A-2</w:t>
      </w:r>
      <w:r>
        <w:rPr>
          <w:rFonts w:ascii="Times New Roman" w:hAnsi="Times New Roman"/>
          <w:sz w:val="20"/>
        </w:rPr>
        <w:t xml:space="preserve"> hereto (as such promissory note may be amended, endorsed or otherwise modified from time to time), evidencing the aggregate Indebtedness of GEO to such Lender resulting from outstanding Term Loans, and also means all other promissory notes accepted from time to time in substitution therefor or renewal thereof. </w:t>
      </w:r>
    </w:p>
    <w:p>
      <w:pPr>
        <w:pStyle w:val="TextBody"/>
        <w:bidi w:val="0"/>
        <w:spacing w:before="240" w:after="0"/>
        <w:jc w:val="left"/>
        <w:rPr/>
      </w:pPr>
      <w:r>
        <w:rPr/>
        <w:t>“</w:t>
      </w:r>
      <w:r>
        <w:rPr>
          <w:rFonts w:ascii="Times New Roman" w:hAnsi="Times New Roman"/>
          <w:sz w:val="20"/>
          <w:u w:val="single"/>
        </w:rPr>
        <w:t>Term SOFR</w:t>
      </w:r>
      <w:r>
        <w:rPr>
          <w:rFonts w:ascii="Times New Roman" w:hAnsi="Times New Roman"/>
          <w:sz w:val="20"/>
        </w:rPr>
        <w:t xml:space="preserve">” means, </w:t>
      </w:r>
    </w:p>
    <w:p>
      <w:pPr>
        <w:pStyle w:val="TextBody"/>
        <w:bidi w:val="0"/>
        <w:spacing w:before="240" w:after="0"/>
        <w:jc w:val="left"/>
        <w:rPr>
          <w:rFonts w:ascii="Times New Roman" w:hAnsi="Times New Roman"/>
          <w:sz w:val="20"/>
        </w:rPr>
      </w:pPr>
      <w:r>
        <w:rPr>
          <w:rFonts w:ascii="Times New Roman" w:hAnsi="Times New Roman"/>
          <w:sz w:val="20"/>
        </w:rPr>
        <w:t>(a) for any calculation with respect to a SOFR Loan, the Term SOFR Reference Rate for a tenor comparable to the applicable Interest Period on the day (such day, the “</w:t>
      </w:r>
      <w:r>
        <w:rPr>
          <w:rFonts w:ascii="Times New Roman" w:hAnsi="Times New Roman"/>
          <w:sz w:val="20"/>
          <w:u w:val="single"/>
        </w:rPr>
        <w:t>Periodic Term SOFR Determination Day</w:t>
      </w:r>
      <w:r>
        <w:rPr>
          <w:rFonts w:ascii="Times New Roman" w:hAnsi="Times New Roman"/>
          <w:sz w:val="20"/>
        </w:rPr>
        <w:t xml:space="preserve">”) that is two (2) U.S. Government Securities Business Days prior to the first day of such Interest Period, as such rate is published by the Term SOFR Administrator;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as of 5:00 p.m. (New York City time) on any Periodic Term SOFR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and </w:t>
      </w:r>
    </w:p>
    <w:p>
      <w:pPr>
        <w:pStyle w:val="TextBody"/>
        <w:bidi w:val="0"/>
        <w:spacing w:before="240" w:after="0"/>
        <w:jc w:val="left"/>
        <w:rPr>
          <w:rFonts w:ascii="Times New Roman" w:hAnsi="Times New Roman"/>
          <w:sz w:val="20"/>
        </w:rPr>
      </w:pPr>
      <w:r>
        <w:rPr>
          <w:rFonts w:ascii="Times New Roman" w:hAnsi="Times New Roman"/>
          <w:sz w:val="20"/>
        </w:rPr>
        <w:t>(b) for any calculation with respect to an ABR Loan on any day, the Term SOFR Reference Rate for a tenor of one month on the day (such day, the “</w:t>
      </w:r>
      <w:r>
        <w:rPr>
          <w:rFonts w:ascii="Times New Roman" w:hAnsi="Times New Roman"/>
          <w:sz w:val="20"/>
          <w:u w:val="single"/>
        </w:rPr>
        <w:t>ABR Term SOFR Determination Day</w:t>
      </w:r>
      <w:r>
        <w:rPr>
          <w:rFonts w:ascii="Times New Roman" w:hAnsi="Times New Roman"/>
          <w:sz w:val="20"/>
        </w:rPr>
        <w:t xml:space="preserve">”) that is two (2) U.S. Government Securities Business Days prior to such day, as such rate is published by the Term SOFR Administrator;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as of 5:00 p.m. (New York City time) on any ABR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ABR Term SOFR Determination Day; </w:t>
      </w:r>
    </w:p>
    <w:p>
      <w:pPr>
        <w:pStyle w:val="TextBody"/>
        <w:bidi w:val="0"/>
        <w:spacing w:before="24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further, that if Term SOFR determined as provided above (including pursuant to the proviso under clause (a) or clause (b) above) shall ever be less than the Floor, then Term SOFR shall be deemed to be equal to the Floor. </w:t>
      </w:r>
    </w:p>
    <w:p>
      <w:pPr>
        <w:pStyle w:val="TextBody"/>
        <w:bidi w:val="0"/>
        <w:spacing w:before="240" w:after="0"/>
        <w:jc w:val="left"/>
        <w:rPr/>
      </w:pPr>
      <w:r>
        <w:rPr/>
        <w:t>“</w:t>
      </w:r>
      <w:r>
        <w:rPr>
          <w:rFonts w:ascii="Times New Roman" w:hAnsi="Times New Roman"/>
          <w:sz w:val="20"/>
          <w:u w:val="single"/>
        </w:rPr>
        <w:t>Term SOFR Administrator</w:t>
      </w:r>
      <w:r>
        <w:rPr>
          <w:rFonts w:ascii="Times New Roman" w:hAnsi="Times New Roman"/>
          <w:sz w:val="20"/>
        </w:rPr>
        <w:t xml:space="preserve">” means CME Group Benchmark Administration Limited (CBA) (or a successor administrator of the Term SOFR Reference Rate selected by the Administrative Agent in its reasonable discretion). </w:t>
      </w:r>
    </w:p>
    <w:p>
      <w:pPr>
        <w:pStyle w:val="TextBody"/>
        <w:bidi w:val="0"/>
        <w:spacing w:before="240" w:after="0"/>
        <w:jc w:val="left"/>
        <w:rPr/>
      </w:pPr>
      <w:r>
        <w:rPr/>
        <w:t>“</w:t>
      </w:r>
      <w:r>
        <w:rPr>
          <w:rFonts w:ascii="Times New Roman" w:hAnsi="Times New Roman"/>
          <w:sz w:val="20"/>
          <w:u w:val="single"/>
        </w:rPr>
        <w:t>Term SOFR Reference Rate</w:t>
      </w:r>
      <w:r>
        <w:rPr>
          <w:rFonts w:ascii="Times New Roman" w:hAnsi="Times New Roman"/>
          <w:sz w:val="20"/>
        </w:rPr>
        <w:t xml:space="preserve">” means the forward-looking term rate based on SOFR. </w:t>
      </w:r>
    </w:p>
    <w:p>
      <w:pPr>
        <w:pStyle w:val="TextBody"/>
        <w:bidi w:val="0"/>
        <w:spacing w:before="240" w:after="0"/>
        <w:jc w:val="left"/>
        <w:rPr/>
      </w:pPr>
      <w:r>
        <w:rPr/>
        <w:t>“</w:t>
      </w:r>
      <w:r>
        <w:rPr>
          <w:rFonts w:ascii="Times New Roman" w:hAnsi="Times New Roman"/>
          <w:sz w:val="20"/>
          <w:u w:val="single"/>
        </w:rPr>
        <w:t>Title Companies</w:t>
      </w:r>
      <w:r>
        <w:rPr>
          <w:rFonts w:ascii="Times New Roman" w:hAnsi="Times New Roman"/>
          <w:sz w:val="20"/>
        </w:rPr>
        <w:t xml:space="preserve">” has the meaning assigned thereto in </w:t>
      </w:r>
      <w:r>
        <w:rPr>
          <w:rFonts w:ascii="Times New Roman" w:hAnsi="Times New Roman"/>
          <w:sz w:val="20"/>
          <w:u w:val="single"/>
        </w:rPr>
        <w:t>Section 5.10(a)(ii)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Total Leverage Ratio</w:t>
      </w:r>
      <w:r>
        <w:rPr>
          <w:rFonts w:ascii="Times New Roman" w:hAnsi="Times New Roman"/>
          <w:sz w:val="20"/>
        </w:rPr>
        <w:t>” means, on any date, the ratio of (a) the result of the following calculation: (i) the aggregate outstanding principal amount of all Indebtedness of GEO, its Subsidiaries and the Other Consolidated Persons (“</w:t>
      </w:r>
      <w:r>
        <w:rPr>
          <w:rFonts w:ascii="Times New Roman" w:hAnsi="Times New Roman"/>
          <w:sz w:val="20"/>
          <w:u w:val="single"/>
        </w:rPr>
        <w:t>Consolidated Group</w:t>
      </w:r>
      <w:r>
        <w:rPr>
          <w:rFonts w:ascii="Times New Roman" w:hAnsi="Times New Roman"/>
          <w:sz w:val="20"/>
        </w:rPr>
        <w:t xml:space="preserve">”) on such date (calculated on a consolidated basis without duplication (for avoidance of doubt, guarantees by one or more members of the Consolidated Group of Indebtedness of other members of the Consolidated Group that is included in this </w:t>
      </w:r>
      <w:r>
        <w:rPr>
          <w:rFonts w:ascii="Times New Roman" w:hAnsi="Times New Roman"/>
          <w:sz w:val="20"/>
          <w:u w:val="single"/>
        </w:rPr>
        <w:t>clause (a)(i)</w:t>
      </w:r>
      <w:r>
        <w:rPr>
          <w:rFonts w:ascii="Times New Roman" w:hAnsi="Times New Roman"/>
          <w:sz w:val="20"/>
        </w:rPr>
        <w:t xml:space="preserve"> will be eliminated) in accordance with GAAP) </w:t>
      </w:r>
      <w:r>
        <w:rPr>
          <w:rFonts w:ascii="Times New Roman" w:hAnsi="Times New Roman"/>
          <w:sz w:val="20"/>
          <w:u w:val="single"/>
        </w:rPr>
        <w:t>minus</w:t>
      </w:r>
      <w:r>
        <w:rPr>
          <w:rFonts w:ascii="Times New Roman" w:hAnsi="Times New Roman"/>
          <w:sz w:val="20"/>
        </w:rPr>
        <w:t xml:space="preserve"> (ii) the sum of (x) the aggregate amount (not less than zero) of Unrestricted Cash of GEO and its Restricted Subsidiaries on such date </w:t>
      </w:r>
      <w:r>
        <w:rPr>
          <w:rFonts w:ascii="Times New Roman" w:hAnsi="Times New Roman"/>
          <w:sz w:val="20"/>
          <w:u w:val="single"/>
        </w:rPr>
        <w:t>plus</w:t>
      </w:r>
      <w:r>
        <w:rPr>
          <w:rFonts w:ascii="Times New Roman" w:hAnsi="Times New Roman"/>
          <w:sz w:val="20"/>
        </w:rPr>
        <w:t xml:space="preserve"> (y) to the extent included in the calculation under </w:t>
      </w:r>
      <w:r>
        <w:rPr>
          <w:rFonts w:ascii="Times New Roman" w:hAnsi="Times New Roman"/>
          <w:sz w:val="20"/>
          <w:u w:val="single"/>
        </w:rPr>
        <w:t>clause (a)(i)</w:t>
      </w:r>
      <w:r>
        <w:rPr>
          <w:rFonts w:ascii="Times New Roman" w:hAnsi="Times New Roman"/>
          <w:sz w:val="20"/>
        </w:rPr>
        <w:t xml:space="preserve"> of this definition, the aggregate outstanding principal amount of all Indebtedness of the Unrestricted Subsidiaries and the Other Consolidated Persons on such date that is Non-Recourse to GEO and its Restricted Subsidiaries </w:t>
      </w:r>
      <w:r>
        <w:rPr>
          <w:rFonts w:ascii="Times New Roman" w:hAnsi="Times New Roman"/>
          <w:sz w:val="20"/>
          <w:u w:val="single"/>
        </w:rPr>
        <w:t>plus</w:t>
      </w:r>
      <w:r>
        <w:rPr>
          <w:rFonts w:ascii="Times New Roman" w:hAnsi="Times New Roman"/>
          <w:sz w:val="20"/>
        </w:rPr>
        <w:t xml:space="preserve"> (z) to the extent included in the calculation under </w:t>
      </w:r>
      <w:r>
        <w:rPr>
          <w:rFonts w:ascii="Times New Roman" w:hAnsi="Times New Roman"/>
          <w:sz w:val="20"/>
          <w:u w:val="single"/>
        </w:rPr>
        <w:t>clause (a)(i)</w:t>
      </w:r>
      <w:r>
        <w:rPr>
          <w:rFonts w:ascii="Times New Roman" w:hAnsi="Times New Roman"/>
          <w:sz w:val="20"/>
        </w:rPr>
        <w:t xml:space="preserve"> of this definition and without duplication of amounts included in the calculation under </w:t>
      </w:r>
      <w:r>
        <w:rPr>
          <w:rFonts w:ascii="Times New Roman" w:hAnsi="Times New Roman"/>
          <w:sz w:val="20"/>
          <w:u w:val="single"/>
        </w:rPr>
        <w:t>clause (a)(ii)(y)</w:t>
      </w:r>
      <w:r>
        <w:rPr>
          <w:rFonts w:ascii="Times New Roman" w:hAnsi="Times New Roman"/>
          <w:sz w:val="20"/>
        </w:rPr>
        <w:t xml:space="preserve"> of this definition, the undrawn amount of all outstanding letters of credit on such date to (b) Adjusted EBITDA for the period of four fiscal quarters of GEO ending on or most recently ended prior to such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Transactions</w:t>
      </w:r>
      <w:r>
        <w:rPr>
          <w:rFonts w:ascii="Times New Roman" w:hAnsi="Times New Roman"/>
          <w:sz w:val="20"/>
        </w:rPr>
        <w:t xml:space="preserve">” means the execution, delivery and performance by each Loan Party of Loan Documents to which it is, or is intended to be, a party, the borrowing of Loans, the use of the proceeds thereof, and the issuance, amendment, renewal or extension of Letters of Credit hereunder. </w:t>
      </w:r>
    </w:p>
    <w:p>
      <w:pPr>
        <w:pStyle w:val="TextBody"/>
        <w:bidi w:val="0"/>
        <w:spacing w:before="240" w:after="0"/>
        <w:jc w:val="left"/>
        <w:rPr/>
      </w:pPr>
      <w:r>
        <w:rPr/>
        <w:t>“</w:t>
      </w:r>
      <w:r>
        <w:rPr>
          <w:rFonts w:ascii="Times New Roman" w:hAnsi="Times New Roman"/>
          <w:sz w:val="20"/>
          <w:u w:val="single"/>
        </w:rPr>
        <w:t>Type</w:t>
      </w:r>
      <w:r>
        <w:rPr>
          <w:rFonts w:ascii="Times New Roman" w:hAnsi="Times New Roman"/>
          <w:sz w:val="20"/>
        </w:rPr>
        <w:t xml:space="preserve">”, when used in reference to any Loan or Borrowing, refers to whether the rate of interest on such Loan, or on the Loans comprising such Borrowing, is determined by reference to Term SOFR or the Alternate Base Rate. </w:t>
      </w:r>
    </w:p>
    <w:p>
      <w:pPr>
        <w:pStyle w:val="TextBody"/>
        <w:bidi w:val="0"/>
        <w:spacing w:before="240" w:after="0"/>
        <w:jc w:val="left"/>
        <w:rPr/>
      </w:pPr>
      <w:r>
        <w:rPr/>
        <w:t>“</w:t>
      </w:r>
      <w:r>
        <w:rPr>
          <w:rFonts w:ascii="Times New Roman" w:hAnsi="Times New Roman"/>
          <w:sz w:val="20"/>
          <w:u w:val="single"/>
        </w:rPr>
        <w:t>UCC</w:t>
      </w:r>
      <w:r>
        <w:rPr>
          <w:rFonts w:ascii="Times New Roman" w:hAnsi="Times New Roman"/>
          <w:sz w:val="20"/>
        </w:rPr>
        <w:t xml:space="preserve">” means the Uniform Commercial Code as in effect from time to time in the State of New York or, if the context so requires, any other applicable jurisdiction. </w:t>
      </w:r>
    </w:p>
    <w:p>
      <w:pPr>
        <w:pStyle w:val="TextBody"/>
        <w:bidi w:val="0"/>
        <w:spacing w:before="240" w:after="0"/>
        <w:jc w:val="left"/>
        <w:rPr/>
      </w:pPr>
      <w:r>
        <w:rPr/>
        <w:t>“</w:t>
      </w:r>
      <w:r>
        <w:rPr>
          <w:rFonts w:ascii="Times New Roman" w:hAnsi="Times New Roman"/>
          <w:sz w:val="20"/>
          <w:u w:val="single"/>
        </w:rPr>
        <w:t>UK Financial Institution</w:t>
      </w:r>
      <w:r>
        <w:rPr>
          <w:rFonts w:ascii="Times New Roman" w:hAnsi="Times New Roman"/>
          <w:sz w:val="20"/>
        </w:rPr>
        <w:t xml:space="preserve">”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 </w:t>
      </w:r>
    </w:p>
    <w:p>
      <w:pPr>
        <w:pStyle w:val="TextBody"/>
        <w:bidi w:val="0"/>
        <w:spacing w:before="240" w:after="0"/>
        <w:jc w:val="left"/>
        <w:rPr/>
      </w:pPr>
      <w:r>
        <w:rPr/>
        <w:t>“</w:t>
      </w:r>
      <w:r>
        <w:rPr>
          <w:rFonts w:ascii="Times New Roman" w:hAnsi="Times New Roman"/>
          <w:sz w:val="20"/>
          <w:u w:val="single"/>
        </w:rPr>
        <w:t>UK Resolution Authority</w:t>
      </w:r>
      <w:r>
        <w:rPr>
          <w:rFonts w:ascii="Times New Roman" w:hAnsi="Times New Roman"/>
          <w:sz w:val="20"/>
        </w:rPr>
        <w:t xml:space="preserve">” means the Bank of England or any other public administrative authority having responsibility for the resolution of any UK Financial Institution. </w:t>
      </w:r>
    </w:p>
    <w:p>
      <w:pPr>
        <w:pStyle w:val="TextBody"/>
        <w:bidi w:val="0"/>
        <w:spacing w:before="240" w:after="0"/>
        <w:jc w:val="left"/>
        <w:rPr/>
      </w:pPr>
      <w:r>
        <w:rPr/>
        <w:t>“</w:t>
      </w:r>
      <w:r>
        <w:rPr>
          <w:rFonts w:ascii="Times New Roman" w:hAnsi="Times New Roman"/>
          <w:sz w:val="20"/>
          <w:u w:val="single"/>
        </w:rPr>
        <w:t>Unadjusted Benchmark Replacement</w:t>
      </w:r>
      <w:r>
        <w:rPr>
          <w:rFonts w:ascii="Times New Roman" w:hAnsi="Times New Roman"/>
          <w:sz w:val="20"/>
        </w:rPr>
        <w:t xml:space="preserve">” means the applicable Benchmark Replacement excluding the related Benchmark Replacement Adjustment. </w:t>
      </w:r>
    </w:p>
    <w:p>
      <w:pPr>
        <w:pStyle w:val="TextBody"/>
        <w:bidi w:val="0"/>
        <w:spacing w:before="240" w:after="0"/>
        <w:jc w:val="left"/>
        <w:rPr/>
      </w:pPr>
      <w:r>
        <w:rPr/>
        <w:t>“</w:t>
      </w:r>
      <w:r>
        <w:rPr>
          <w:rFonts w:ascii="Times New Roman" w:hAnsi="Times New Roman"/>
          <w:sz w:val="20"/>
          <w:u w:val="single"/>
        </w:rPr>
        <w:t>United States</w:t>
      </w:r>
      <w:r>
        <w:rPr>
          <w:rFonts w:ascii="Times New Roman" w:hAnsi="Times New Roman"/>
          <w:sz w:val="20"/>
        </w:rPr>
        <w:t>” and “</w:t>
      </w:r>
      <w:r>
        <w:rPr>
          <w:rFonts w:ascii="Times New Roman" w:hAnsi="Times New Roman"/>
          <w:sz w:val="20"/>
          <w:u w:val="single"/>
        </w:rPr>
        <w:t>U.S.</w:t>
      </w:r>
      <w:r>
        <w:rPr>
          <w:rFonts w:ascii="Times New Roman" w:hAnsi="Times New Roman"/>
          <w:sz w:val="20"/>
        </w:rPr>
        <w:t xml:space="preserve">” mean the United States of America. </w:t>
      </w:r>
    </w:p>
    <w:p>
      <w:pPr>
        <w:pStyle w:val="TextBody"/>
        <w:bidi w:val="0"/>
        <w:spacing w:before="240" w:after="0"/>
        <w:jc w:val="left"/>
        <w:rPr/>
      </w:pPr>
      <w:r>
        <w:rPr/>
        <w:t>“</w:t>
      </w:r>
      <w:r>
        <w:rPr>
          <w:rFonts w:ascii="Times New Roman" w:hAnsi="Times New Roman"/>
          <w:sz w:val="20"/>
          <w:u w:val="single"/>
        </w:rPr>
        <w:t>Unrestricted Cash</w:t>
      </w:r>
      <w:r>
        <w:rPr>
          <w:rFonts w:ascii="Times New Roman" w:hAnsi="Times New Roman"/>
          <w:sz w:val="20"/>
        </w:rPr>
        <w:t xml:space="preserve">” means cash and Permitted Investments held by (i) GEO and its Restricted Subsidiaries or (ii) in a Qualified Trust established pursuant to an Exchange Agreement for not more than 180 calendar days plus 5 Business Days (less the amount of the gross purchase price set forth in any contract of purchase and sale (which has not been terminated) with respect to any property identified in writing by any Loan Party to the applicable Qualified Intermediary as “replacement” or similar property contemplated by the applicable Exchange Agreement), in each case that are not subject to any Lien or preferential arrangement in favor of any Person to protect such Person against loss and are not part of any funded reserve established by GEO or any of its Restricted Subsidiaries required by GAAP. </w:t>
      </w:r>
    </w:p>
    <w:p>
      <w:pPr>
        <w:pStyle w:val="TextBody"/>
        <w:bidi w:val="0"/>
        <w:spacing w:before="240" w:after="0"/>
        <w:jc w:val="left"/>
        <w:rPr/>
      </w:pPr>
      <w:r>
        <w:rPr/>
        <w:t>“</w:t>
      </w:r>
      <w:r>
        <w:rPr>
          <w:rFonts w:ascii="Times New Roman" w:hAnsi="Times New Roman"/>
          <w:sz w:val="20"/>
          <w:u w:val="single"/>
        </w:rPr>
        <w:t>Unrestricted Subsidiary</w:t>
      </w:r>
      <w:r>
        <w:rPr>
          <w:rFonts w:ascii="Times New Roman" w:hAnsi="Times New Roman"/>
          <w:sz w:val="20"/>
        </w:rPr>
        <w:t xml:space="preserve">” means any Subsidiary of GEO identified on the Effective Date in the Disclosure Supplement as an Unrestricted Subsidiary or which qualifies as an Unrestricted Subsidiary after the Effective Date pursuant to </w:t>
      </w:r>
      <w:r>
        <w:rPr>
          <w:rFonts w:ascii="Times New Roman" w:hAnsi="Times New Roman"/>
          <w:sz w:val="20"/>
          <w:u w:val="single"/>
        </w:rPr>
        <w:t>Section 5.09(d)</w:t>
      </w:r>
      <w:r>
        <w:rPr>
          <w:rFonts w:ascii="Times New Roman" w:hAnsi="Times New Roman"/>
          <w:sz w:val="20"/>
        </w:rPr>
        <w:t xml:space="preserve">; </w:t>
      </w:r>
      <w:r>
        <w:rPr>
          <w:rFonts w:ascii="Times New Roman" w:hAnsi="Times New Roman"/>
          <w:sz w:val="20"/>
          <w:u w:val="single"/>
        </w:rPr>
        <w:t xml:space="preserve">provided </w:t>
      </w:r>
      <w:r>
        <w:rPr>
          <w:rFonts w:ascii="Times New Roman" w:hAnsi="Times New Roman"/>
          <w:sz w:val="20"/>
        </w:rPr>
        <w:t xml:space="preserve">that (i) such Unrestricted Subsidiary meets the requirements set forth in </w:t>
      </w:r>
      <w:r>
        <w:rPr>
          <w:rFonts w:ascii="Times New Roman" w:hAnsi="Times New Roman"/>
          <w:sz w:val="20"/>
          <w:u w:val="single"/>
        </w:rPr>
        <w:t>Section 5.09(d)</w:t>
      </w:r>
      <w:r>
        <w:rPr>
          <w:rFonts w:ascii="Times New Roman" w:hAnsi="Times New Roman"/>
          <w:sz w:val="20"/>
        </w:rPr>
        <w:t xml:space="preserve">, (ii) no Borrower shall be an Unrestricted Subsidiary and (iii) no Unrestricted Subsidiary shall own or exclusively license any Material Intellectual Property.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Unrestricted Subsidiary Debt</w:t>
      </w:r>
      <w:r>
        <w:rPr>
          <w:rFonts w:ascii="Times New Roman" w:hAnsi="Times New Roman"/>
          <w:sz w:val="20"/>
        </w:rPr>
        <w:t xml:space="preserve">” means Indebtedness of any one or more Unrestricted Subsidiaries. </w:t>
      </w:r>
    </w:p>
    <w:p>
      <w:pPr>
        <w:pStyle w:val="TextBody"/>
        <w:bidi w:val="0"/>
        <w:spacing w:before="240" w:after="0"/>
        <w:jc w:val="left"/>
        <w:rPr/>
      </w:pPr>
      <w:r>
        <w:rPr/>
        <w:t>“</w:t>
      </w:r>
      <w:r>
        <w:rPr>
          <w:rFonts w:ascii="Times New Roman" w:hAnsi="Times New Roman"/>
          <w:sz w:val="20"/>
          <w:u w:val="single"/>
        </w:rPr>
        <w:t>U.S. Borrower</w:t>
      </w:r>
      <w:r>
        <w:rPr>
          <w:rFonts w:ascii="Times New Roman" w:hAnsi="Times New Roman"/>
          <w:sz w:val="20"/>
        </w:rPr>
        <w:t xml:space="preserve">” means a Borrower that is United States person within the meaning of Section 7701(a)(30) of the Code, it being understood that, as of the Effective Date, each Borrower is a U.S. Borrower. </w:t>
      </w:r>
    </w:p>
    <w:p>
      <w:pPr>
        <w:pStyle w:val="TextBody"/>
        <w:bidi w:val="0"/>
        <w:spacing w:before="240" w:after="0"/>
        <w:jc w:val="left"/>
        <w:rPr/>
      </w:pPr>
      <w:r>
        <w:rPr/>
        <w:t>“</w:t>
      </w:r>
      <w:r>
        <w:rPr>
          <w:rFonts w:ascii="Times New Roman" w:hAnsi="Times New Roman"/>
          <w:sz w:val="20"/>
          <w:u w:val="single"/>
        </w:rPr>
        <w:t>U.S. Government Securities Business Day</w:t>
      </w:r>
      <w:r>
        <w:rPr>
          <w:rFonts w:ascii="Times New Roman" w:hAnsi="Times New Roman"/>
          <w:sz w:val="20"/>
        </w:rPr>
        <w:t xml:space="preserve">” means any day except for (a) a Saturday, (b) a Sunday or (c) a day on which the Securities Industry and Financial Markets Association recommends that the fixed income departments of its members be closed for the entire day for purposes of trading in United States government securities. </w:t>
      </w:r>
    </w:p>
    <w:p>
      <w:pPr>
        <w:pStyle w:val="TextBody"/>
        <w:bidi w:val="0"/>
        <w:spacing w:before="240" w:after="0"/>
        <w:jc w:val="left"/>
        <w:rPr/>
      </w:pPr>
      <w:r>
        <w:rPr/>
        <w:t>“</w:t>
      </w:r>
      <w:r>
        <w:rPr>
          <w:rFonts w:ascii="Times New Roman" w:hAnsi="Times New Roman"/>
          <w:sz w:val="20"/>
          <w:u w:val="single"/>
        </w:rPr>
        <w:t>Withdrawal Liability</w:t>
      </w:r>
      <w:r>
        <w:rPr>
          <w:rFonts w:ascii="Times New Roman" w:hAnsi="Times New Roman"/>
          <w:sz w:val="20"/>
        </w:rPr>
        <w:t xml:space="preserve">” means liability to a Multiemployer Plan as a result of a complete or partial withdrawal from such Multiemployer Plan, as such terms are defined in Part I of Subtitle E of Title IV of ERISA. </w:t>
      </w:r>
    </w:p>
    <w:p>
      <w:pPr>
        <w:pStyle w:val="TextBody"/>
        <w:bidi w:val="0"/>
        <w:spacing w:before="240" w:after="0"/>
        <w:jc w:val="left"/>
        <w:rPr/>
      </w:pPr>
      <w:r>
        <w:rPr/>
        <w:t>“</w:t>
      </w:r>
      <w:r>
        <w:rPr>
          <w:rFonts w:ascii="Times New Roman" w:hAnsi="Times New Roman"/>
          <w:sz w:val="20"/>
          <w:u w:val="single"/>
        </w:rPr>
        <w:t>Working Capital</w:t>
      </w:r>
      <w:r>
        <w:rPr>
          <w:rFonts w:ascii="Times New Roman" w:hAnsi="Times New Roman"/>
          <w:sz w:val="20"/>
        </w:rPr>
        <w:t xml:space="preserve">” means, at any time, the excess at such time of current assets (excluding cash and cash equivalents) over current liabilities (excluding the current portion of long-term debt) of GEO, its Subsidiaries and the Other Consolidated Persons (determined on a consolidated basis without duplication in accordance with GAAP); </w:t>
      </w:r>
      <w:r>
        <w:rPr>
          <w:rFonts w:ascii="Times New Roman" w:hAnsi="Times New Roman"/>
          <w:sz w:val="20"/>
          <w:u w:val="single"/>
        </w:rPr>
        <w:t>provided</w:t>
      </w:r>
      <w:r>
        <w:rPr>
          <w:rFonts w:ascii="Times New Roman" w:hAnsi="Times New Roman"/>
          <w:sz w:val="20"/>
        </w:rPr>
        <w:t xml:space="preserve"> that when comparing increases or decreases of Working Capital across periods, the impact of acquisitions, dispositions and reclassifications from long term to current shall be excluded. </w:t>
      </w:r>
    </w:p>
    <w:p>
      <w:pPr>
        <w:pStyle w:val="TextBody"/>
        <w:bidi w:val="0"/>
        <w:spacing w:before="240" w:after="0"/>
        <w:jc w:val="left"/>
        <w:rPr/>
      </w:pPr>
      <w:r>
        <w:rPr/>
        <w:t>“</w:t>
      </w:r>
      <w:r>
        <w:rPr>
          <w:rFonts w:ascii="Times New Roman" w:hAnsi="Times New Roman"/>
          <w:sz w:val="20"/>
          <w:u w:val="single"/>
        </w:rPr>
        <w:t>Write-Down and Conversion Powers</w:t>
      </w:r>
      <w:r>
        <w:rPr>
          <w:rFonts w:ascii="Times New Roman" w:hAnsi="Times New Roman"/>
          <w:sz w:val="20"/>
        </w:rPr>
        <w:t xml:space="preserve">”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 </w:t>
      </w:r>
    </w:p>
    <w:p>
      <w:pPr>
        <w:pStyle w:val="TextBody"/>
        <w:bidi w:val="0"/>
        <w:spacing w:before="240" w:after="0"/>
        <w:jc w:val="left"/>
        <w:rPr>
          <w:rFonts w:ascii="Times New Roman" w:hAnsi="Times New Roman"/>
          <w:sz w:val="20"/>
        </w:rPr>
      </w:pPr>
      <w:r>
        <w:rPr>
          <w:rFonts w:ascii="Times New Roman" w:hAnsi="Times New Roman"/>
          <w:sz w:val="20"/>
        </w:rPr>
        <w:t xml:space="preserve">Section 1.02 </w:t>
      </w:r>
      <w:r>
        <w:rPr>
          <w:rFonts w:ascii="Times New Roman" w:hAnsi="Times New Roman"/>
          <w:sz w:val="20"/>
          <w:u w:val="single"/>
        </w:rPr>
        <w:t>Classification of Loans and Borrowings</w:t>
      </w:r>
      <w:r>
        <w:rPr>
          <w:rFonts w:ascii="Times New Roman" w:hAnsi="Times New Roman"/>
          <w:sz w:val="20"/>
        </w:rPr>
        <w:t xml:space="preserve">. For purposes of this Agreement, Loans may be classified and referred to by Class (e.g., a “Term Loan”), by Type (e.g., an “ABR Loan”) or by Class and Type (e.g., an “ABR Term Loan”). Borrowings also may be classified and referred to by Class (e.g., a “Term Borrowing”), by Type (e.g., an “ABR Borrowing”) or by Class and Type (e.g., an “ABR Term Borrowing”). </w:t>
      </w:r>
    </w:p>
    <w:p>
      <w:pPr>
        <w:pStyle w:val="TextBody"/>
        <w:bidi w:val="0"/>
        <w:spacing w:before="240" w:after="0"/>
        <w:jc w:val="left"/>
        <w:rPr>
          <w:rFonts w:ascii="Times New Roman" w:hAnsi="Times New Roman"/>
          <w:sz w:val="20"/>
        </w:rPr>
      </w:pPr>
      <w:r>
        <w:rPr>
          <w:rFonts w:ascii="Times New Roman" w:hAnsi="Times New Roman"/>
          <w:sz w:val="20"/>
        </w:rPr>
        <w:t xml:space="preserve">Section 1.03 </w:t>
      </w:r>
      <w:r>
        <w:rPr>
          <w:rFonts w:ascii="Times New Roman" w:hAnsi="Times New Roman"/>
          <w:sz w:val="20"/>
          <w:u w:val="single"/>
        </w:rPr>
        <w:t>Terms Generally</w:t>
      </w:r>
      <w:r>
        <w:rPr>
          <w:rFonts w:ascii="Times New Roman" w:hAnsi="Times New Roman"/>
          <w:sz w:val="20"/>
        </w:rPr>
        <w:t xml:space="preserve">.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Any reference herein to “the date hereof”, “the date of this Agreement” and words of similar import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shall be deemed to mean the Effective Date. Unless the context requires otherwise (a)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including in Section 6.08), (b) any reference herein to any Person shall be construed to include such Person’s successors and assigns, (c) the words “herein”, “hereof” and “hereunder”, and words of similar import, shall be construed to refer to this Agreement in its entirety and not to any particular provision hereof, (d) all references herein to Articles, Sections, Exhibits and Schedules shall be construed to refer to Articles and Sections of, and Exhibits and Schedules to, this Agreement, (e) any reference to any law or regulation herein shall, unless otherwise specified, refer to such law or regulation as amended, modified, supplemented, reenacted or redesignated from time to time and (f) the words “asset” and “property” shall be construed to have the same meaning and effect and to refer to any and all tangible and intangible assets and properties, including cash, securities, accounts and contract </w:t>
      </w:r>
      <w:r>
        <w:rPr>
          <w:rFonts w:ascii="Times New Roman" w:hAnsi="Times New Roman"/>
          <w:sz w:val="20"/>
          <w:u w:val="single"/>
        </w:rPr>
        <w:t>rights.</w:t>
      </w:r>
      <w:r>
        <w:rPr>
          <w:rFonts w:ascii="Times New Roman" w:hAnsi="Times New Roman"/>
          <w:sz w:val="20"/>
        </w:rPr>
        <w:t xml:space="preserve">Section 1.04 </w:t>
      </w:r>
      <w:r>
        <w:rPr>
          <w:rFonts w:ascii="Times New Roman" w:hAnsi="Times New Roman"/>
          <w:sz w:val="20"/>
          <w:u w:val="single"/>
        </w:rPr>
        <w:t>Accounting Terms; GAAP</w:t>
      </w:r>
      <w:r>
        <w:rPr>
          <w:rFonts w:ascii="Times New Roman" w:hAnsi="Times New Roman"/>
          <w:sz w:val="20"/>
        </w:rPr>
        <w:t xml:space="preserve">. Except as otherwise expressly provided herein, all terms of an accounting or financial nature shall be construed in accordance with GAAP as in effect from time to time; </w:t>
      </w:r>
      <w:r>
        <w:rPr>
          <w:rFonts w:ascii="Times New Roman" w:hAnsi="Times New Roman"/>
          <w:sz w:val="20"/>
          <w:u w:val="single"/>
        </w:rPr>
        <w:t>provided</w:t>
      </w:r>
      <w:r>
        <w:rPr>
          <w:rFonts w:ascii="Times New Roman" w:hAnsi="Times New Roman"/>
          <w:sz w:val="20"/>
        </w:rPr>
        <w:t xml:space="preserve"> that, if GEO notifies the Administrative Agent that GEO requests an amendment to any provision hereof to eliminate the effect of any change in GAAP occurring or with application after the date hereof on the operation of such provision (or if the Administrative Agent notifies GEO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To enable the ready and consistent determination of compliance with the covenants set forth in </w:t>
      </w:r>
      <w:r>
        <w:rPr>
          <w:rFonts w:ascii="Times New Roman" w:hAnsi="Times New Roman"/>
          <w:sz w:val="20"/>
          <w:u w:val="single"/>
        </w:rPr>
        <w:t>Article VI</w:t>
      </w:r>
      <w:r>
        <w:rPr>
          <w:rFonts w:ascii="Times New Roman" w:hAnsi="Times New Roman"/>
          <w:sz w:val="20"/>
        </w:rPr>
        <w:t xml:space="preserve">, GEO will comply with </w:t>
      </w:r>
      <w:r>
        <w:rPr>
          <w:rFonts w:ascii="Times New Roman" w:hAnsi="Times New Roman"/>
          <w:sz w:val="20"/>
          <w:u w:val="single"/>
        </w:rPr>
        <w:t>Section 5.12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1.05 </w:t>
      </w:r>
      <w:r>
        <w:rPr>
          <w:rFonts w:ascii="Times New Roman" w:hAnsi="Times New Roman"/>
          <w:sz w:val="20"/>
          <w:u w:val="single"/>
        </w:rPr>
        <w:t>Currencies; Currency Equivalents</w:t>
      </w:r>
      <w:r>
        <w:rPr>
          <w:rFonts w:ascii="Times New Roman" w:hAnsi="Times New Roman"/>
          <w:sz w:val="20"/>
        </w:rPr>
        <w:t xml:space="preserve">. At any time, any reference in the definition of the term “Agreed Foreign Currency” or in any other provision of this Agreement to the Currency of any particular nation means the lawful currency of such nation at such time whether or not the name of such Currency is the same as it was on the date hereof. Except as otherwise expressly provided herein, for purposes of determining: </w:t>
      </w:r>
    </w:p>
    <w:p>
      <w:pPr>
        <w:pStyle w:val="TextBody"/>
        <w:bidi w:val="0"/>
        <w:spacing w:before="120" w:after="0"/>
        <w:jc w:val="left"/>
        <w:rPr>
          <w:rFonts w:ascii="Times New Roman" w:hAnsi="Times New Roman"/>
          <w:sz w:val="20"/>
        </w:rPr>
      </w:pPr>
      <w:r>
        <w:rPr>
          <w:rFonts w:ascii="Times New Roman" w:hAnsi="Times New Roman"/>
          <w:sz w:val="20"/>
        </w:rPr>
        <w:t xml:space="preserve">(i) whether the amount of any Letter of Credit, together with all other Revolving Credit Borrowings and Letters of Credit then outstanding or to be borrowed or issued at the same time that such Letter of Credit is outstanding, would exceed the aggregate amount of the Revolving Credit Commitments, </w:t>
      </w:r>
    </w:p>
    <w:p>
      <w:pPr>
        <w:pStyle w:val="TextBody"/>
        <w:bidi w:val="0"/>
        <w:spacing w:before="120" w:after="0"/>
        <w:jc w:val="left"/>
        <w:rPr>
          <w:rFonts w:ascii="Times New Roman" w:hAnsi="Times New Roman"/>
          <w:sz w:val="20"/>
        </w:rPr>
      </w:pPr>
      <w:r>
        <w:rPr>
          <w:rFonts w:ascii="Times New Roman" w:hAnsi="Times New Roman"/>
          <w:sz w:val="20"/>
        </w:rPr>
        <w:t xml:space="preserve">(ii) the aggregate unutilized amount of the Commitments of any Class, or </w:t>
      </w:r>
    </w:p>
    <w:p>
      <w:pPr>
        <w:pStyle w:val="TextBody"/>
        <w:bidi w:val="0"/>
        <w:spacing w:before="120" w:after="0"/>
        <w:jc w:val="left"/>
        <w:rPr>
          <w:rFonts w:ascii="Times New Roman" w:hAnsi="Times New Roman"/>
          <w:sz w:val="20"/>
        </w:rPr>
      </w:pPr>
      <w:r>
        <w:rPr>
          <w:rFonts w:ascii="Times New Roman" w:hAnsi="Times New Roman"/>
          <w:sz w:val="20"/>
        </w:rPr>
        <w:t xml:space="preserve">(iii) the Revolving Credit Exposure or the LC Exposure of any Class,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the outstanding face amount of any Letter of Credit that is denominated in any Foreign Currency shall be deemed to be the Dollar Equivalent of the amount of the Foreign Currency of such Letter of Credit determined as of the date of such Letter of Credit (determined in accordance with the last sentence of the definition of “</w:t>
      </w:r>
      <w:r>
        <w:rPr>
          <w:rFonts w:ascii="Times New Roman" w:hAnsi="Times New Roman"/>
          <w:sz w:val="20"/>
          <w:u w:val="single"/>
        </w:rPr>
        <w:t>Interest Period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Wherever in this Agreement in connection with the issuance, amendment or extension of a Letter of Credit an amount, such as a required minimum or multiple amount, is expressed in Dollars, but such Letter of Credit is denominated in a Foreign Currency, such amount shall be the relevant Foreign Currency Equivalent of such Dollar amount (rounded to the nearest unit of such Foreign Currency, with 0.5 of a unit being rounded upward), as determined by the applicable Issuing Lender. </w:t>
      </w:r>
    </w:p>
    <w:p>
      <w:pPr>
        <w:pStyle w:val="TextBody"/>
        <w:bidi w:val="0"/>
        <w:spacing w:before="240" w:after="0"/>
        <w:jc w:val="left"/>
        <w:rPr>
          <w:rFonts w:ascii="Times New Roman" w:hAnsi="Times New Roman"/>
          <w:sz w:val="20"/>
        </w:rPr>
      </w:pPr>
      <w:r>
        <w:rPr>
          <w:rFonts w:ascii="Times New Roman" w:hAnsi="Times New Roman"/>
          <w:sz w:val="20"/>
        </w:rPr>
        <w:t xml:space="preserve">Section 1.06 </w:t>
      </w:r>
      <w:r>
        <w:rPr>
          <w:rFonts w:ascii="Times New Roman" w:hAnsi="Times New Roman"/>
          <w:sz w:val="20"/>
          <w:u w:val="single"/>
        </w:rPr>
        <w:t>Rates</w:t>
      </w:r>
      <w:r>
        <w:rPr>
          <w:rFonts w:ascii="Times New Roman" w:hAnsi="Times New Roman"/>
          <w:sz w:val="20"/>
        </w:rPr>
        <w:t xml:space="preserve">. The Administrative Agent does not warrant or accept any responsibility for, and shall not have any liability with respect to, (a) the continuation of, administration of, submission of, calculation of or any other matter related to the Alternate Base Rate, the Term SOFR Reference Rate or Term SOFR, or any component definition thereof or rates referred to in the definition thereof, or any alternative, successor or replacement rate thereto (including any Benchmark Replacement), including whether the composition or characteristics of any such alternative, successor or replacement rate (including any Benchmark Replacement) will be similar to, or produce the same value or economic equivalence of, or have the same volume or liquidity as, the Alternate Base Rate, the Term SOFR Reference Rate, Term SOFR or any other Benchmark prior to its discontinuance or unavailability, or (b) the effect, implementation or composition of any Conforming Changes. The Administrative Agent and its affiliates or other related entities may engage in transactions that affect the calculation of the Alternate Base Rate, the Term SOFR Reference Rate, Term SOFR, any alternative, successor or replacement rate (including any Benchmark Replacement) or any relevant adjustments thereto, in each case, in a manner adverse to the Borrowers. The Administrative Agent may select information sources or services in its reasonable discretion to ascertain the Alternate Base Rate, the Term SOFR Reference Rate, Term SOFR or any other Benchmark, or any component definition thereof or rates referred to in the definition thereof, in each case pursuant to the terms of this Agreement, and shall have no liability to any Borrower, any </w:t>
      </w:r>
      <w:r>
        <w:rPr>
          <w:rFonts w:ascii="Times New Roman" w:hAnsi="Times New Roman"/>
          <w:sz w:val="20"/>
          <w:u w:val="single"/>
        </w:rPr>
        <w:t>Lender</w:t>
      </w:r>
      <w:r>
        <w:rPr>
          <w:rFonts w:ascii="Times New Roman" w:hAnsi="Times New Roman"/>
          <w:sz w:val="20"/>
        </w:rPr>
        <w:t xml:space="preserve">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 </w:t>
      </w:r>
    </w:p>
    <w:p>
      <w:pPr>
        <w:pStyle w:val="TextBody"/>
        <w:bidi w:val="0"/>
        <w:spacing w:before="240" w:after="0"/>
        <w:jc w:val="left"/>
        <w:rPr>
          <w:rFonts w:ascii="Times New Roman" w:hAnsi="Times New Roman"/>
          <w:sz w:val="20"/>
        </w:rPr>
      </w:pPr>
      <w:r>
        <w:rPr>
          <w:rFonts w:ascii="Times New Roman" w:hAnsi="Times New Roman"/>
          <w:sz w:val="20"/>
        </w:rPr>
        <w:t xml:space="preserve">Section 1.07 </w:t>
      </w:r>
      <w:r>
        <w:rPr>
          <w:rFonts w:ascii="Times New Roman" w:hAnsi="Times New Roman"/>
          <w:sz w:val="20"/>
          <w:u w:val="single"/>
        </w:rPr>
        <w:t>Letter of Credit Amounts</w:t>
      </w:r>
      <w:r>
        <w:rPr>
          <w:rFonts w:ascii="Times New Roman" w:hAnsi="Times New Roman"/>
          <w:sz w:val="20"/>
        </w:rPr>
        <w:t xml:space="preserve">. Unless otherwise specified herein, the amount of a Letter of Credit at any time shall be deemed to be the aggregate amount available to be drawn under such Letter of Credit at such time;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with respect to any Letter of Credit that, by its terms or the terms of the Letter of Credit Documents related thereto, provides for one or more automatic increases in the stated amount thereof (or the aggregate amount available to be drawn thereunder), the amount of such Letter of Credit (other than for purposes of </w:t>
      </w:r>
      <w:r>
        <w:rPr>
          <w:rFonts w:ascii="Times New Roman" w:hAnsi="Times New Roman"/>
          <w:sz w:val="20"/>
          <w:u w:val="single"/>
        </w:rPr>
        <w:t>Section 2.11</w:t>
      </w:r>
      <w:r>
        <w:rPr>
          <w:rFonts w:ascii="Times New Roman" w:hAnsi="Times New Roman"/>
          <w:sz w:val="20"/>
        </w:rPr>
        <w:t xml:space="preserve">) shall be deemed to be the maximum aggregate amount available to be drawn under such Letter of Credit after giving effect to all such increases. </w:t>
      </w:r>
    </w:p>
    <w:p>
      <w:pPr>
        <w:pStyle w:val="TextBody"/>
        <w:bidi w:val="0"/>
        <w:spacing w:before="240" w:after="0"/>
        <w:jc w:val="left"/>
        <w:rPr>
          <w:rFonts w:ascii="Times New Roman" w:hAnsi="Times New Roman"/>
          <w:sz w:val="20"/>
        </w:rPr>
      </w:pPr>
      <w:r>
        <w:rPr>
          <w:rFonts w:ascii="Times New Roman" w:hAnsi="Times New Roman"/>
          <w:sz w:val="20"/>
        </w:rPr>
        <w:t xml:space="preserve">Section 1.08 </w:t>
      </w:r>
      <w:r>
        <w:rPr>
          <w:rFonts w:ascii="Times New Roman" w:hAnsi="Times New Roman"/>
          <w:sz w:val="20"/>
          <w:u w:val="single"/>
        </w:rPr>
        <w:t>Divisions</w:t>
      </w:r>
      <w:r>
        <w:rPr>
          <w:rFonts w:ascii="Times New Roman" w:hAnsi="Times New Roman"/>
          <w:sz w:val="20"/>
        </w:rPr>
        <w:t xml:space="preserve">.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and acquired on the first date of its existence by the holders of its Equity Interests at such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ARTICLE II </w:t>
      </w:r>
    </w:p>
    <w:p>
      <w:pPr>
        <w:pStyle w:val="TextBody"/>
        <w:bidi w:val="0"/>
        <w:spacing w:before="120" w:after="0"/>
        <w:jc w:val="center"/>
        <w:rPr>
          <w:rFonts w:ascii="Times New Roman" w:hAnsi="Times New Roman"/>
          <w:sz w:val="20"/>
        </w:rPr>
      </w:pPr>
      <w:r>
        <w:rPr>
          <w:rFonts w:ascii="Times New Roman" w:hAnsi="Times New Roman"/>
          <w:sz w:val="20"/>
        </w:rPr>
        <w:t xml:space="preserve">THE CREDITS </w:t>
      </w:r>
    </w:p>
    <w:p>
      <w:pPr>
        <w:pStyle w:val="TextBody"/>
        <w:bidi w:val="0"/>
        <w:spacing w:before="240" w:after="0"/>
        <w:jc w:val="left"/>
        <w:rPr>
          <w:rFonts w:ascii="Times New Roman" w:hAnsi="Times New Roman"/>
          <w:sz w:val="20"/>
        </w:rPr>
      </w:pPr>
      <w:r>
        <w:rPr>
          <w:rFonts w:ascii="Times New Roman" w:hAnsi="Times New Roman"/>
          <w:sz w:val="20"/>
        </w:rPr>
        <w:t xml:space="preserve">Section 2.01 </w:t>
      </w:r>
      <w:r>
        <w:rPr>
          <w:rFonts w:ascii="Times New Roman" w:hAnsi="Times New Roman"/>
          <w:sz w:val="20"/>
          <w:u w:val="single"/>
        </w:rPr>
        <w:t>The Commitments; Revolving Credit Loans; Term Loans; Incremental Term Loans</w:t>
      </w:r>
      <w:r>
        <w:rPr>
          <w:rFonts w:ascii="Times New Roman" w:hAnsi="Times New Roman"/>
          <w:sz w:val="20"/>
        </w:rPr>
        <w:t xml:space="preserve">. Subject to the terms and subject to the conditions set forth herein, the Lenders severally agree to make Loans, in each case as set forth below: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Revolving Credit Loans</w:t>
      </w:r>
      <w:r>
        <w:rPr>
          <w:rFonts w:ascii="Times New Roman" w:hAnsi="Times New Roman"/>
          <w:sz w:val="20"/>
        </w:rPr>
        <w:t xml:space="preserve">. Each Revolving Credit Lender having an Available Revolving Credit Commitment agrees, subject to the terms and conditions set forth herein, to make Revolving Credit Loans, in Dollars, to the Borrowers, from time to time during the Revolving Credit Availability Period, in an aggregate principal amount that will result in neither (x) such Lender’s Revolving Credit Exposure exceeding such Lender’s Revolving Credit Commitment nor (y) the total Revolving Credit Exposures exceeding the total Revolving Credit Commitments. Within the foregoing limits and subject to the terms and conditions set forth herein, the Borrowers may borrow, prepay and reborrow Revolving Credit Loans.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Incremental Term Loans</w:t>
      </w:r>
      <w:r>
        <w:rPr>
          <w:rFonts w:ascii="Times New Roman" w:hAnsi="Times New Roman"/>
          <w:sz w:val="20"/>
        </w:rPr>
        <w:t xml:space="preserve">. In addition to Borrowings of Revolving Credit Loans and Term Loans (if any) pursuant to </w:t>
      </w:r>
      <w:r>
        <w:rPr>
          <w:rFonts w:ascii="Times New Roman" w:hAnsi="Times New Roman"/>
          <w:sz w:val="20"/>
          <w:u w:val="single"/>
        </w:rPr>
        <w:t>Section 2.01(a)</w:t>
      </w:r>
      <w:r>
        <w:rPr>
          <w:rFonts w:ascii="Times New Roman" w:hAnsi="Times New Roman"/>
          <w:sz w:val="20"/>
        </w:rPr>
        <w:t xml:space="preserve"> and </w:t>
      </w:r>
      <w:r>
        <w:rPr>
          <w:rFonts w:ascii="Times New Roman" w:hAnsi="Times New Roman"/>
          <w:sz w:val="20"/>
          <w:u w:val="single"/>
        </w:rPr>
        <w:t>(b)</w:t>
      </w:r>
      <w:r>
        <w:rPr>
          <w:rFonts w:ascii="Times New Roman" w:hAnsi="Times New Roman"/>
          <w:sz w:val="20"/>
        </w:rPr>
        <w:t> above, from time to time, GEO may request that any one or more of the Lenders or, at the option of GEO, other financial institutions or funds selected by GEO offer to enter into commitments to make additional term loans (“</w:t>
      </w:r>
      <w:r>
        <w:rPr>
          <w:rFonts w:ascii="Times New Roman" w:hAnsi="Times New Roman"/>
          <w:sz w:val="20"/>
          <w:u w:val="single"/>
        </w:rPr>
        <w:t>Incremental Term Loans</w:t>
      </w:r>
      <w:r>
        <w:rPr>
          <w:rFonts w:ascii="Times New Roman" w:hAnsi="Times New Roman"/>
          <w:sz w:val="20"/>
        </w:rPr>
        <w:t>”) to GEO, in Dollars, in an aggregate principal amount not to exceed the Incremental Amount. In the event that one or more of the Lenders or such other financial institutions or funds offer, in their sole discretion, to enter into such commitments, and such Lenders or financial institutions or funds and GEO agree as to the amount of such commitments that shall be allocated to the respective Lenders or financial institutions or funds making such offers and the fees (if any) to be payable by GEO in connection therewith, such Lenders or financial institutions or funds shall become obligated to make Incremental Term Loans under this Agreement in an amount equal to the amount of their respective Incremental Term Loan Commitments (and such financial institutions shall become “</w:t>
      </w:r>
      <w:r>
        <w:rPr>
          <w:rFonts w:ascii="Times New Roman" w:hAnsi="Times New Roman"/>
          <w:sz w:val="20"/>
          <w:u w:val="single"/>
        </w:rPr>
        <w:t>Incremental Lenders</w:t>
      </w:r>
      <w:r>
        <w:rPr>
          <w:rFonts w:ascii="Times New Roman" w:hAnsi="Times New Roman"/>
          <w:sz w:val="20"/>
        </w:rPr>
        <w:t>” hereunder). The Incremental Term Loans to be made pursuant to any such agreement between GEO and any such Incremental Lenders in response to any such request by GEO shall be deemed to be a separate “</w:t>
      </w:r>
      <w:r>
        <w:rPr>
          <w:rFonts w:ascii="Times New Roman" w:hAnsi="Times New Roman"/>
          <w:sz w:val="20"/>
          <w:u w:val="single"/>
        </w:rPr>
        <w:t>Series</w:t>
      </w:r>
      <w:r>
        <w:rPr>
          <w:rFonts w:ascii="Times New Roman" w:hAnsi="Times New Roman"/>
          <w:sz w:val="20"/>
        </w:rPr>
        <w:t xml:space="preserve">” of Incremental Term Loans hereunder for all purposes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Anything herein to the contrary notwithstanding: </w:t>
      </w:r>
    </w:p>
    <w:p>
      <w:pPr>
        <w:pStyle w:val="TextBody"/>
        <w:bidi w:val="0"/>
        <w:spacing w:before="120" w:after="0"/>
        <w:jc w:val="left"/>
        <w:rPr>
          <w:rFonts w:ascii="Times New Roman" w:hAnsi="Times New Roman"/>
          <w:sz w:val="20"/>
        </w:rPr>
      </w:pPr>
      <w:r>
        <w:rPr>
          <w:rFonts w:ascii="Times New Roman" w:hAnsi="Times New Roman"/>
          <w:sz w:val="20"/>
        </w:rPr>
        <w:t xml:space="preserve">(1) the Pro Forma First Lien Leverage Ratio shall not exceed 2.75:1.00;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the minimum aggregate principal amount of Incremental Term Loan Commitments entered into pursuant to any such request (and, accordingly, the minimum aggregate principal amount of any Series of Incremental Term Loans) shall be (A) $20,000,000 or a larger multiple of $1,000,000 or (B) any other amount consented to by the Administrative Agent; </w:t>
      </w:r>
    </w:p>
    <w:p>
      <w:pPr>
        <w:pStyle w:val="TextBody"/>
        <w:bidi w:val="0"/>
        <w:spacing w:before="120" w:after="0"/>
        <w:jc w:val="left"/>
        <w:rPr>
          <w:rFonts w:ascii="Times New Roman" w:hAnsi="Times New Roman"/>
          <w:sz w:val="20"/>
        </w:rPr>
      </w:pPr>
      <w:r>
        <w:rPr>
          <w:rFonts w:ascii="Times New Roman" w:hAnsi="Times New Roman"/>
          <w:sz w:val="20"/>
        </w:rPr>
        <w:t xml:space="preserve">(3) the Incremental Term Loans shall be subject to, and entitled to the benefits of, the collateral security and Guarantees provided for herein and in the other Loan Documents on an equal and ratable basis with each other Loan hereunder; </w:t>
      </w:r>
    </w:p>
    <w:p>
      <w:pPr>
        <w:pStyle w:val="TextBody"/>
        <w:bidi w:val="0"/>
        <w:spacing w:before="120" w:after="0"/>
        <w:jc w:val="left"/>
        <w:rPr>
          <w:rFonts w:ascii="Times New Roman" w:hAnsi="Times New Roman"/>
          <w:sz w:val="20"/>
        </w:rPr>
      </w:pPr>
      <w:r>
        <w:rPr>
          <w:rFonts w:ascii="Times New Roman" w:hAnsi="Times New Roman"/>
          <w:sz w:val="20"/>
        </w:rPr>
        <w:t xml:space="preserve">(4) except as otherwise expressly provided herein, the Incremental Term Loans of any Series shall have the interest rate and upfront, participation and other fees as shall be agreed upon by GEO and the applicable Incremental Lenders; </w:t>
      </w:r>
      <w:r>
        <w:rPr>
          <w:rFonts w:ascii="Times New Roman" w:hAnsi="Times New Roman"/>
          <w:sz w:val="20"/>
          <w:u w:val="single"/>
        </w:rPr>
        <w:t>provided</w:t>
      </w:r>
      <w:r>
        <w:rPr>
          <w:rFonts w:ascii="Times New Roman" w:hAnsi="Times New Roman"/>
          <w:sz w:val="20"/>
        </w:rPr>
        <w:t xml:space="preserve"> that if the All-In-Yield relating to such Incremental Term Loans that are secured on a </w:t>
      </w:r>
      <w:r>
        <w:rPr>
          <w:rFonts w:ascii="Times New Roman" w:hAnsi="Times New Roman"/>
          <w:sz w:val="20"/>
          <w:u w:val="single"/>
        </w:rPr>
        <w:t>pari passu</w:t>
      </w:r>
      <w:r>
        <w:rPr>
          <w:rFonts w:ascii="Times New Roman" w:hAnsi="Times New Roman"/>
          <w:sz w:val="20"/>
        </w:rPr>
        <w:t xml:space="preserve"> basis and having equal payment priority with the Term Loans exceeds the All-In-Yield relating to the Term Loans in effect immediately prior to the effectiveness of such Incremental Term Loan Amendment by more than 0.50%, the All-In-Yield relating to the Term Loans shall be adjusted to be equal to the All-In-Yield relating to the Incremental Term Loans </w:t>
      </w:r>
      <w:r>
        <w:rPr>
          <w:rFonts w:ascii="Times New Roman" w:hAnsi="Times New Roman"/>
          <w:sz w:val="20"/>
          <w:u w:val="single"/>
        </w:rPr>
        <w:t>minus</w:t>
      </w:r>
      <w:r>
        <w:rPr>
          <w:rFonts w:ascii="Times New Roman" w:hAnsi="Times New Roman"/>
          <w:sz w:val="20"/>
        </w:rPr>
        <w:t xml:space="preserve"> 0.50%; </w:t>
      </w:r>
    </w:p>
    <w:p>
      <w:pPr>
        <w:pStyle w:val="TextBody"/>
        <w:bidi w:val="0"/>
        <w:spacing w:before="120" w:after="0"/>
        <w:jc w:val="left"/>
        <w:rPr>
          <w:rFonts w:ascii="Times New Roman" w:hAnsi="Times New Roman"/>
          <w:sz w:val="20"/>
        </w:rPr>
      </w:pPr>
      <w:r>
        <w:rPr>
          <w:rFonts w:ascii="Times New Roman" w:hAnsi="Times New Roman"/>
          <w:sz w:val="20"/>
        </w:rPr>
        <w:t xml:space="preserve">(5) the Incremental Term Loans of any Series shall (i) have the commitment reduction schedule (if any), amortization and maturity date as shall be agreed upon by GEO and the applicable Incremental Lenders; provided that (A) the maturity for such Series of Incremental Term Loans shall not be earlier than the latest Maturity Date and (B) the average amortization of such Series of Incremental Term Loans shall not be greater than 10% per annum, and (ii) share in any mandatory prepayment (other than scheduled amortization payments) of Loans hereunder on a </w:t>
      </w:r>
      <w:r>
        <w:rPr>
          <w:rFonts w:ascii="Times New Roman" w:hAnsi="Times New Roman"/>
          <w:sz w:val="20"/>
          <w:u w:val="single"/>
        </w:rPr>
        <w:t>pro rata</w:t>
      </w:r>
      <w:r>
        <w:rPr>
          <w:rFonts w:ascii="Times New Roman" w:hAnsi="Times New Roman"/>
          <w:sz w:val="20"/>
        </w:rPr>
        <w:t xml:space="preserve"> basis as provided in Section 2.10(b); provided that GEO and the applicable Incremental Lenders shall be permitted, in their sole discretion, to elect to prepay or receive, as applicable, any such prepayments on a less than </w:t>
      </w:r>
      <w:r>
        <w:rPr>
          <w:rFonts w:ascii="Times New Roman" w:hAnsi="Times New Roman"/>
          <w:sz w:val="20"/>
          <w:u w:val="single"/>
        </w:rPr>
        <w:t>pro rata</w:t>
      </w:r>
      <w:r>
        <w:rPr>
          <w:rFonts w:ascii="Times New Roman" w:hAnsi="Times New Roman"/>
          <w:sz w:val="20"/>
        </w:rPr>
        <w:t xml:space="preserve"> basis (but not on a greater than </w:t>
      </w:r>
      <w:r>
        <w:rPr>
          <w:rFonts w:ascii="Times New Roman" w:hAnsi="Times New Roman"/>
          <w:sz w:val="20"/>
          <w:u w:val="single"/>
        </w:rPr>
        <w:t>pro rata</w:t>
      </w:r>
      <w:r>
        <w:rPr>
          <w:rFonts w:ascii="Times New Roman" w:hAnsi="Times New Roman"/>
          <w:sz w:val="20"/>
        </w:rPr>
        <w:t xml:space="preserve"> basis); and </w:t>
      </w:r>
    </w:p>
    <w:p>
      <w:pPr>
        <w:pStyle w:val="TextBody"/>
        <w:bidi w:val="0"/>
        <w:spacing w:before="120" w:after="0"/>
        <w:jc w:val="left"/>
        <w:rPr>
          <w:rFonts w:ascii="Times New Roman" w:hAnsi="Times New Roman"/>
          <w:sz w:val="20"/>
        </w:rPr>
      </w:pPr>
      <w:r>
        <w:rPr>
          <w:rFonts w:ascii="Times New Roman" w:hAnsi="Times New Roman"/>
          <w:sz w:val="20"/>
        </w:rPr>
        <w:t xml:space="preserve">(6) the Incremental Term Loans of any Series shall be subject to such conditions to effectiveness and initial credit extension as shall be agreed upon by the applicable Incremental Lenders, GEO and the Administrative Agent (which agreement by the Administrative Agent shall not be unreasonably withheld); </w:t>
      </w:r>
      <w:r>
        <w:rPr>
          <w:rFonts w:ascii="Times New Roman" w:hAnsi="Times New Roman"/>
          <w:sz w:val="20"/>
          <w:u w:val="single"/>
        </w:rPr>
        <w:t>provided</w:t>
      </w:r>
      <w:r>
        <w:rPr>
          <w:rFonts w:ascii="Times New Roman" w:hAnsi="Times New Roman"/>
          <w:sz w:val="20"/>
        </w:rPr>
        <w:t xml:space="preserve"> that GEO shall be in compliance with </w:t>
      </w:r>
      <w:r>
        <w:rPr>
          <w:rFonts w:ascii="Times New Roman" w:hAnsi="Times New Roman"/>
          <w:sz w:val="20"/>
          <w:u w:val="single"/>
        </w:rPr>
        <w:t>Section 5.11(c)</w:t>
      </w:r>
      <w:r>
        <w:rPr>
          <w:rFonts w:ascii="Times New Roman" w:hAnsi="Times New Roman"/>
          <w:sz w:val="20"/>
        </w:rPr>
        <w:t xml:space="preserve"> as of such date;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GEO and the applicable Incremental Lenders shall be permitted to modify or waive (without the need for consent or approval from any other Lender or the Administrative Agent) any or all of the conditions to the initial Borrowing of the applicable Incremental Term Loans (but not, for the avoidance of doubt, any requirements hereunder with respect to any Incremental Term Loan Commitment itself, including, without limitation, clauses (1) through (5) above) set forth in this Agreement, including </w:t>
      </w:r>
      <w:r>
        <w:rPr>
          <w:rFonts w:ascii="Times New Roman" w:hAnsi="Times New Roman"/>
          <w:sz w:val="20"/>
          <w:u w:val="single"/>
        </w:rPr>
        <w:t>Section 4.02</w:t>
      </w:r>
      <w:r>
        <w:rPr>
          <w:rFonts w:ascii="Times New Roman" w:hAnsi="Times New Roman"/>
          <w:sz w:val="20"/>
        </w:rPr>
        <w:t xml:space="preserve"> (other than with respect to (x) the absence of any Event of Default under any of </w:t>
      </w:r>
      <w:r>
        <w:rPr>
          <w:rFonts w:ascii="Times New Roman" w:hAnsi="Times New Roman"/>
          <w:sz w:val="20"/>
          <w:u w:val="single"/>
        </w:rPr>
        <w:t>Sections 7.01(a)</w:t>
      </w:r>
      <w:r>
        <w:rPr>
          <w:rFonts w:ascii="Times New Roman" w:hAnsi="Times New Roman"/>
          <w:sz w:val="20"/>
        </w:rPr>
        <w:t xml:space="preserve">, </w:t>
      </w:r>
      <w:r>
        <w:rPr>
          <w:rFonts w:ascii="Times New Roman" w:hAnsi="Times New Roman"/>
          <w:sz w:val="20"/>
          <w:u w:val="single"/>
        </w:rPr>
        <w:t>(b)</w:t>
      </w:r>
      <w:r>
        <w:rPr>
          <w:rFonts w:ascii="Times New Roman" w:hAnsi="Times New Roman"/>
          <w:sz w:val="20"/>
        </w:rPr>
        <w:t xml:space="preserve">, </w:t>
      </w:r>
      <w:r>
        <w:rPr>
          <w:rFonts w:ascii="Times New Roman" w:hAnsi="Times New Roman"/>
          <w:sz w:val="20"/>
          <w:u w:val="single"/>
        </w:rPr>
        <w:t>(h)</w:t>
      </w:r>
      <w:r>
        <w:rPr>
          <w:rFonts w:ascii="Times New Roman" w:hAnsi="Times New Roman"/>
          <w:sz w:val="20"/>
        </w:rPr>
        <w:t xml:space="preserve">, </w:t>
      </w:r>
      <w:r>
        <w:rPr>
          <w:rFonts w:ascii="Times New Roman" w:hAnsi="Times New Roman"/>
          <w:sz w:val="20"/>
          <w:u w:val="single"/>
        </w:rPr>
        <w:t>(i),</w:t>
      </w:r>
      <w:r>
        <w:rPr>
          <w:rFonts w:ascii="Times New Roman" w:hAnsi="Times New Roman"/>
          <w:sz w:val="20"/>
        </w:rPr>
        <w:t xml:space="preserve"> </w:t>
      </w:r>
      <w:r>
        <w:rPr>
          <w:rFonts w:ascii="Times New Roman" w:hAnsi="Times New Roman"/>
          <w:sz w:val="20"/>
          <w:u w:val="single"/>
        </w:rPr>
        <w:t>(j)</w:t>
      </w:r>
      <w:r>
        <w:rPr>
          <w:rFonts w:ascii="Times New Roman" w:hAnsi="Times New Roman"/>
          <w:sz w:val="20"/>
        </w:rPr>
        <w:t xml:space="preserve">, or (p); (y) the accuracy of customary “specified representations”; or (z) the immediately preceding proviso), in any transaction where the net cash proceeds of such Incremental Term Loan will be used to fund a Permitted Acquisition or other acquisition permitted under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Following the acceptance by GEO of the offers made by any one or more Lenders to make any Series of Incremental Term Loans pursuant to the foregoing provisions of this </w:t>
      </w:r>
      <w:r>
        <w:rPr>
          <w:rFonts w:ascii="Times New Roman" w:hAnsi="Times New Roman"/>
          <w:sz w:val="20"/>
          <w:u w:val="single"/>
        </w:rPr>
        <w:t>Section 2.01(e)</w:t>
      </w:r>
      <w:r>
        <w:rPr>
          <w:rFonts w:ascii="Times New Roman" w:hAnsi="Times New Roman"/>
          <w:sz w:val="20"/>
        </w:rPr>
        <w:t>, each such Incremental Lender in respect of such Series of Incremental Term Loans severally agrees, on the terms and conditions of this Agreement, to make such Incremental Term Loans to GEO on a Business Day during the period from and including the date of such acceptance to and including the commitment termination date specified in the agreement entered into with respect to such Series (such agreement, an “</w:t>
      </w:r>
      <w:r>
        <w:rPr>
          <w:rFonts w:ascii="Times New Roman" w:hAnsi="Times New Roman"/>
          <w:sz w:val="20"/>
          <w:u w:val="single"/>
        </w:rPr>
        <w:t>Incremental Term Loan Amendment</w:t>
      </w:r>
      <w:r>
        <w:rPr>
          <w:rFonts w:ascii="Times New Roman" w:hAnsi="Times New Roman"/>
          <w:sz w:val="20"/>
        </w:rPr>
        <w:t xml:space="preserve">”) in an aggregate principal amount up to but not exceeding the amount of the Incremental Term Loan Commitment of such Incremental Lender in respect of such Series as in effect from time to time. Amounts prepaid or repaid in respect of Incremental Term Loans may not be reborrowed.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in </w:t>
      </w:r>
      <w:r>
        <w:rPr>
          <w:rFonts w:ascii="Times New Roman" w:hAnsi="Times New Roman"/>
          <w:sz w:val="20"/>
          <w:u w:val="single"/>
        </w:rPr>
        <w:t>Section 9.02</w:t>
      </w:r>
      <w:r>
        <w:rPr>
          <w:rFonts w:ascii="Times New Roman" w:hAnsi="Times New Roman"/>
          <w:sz w:val="20"/>
        </w:rPr>
        <w:t xml:space="preserve">, the Lenders hereby irrevocably agree that the Administrative Agent, the Lenders providing such Incremental Term Loan Commitments and the applicable Loan Parties may effect amendments to this Agreement and the other Loan Documents of a technical or administrative nature (without any further consent of any other party to such Loan Document) as may be necessary, appropriate or desirable, in the reasonable opinion of the Administrative Agent and GEO, in order to establish and implement any Incremental Term Loans or Commitments in respect thereof pursuant to, and in accordance with, this </w:t>
      </w:r>
      <w:r>
        <w:rPr>
          <w:rFonts w:ascii="Times New Roman" w:hAnsi="Times New Roman"/>
          <w:sz w:val="20"/>
          <w:u w:val="single"/>
        </w:rPr>
        <w:t>Section 2.01(e)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Incremental Equivalent Debt</w:t>
      </w:r>
      <w:r>
        <w:rPr>
          <w:rFonts w:ascii="Times New Roman" w:hAnsi="Times New Roman"/>
          <w:sz w:val="20"/>
        </w:rPr>
        <w:t>. The Borrowers may, upon the delivery to the Administrative Agent of notice thereof specifying in reasonable detail the proposed terms thereof not less than ten days, and not more than sixty days, prior to the proposed effective date thereof (the “</w:t>
      </w:r>
      <w:r>
        <w:rPr>
          <w:rFonts w:ascii="Times New Roman" w:hAnsi="Times New Roman"/>
          <w:sz w:val="20"/>
          <w:u w:val="single"/>
        </w:rPr>
        <w:t>Incremental Equivalent Debt Effective Date</w:t>
      </w:r>
      <w:r>
        <w:rPr>
          <w:rFonts w:ascii="Times New Roman" w:hAnsi="Times New Roman"/>
          <w:sz w:val="20"/>
        </w:rPr>
        <w:t>”), issue or incur, in lieu of Incremental Term Loans, Indebtedness consisting of one or more series of senior secured first lien notes, junior lien notes, junior lien loans, subordinated notes or senior unsecured notes or unsecured loans, in each case, issued in a public offering, Rule 144A or other private placement transactions, or secured or unsecured mezzanine Indebtedness or debt securities (such Indebtedness, collectively, “</w:t>
      </w:r>
      <w:r>
        <w:rPr>
          <w:rFonts w:ascii="Times New Roman" w:hAnsi="Times New Roman"/>
          <w:sz w:val="20"/>
          <w:u w:val="single"/>
        </w:rPr>
        <w:t>Incremental Equivalent Debt</w:t>
      </w:r>
      <w:r>
        <w:rPr>
          <w:rFonts w:ascii="Times New Roman" w:hAnsi="Times New Roman"/>
          <w:sz w:val="20"/>
        </w:rPr>
        <w:t xml:space="preserve">”), in an aggregate principal amount not to exceed the sum of (i) so long as the Pro Forma First Lien Leverage Ratio does not exceed 2.75:1.00, the Incremental Amount </w:t>
      </w:r>
      <w:r>
        <w:rPr>
          <w:rFonts w:ascii="Times New Roman" w:hAnsi="Times New Roman"/>
          <w:sz w:val="20"/>
          <w:u w:val="single"/>
        </w:rPr>
        <w:t>plus</w:t>
      </w:r>
      <w:r>
        <w:rPr>
          <w:rFonts w:ascii="Times New Roman" w:hAnsi="Times New Roman"/>
          <w:sz w:val="20"/>
        </w:rPr>
        <w:t xml:space="preserve"> (ii) so long as each of the Pro Forma Total Leverage Ratio and the Pro Forma First Lien Leverage Ratio do not exceed the Total Leverage Ratio and the First Lien Leverage Ratio, respectively, immediately prior to such incurrence, an amount equal to the amount of Term Loans substantially concurrently repaid with the proceeds of such Incremental Equivalent Debt (any such refinancing under this clause (ii), a “</w:t>
      </w:r>
      <w:r>
        <w:rPr>
          <w:rFonts w:ascii="Times New Roman" w:hAnsi="Times New Roman"/>
          <w:sz w:val="20"/>
          <w:u w:val="single"/>
        </w:rPr>
        <w:t>Specified Term Loan Refinancing</w:t>
      </w:r>
      <w:r>
        <w:rPr>
          <w:rFonts w:ascii="Times New Roman" w:hAnsi="Times New Roman"/>
          <w:sz w:val="20"/>
        </w:rPr>
        <w:t xml:space="preserve">”), it being understood and agreed that (x) any Specified Term Loan Refinancing shall be subject to the other terms of this Agreement relating to prepayment of the Term Loans, including, without limitation, </w:t>
      </w:r>
      <w:r>
        <w:rPr>
          <w:rFonts w:ascii="Times New Roman" w:hAnsi="Times New Roman"/>
          <w:sz w:val="20"/>
          <w:u w:val="single"/>
        </w:rPr>
        <w:t>Section 2.10</w:t>
      </w:r>
      <w:r>
        <w:rPr>
          <w:rFonts w:ascii="Times New Roman" w:hAnsi="Times New Roman"/>
          <w:sz w:val="20"/>
        </w:rPr>
        <w:t xml:space="preserve"> and (y) the prepayment of Term Loans in connection with any Specified Term Loan Refinancing will not (except with respect to Incremental Equivalent Debt as set forth in this clause (ii)) increase the capacity to incur Indebtedness under this Agreement. The delivery by Borrowers to Administrative Agent of the notice in this clause (f) shall include a certification that, after giving effect to the incurrence or issuance of such Incremental Equivalent Debt, Borrowers remain capable of providing Mortgages that encumber Material Real Property upon the occurrence of a Springing Mortgage Trigger Event and during a Springing Mortgage Period if and to the extent required by </w:t>
      </w:r>
      <w:r>
        <w:rPr>
          <w:rFonts w:ascii="Times New Roman" w:hAnsi="Times New Roman"/>
          <w:sz w:val="20"/>
          <w:u w:val="single"/>
        </w:rPr>
        <w:t>Section 5.11(b)</w:t>
      </w:r>
      <w:r>
        <w:rPr>
          <w:rFonts w:ascii="Times New Roman" w:hAnsi="Times New Roman"/>
          <w:sz w:val="20"/>
        </w:rPr>
        <w:t xml:space="preserve"> and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Anything herein to the contrary notwithstanding: </w:t>
      </w:r>
    </w:p>
    <w:p>
      <w:pPr>
        <w:pStyle w:val="TextBody"/>
        <w:bidi w:val="0"/>
        <w:spacing w:before="120" w:after="0"/>
        <w:jc w:val="left"/>
        <w:rPr>
          <w:rFonts w:ascii="Times New Roman" w:hAnsi="Times New Roman"/>
          <w:sz w:val="20"/>
        </w:rPr>
      </w:pPr>
      <w:r>
        <w:rPr>
          <w:rFonts w:ascii="Times New Roman" w:hAnsi="Times New Roman"/>
          <w:sz w:val="20"/>
        </w:rPr>
        <w:t xml:space="preserve">(1) such Incremental Equivalent Debt shall not at any time be incurred by any Person other than a Borrower or guaranteed by any Person other than a Loan Party, and, if secured, such Incremental Equivalent Debt shall not be secured by property other than the Collateral, and a representative acting on behalf of the lenders or investors providing such Incremental Equivalent Debt shall have entered into an Intercreditor Agreement and a subordination agreement (if applicable), in each case reasonably satisfactory to the Administrative Agent; </w:t>
      </w:r>
    </w:p>
    <w:p>
      <w:pPr>
        <w:pStyle w:val="TextBody"/>
        <w:bidi w:val="0"/>
        <w:spacing w:before="12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Section 2.01(e)(2)</w:t>
      </w:r>
      <w:r>
        <w:rPr>
          <w:rFonts w:ascii="Times New Roman" w:hAnsi="Times New Roman"/>
          <w:sz w:val="20"/>
        </w:rPr>
        <w:t>, (</w:t>
      </w:r>
      <w:r>
        <w:rPr>
          <w:rFonts w:ascii="Times New Roman" w:hAnsi="Times New Roman"/>
          <w:sz w:val="20"/>
          <w:u w:val="single"/>
        </w:rPr>
        <w:t>4)</w:t>
      </w:r>
      <w:r>
        <w:rPr>
          <w:rFonts w:ascii="Times New Roman" w:hAnsi="Times New Roman"/>
          <w:sz w:val="20"/>
        </w:rPr>
        <w:t xml:space="preserve">, </w:t>
      </w:r>
      <w:r>
        <w:rPr>
          <w:rFonts w:ascii="Times New Roman" w:hAnsi="Times New Roman"/>
          <w:sz w:val="20"/>
          <w:u w:val="single"/>
        </w:rPr>
        <w:t>(5)</w:t>
      </w:r>
      <w:r>
        <w:rPr>
          <w:rFonts w:ascii="Times New Roman" w:hAnsi="Times New Roman"/>
          <w:sz w:val="20"/>
        </w:rPr>
        <w:t xml:space="preserve"> and </w:t>
      </w:r>
      <w:r>
        <w:rPr>
          <w:rFonts w:ascii="Times New Roman" w:hAnsi="Times New Roman"/>
          <w:sz w:val="20"/>
          <w:u w:val="single"/>
        </w:rPr>
        <w:t>(6)</w:t>
      </w:r>
      <w:r>
        <w:rPr>
          <w:rFonts w:ascii="Times New Roman" w:hAnsi="Times New Roman"/>
          <w:sz w:val="20"/>
        </w:rPr>
        <w:t xml:space="preserve"> shall apply, </w:t>
      </w:r>
      <w:r>
        <w:rPr>
          <w:rFonts w:ascii="Times New Roman" w:hAnsi="Times New Roman"/>
          <w:sz w:val="20"/>
          <w:u w:val="single"/>
        </w:rPr>
        <w:t>mutatis mutandis</w:t>
      </w:r>
      <w:r>
        <w:rPr>
          <w:rFonts w:ascii="Times New Roman" w:hAnsi="Times New Roman"/>
          <w:sz w:val="20"/>
        </w:rPr>
        <w:t xml:space="preserve">, to such Incremental Equivalent Debt; and </w:t>
      </w:r>
    </w:p>
    <w:p>
      <w:pPr>
        <w:pStyle w:val="TextBody"/>
        <w:bidi w:val="0"/>
        <w:spacing w:before="120" w:after="0"/>
        <w:jc w:val="left"/>
        <w:rPr>
          <w:rFonts w:ascii="Times New Roman" w:hAnsi="Times New Roman"/>
          <w:sz w:val="20"/>
        </w:rPr>
      </w:pPr>
      <w:r>
        <w:rPr>
          <w:rFonts w:ascii="Times New Roman" w:hAnsi="Times New Roman"/>
          <w:sz w:val="20"/>
        </w:rPr>
        <w:t xml:space="preserve">(3) except as otherwise expressly set forth herein, (x) the pricing (including interest, fees and premiums), optional prepayment and redemption terms with respect such Incremental Equivalent Debt shall be determined by the Borrowers and the lenders or investors providing such Incremental Equivalent Debt, and (y) the other terms of such Incremental Equivalent Debt shall be, when taken as a whole, no more favorable (as reasonably determined by the Administrative Agent) to the lenders or investors providing such Incremental Equivalent Debt than those applicable to the Term Loans (except to the extent (A) such terms are added in the Loan Documents for the benefit of the Term Lenders pursuant to an amendment hereto or thereto subject solely to the reasonable satisfaction of the Administrative Agent or (B) applicable solely to periods after the latest Maturity Date existing at the time of such incurrence). </w:t>
      </w:r>
    </w:p>
    <w:p>
      <w:pPr>
        <w:pStyle w:val="TextBody"/>
        <w:bidi w:val="0"/>
        <w:spacing w:before="240" w:after="0"/>
        <w:jc w:val="left"/>
        <w:rPr>
          <w:rFonts w:ascii="Times New Roman" w:hAnsi="Times New Roman"/>
          <w:sz w:val="20"/>
        </w:rPr>
      </w:pPr>
      <w:r>
        <w:rPr>
          <w:rFonts w:ascii="Times New Roman" w:hAnsi="Times New Roman"/>
          <w:sz w:val="20"/>
        </w:rPr>
        <w:t xml:space="preserve">Section 2.02 </w:t>
      </w:r>
      <w:r>
        <w:rPr>
          <w:rFonts w:ascii="Times New Roman" w:hAnsi="Times New Roman"/>
          <w:sz w:val="20"/>
          <w:u w:val="single"/>
        </w:rPr>
        <w:t>Loans and Borrowings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Obligations of Lenders</w:t>
      </w:r>
      <w:r>
        <w:rPr>
          <w:rFonts w:ascii="Times New Roman" w:hAnsi="Times New Roman"/>
          <w:sz w:val="20"/>
        </w:rPr>
        <w:t xml:space="preserve">. The failure of any Lender to make any Loan required to be made by it shall not relieve any other Lender of its obligations hereunder; </w:t>
      </w:r>
      <w:r>
        <w:rPr>
          <w:rFonts w:ascii="Times New Roman" w:hAnsi="Times New Roman"/>
          <w:sz w:val="20"/>
          <w:u w:val="single"/>
        </w:rPr>
        <w:t>provided</w:t>
      </w:r>
      <w:r>
        <w:rPr>
          <w:rFonts w:ascii="Times New Roman" w:hAnsi="Times New Roman"/>
          <w:sz w:val="20"/>
        </w:rPr>
        <w:t xml:space="preserve"> that the Commitments of the Lenders are several and no Lender shall be responsible for any other Lender’s failure to make Loans as required.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Type of Loans</w:t>
      </w:r>
      <w:r>
        <w:rPr>
          <w:rFonts w:ascii="Times New Roman" w:hAnsi="Times New Roman"/>
          <w:sz w:val="20"/>
        </w:rPr>
        <w:t xml:space="preserve">. Subject to </w:t>
      </w:r>
      <w:r>
        <w:rPr>
          <w:rFonts w:ascii="Times New Roman" w:hAnsi="Times New Roman"/>
          <w:sz w:val="20"/>
          <w:u w:val="single"/>
        </w:rPr>
        <w:t>Section 2.12</w:t>
      </w:r>
      <w:r>
        <w:rPr>
          <w:rFonts w:ascii="Times New Roman" w:hAnsi="Times New Roman"/>
          <w:sz w:val="20"/>
        </w:rPr>
        <w:t xml:space="preserve">, each Borrowing shall be comprised entirely of ABR Loans or of SOFR Loans as GEO may request in accordance herewith. Each Swingline Loan shall be an ABR Loan. Each Loan shall be denominated in Dollars. Each Lender at its option may make any Loan or provide any other extension of credit or fund any other obligation hereunder by causing any domestic or foreign branch or Affiliate of such Lender to make such Loan; </w:t>
      </w:r>
      <w:r>
        <w:rPr>
          <w:rFonts w:ascii="Times New Roman" w:hAnsi="Times New Roman"/>
          <w:sz w:val="20"/>
          <w:u w:val="single"/>
        </w:rPr>
        <w:t>provided</w:t>
      </w:r>
      <w:r>
        <w:rPr>
          <w:rFonts w:ascii="Times New Roman" w:hAnsi="Times New Roman"/>
          <w:sz w:val="20"/>
        </w:rPr>
        <w:t xml:space="preserve"> that any exercise of such option shall not affect the obligation of the Borrowers to repay such Loan in accordance with the terms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Minimum Amounts; Limitation on Number of Borrowings</w:t>
      </w:r>
      <w:r>
        <w:rPr>
          <w:rFonts w:ascii="Times New Roman" w:hAnsi="Times New Roman"/>
          <w:sz w:val="20"/>
        </w:rPr>
        <w:t xml:space="preserve">. Each SOFR Borrowing shall be in an aggregate amount of $2,500,000 or a larger multiple of $1,000,000. Each ABR Borrowing shall be in an aggregate amount equal to $1,000,000 or a larger multiple of $1,000,000; </w:t>
      </w:r>
      <w:r>
        <w:rPr>
          <w:rFonts w:ascii="Times New Roman" w:hAnsi="Times New Roman"/>
          <w:sz w:val="20"/>
          <w:u w:val="single"/>
        </w:rPr>
        <w:t>provided</w:t>
      </w:r>
      <w:r>
        <w:rPr>
          <w:rFonts w:ascii="Times New Roman" w:hAnsi="Times New Roman"/>
          <w:sz w:val="20"/>
        </w:rPr>
        <w:t xml:space="preserve"> that an ABR Borrowing may be in an aggregate amount that is equal to the entire unused balance of the total Commitments of the applicable Class or (in the case of a Revolving Credit ABR Borrowing) that is required to finance the reimbursement of an LC Disbursement as contemplated by </w:t>
      </w:r>
      <w:r>
        <w:rPr>
          <w:rFonts w:ascii="Times New Roman" w:hAnsi="Times New Roman"/>
          <w:sz w:val="20"/>
          <w:u w:val="single"/>
        </w:rPr>
        <w:t>Section 2.05(f)</w:t>
      </w:r>
      <w:r>
        <w:rPr>
          <w:rFonts w:ascii="Times New Roman" w:hAnsi="Times New Roman"/>
          <w:sz w:val="20"/>
        </w:rPr>
        <w:t xml:space="preserve">. Each Swingline Loan shall be in an amount equal to $100,000 or a larger multiple of $100,000. Borrowings of more than one Class and Type may be outstanding at the same time; </w:t>
      </w:r>
      <w:r>
        <w:rPr>
          <w:rFonts w:ascii="Times New Roman" w:hAnsi="Times New Roman"/>
          <w:sz w:val="20"/>
          <w:u w:val="single"/>
        </w:rPr>
        <w:t>provided</w:t>
      </w:r>
      <w:r>
        <w:rPr>
          <w:rFonts w:ascii="Times New Roman" w:hAnsi="Times New Roman"/>
          <w:sz w:val="20"/>
        </w:rPr>
        <w:t xml:space="preserve"> that there shall not at any time be more than a total of ten SOFR Borrowings outstanding.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Limitations on Interest Periods</w:t>
      </w:r>
      <w:r>
        <w:rPr>
          <w:rFonts w:ascii="Times New Roman" w:hAnsi="Times New Roman"/>
          <w:sz w:val="20"/>
        </w:rPr>
        <w:t xml:space="preserve">. Notwithstanding any other provision of this Agreement, no Borrower shall be entitled to request (or to elect to convert to or continue as a SOFR Borrowing): </w:t>
      </w:r>
    </w:p>
    <w:p>
      <w:pPr>
        <w:pStyle w:val="TextBody"/>
        <w:bidi w:val="0"/>
        <w:spacing w:before="120" w:after="0"/>
        <w:jc w:val="left"/>
        <w:rPr>
          <w:rFonts w:ascii="Times New Roman" w:hAnsi="Times New Roman"/>
          <w:sz w:val="20"/>
        </w:rPr>
      </w:pPr>
      <w:r>
        <w:rPr>
          <w:rFonts w:ascii="Times New Roman" w:hAnsi="Times New Roman"/>
          <w:sz w:val="20"/>
        </w:rPr>
        <w:t xml:space="preserve">(i) any Revolving Credit Borrowing if the Interest Period requested therefor would end after the Revolving Credit Commitment Termination Date; </w:t>
      </w:r>
    </w:p>
    <w:p>
      <w:pPr>
        <w:pStyle w:val="TextBody"/>
        <w:bidi w:val="0"/>
        <w:spacing w:before="120" w:after="0"/>
        <w:jc w:val="left"/>
        <w:rPr>
          <w:rFonts w:ascii="Times New Roman" w:hAnsi="Times New Roman"/>
          <w:sz w:val="20"/>
        </w:rPr>
      </w:pPr>
      <w:r>
        <w:rPr>
          <w:rFonts w:ascii="Times New Roman" w:hAnsi="Times New Roman"/>
          <w:sz w:val="20"/>
        </w:rPr>
        <w:t xml:space="preserve">(ii) any Term Borrowing if the Interest Period requested therefor would end after the applicable Term Loan Maturity Date; </w:t>
      </w:r>
    </w:p>
    <w:p>
      <w:pPr>
        <w:pStyle w:val="TextBody"/>
        <w:bidi w:val="0"/>
        <w:spacing w:before="120" w:after="0"/>
        <w:jc w:val="left"/>
        <w:rPr>
          <w:rFonts w:ascii="Times New Roman" w:hAnsi="Times New Roman"/>
          <w:sz w:val="20"/>
        </w:rPr>
      </w:pPr>
      <w:r>
        <w:rPr>
          <w:rFonts w:ascii="Times New Roman" w:hAnsi="Times New Roman"/>
          <w:sz w:val="20"/>
        </w:rPr>
        <w:t xml:space="preserve">(iii) any Term Borrowing of any Class, if the Interest Period requested therefor would commence before and end after any Principal Payment Date unless, after giving effect thereto, the aggregate principal amount of the Term Loans of such Class having Interest Periods that end after such Principal Payment Date shall be equal to or less than the aggregate principal amount of the Term Loans of such Class permitted to be outstanding after giving effect to the payments of principal required to be made on such Principal Payment Date; and </w:t>
      </w:r>
    </w:p>
    <w:p>
      <w:pPr>
        <w:pStyle w:val="TextBody"/>
        <w:bidi w:val="0"/>
        <w:spacing w:before="120" w:after="0"/>
        <w:jc w:val="left"/>
        <w:rPr>
          <w:rFonts w:ascii="Times New Roman" w:hAnsi="Times New Roman"/>
          <w:sz w:val="20"/>
        </w:rPr>
      </w:pPr>
      <w:r>
        <w:rPr>
          <w:rFonts w:ascii="Times New Roman" w:hAnsi="Times New Roman"/>
          <w:sz w:val="20"/>
        </w:rPr>
        <w:t xml:space="preserve">(iv) any Borrowing of a Series of Incremental Term Loans if the Interest Period requested therefor would commence before and end after (x) the final maturity date for such Series or (y) any date specified for the amortization of such Series unless, in the case of this </w:t>
      </w:r>
      <w:r>
        <w:rPr>
          <w:rFonts w:ascii="Times New Roman" w:hAnsi="Times New Roman"/>
          <w:sz w:val="20"/>
          <w:u w:val="single"/>
        </w:rPr>
        <w:t>clause (y)</w:t>
      </w:r>
      <w:r>
        <w:rPr>
          <w:rFonts w:ascii="Times New Roman" w:hAnsi="Times New Roman"/>
          <w:sz w:val="20"/>
        </w:rPr>
        <w:t>,</w:t>
      </w:r>
      <w:r>
        <w:rPr>
          <w:rFonts w:ascii="Times New Roman" w:hAnsi="Times New Roman"/>
          <w:sz w:val="20"/>
          <w:u w:val="single"/>
        </w:rPr>
        <w:t xml:space="preserve"> </w:t>
      </w:r>
      <w:r>
        <w:rPr>
          <w:rFonts w:ascii="Times New Roman" w:hAnsi="Times New Roman"/>
          <w:sz w:val="20"/>
        </w:rPr>
        <w:t xml:space="preserve">after giving effect thereto, the aggregate principal amount of the Incremental Term Loans of such Series having Interest Periods that end after such date shall be equal to or less than the aggregate principal amount of the Incremental Term Loans of such Series permitted to be outstanding after giving effect to the payments of principal required to be made on such date. </w:t>
      </w:r>
    </w:p>
    <w:p>
      <w:pPr>
        <w:pStyle w:val="TextBody"/>
        <w:bidi w:val="0"/>
        <w:spacing w:before="240" w:after="0"/>
        <w:jc w:val="left"/>
        <w:rPr>
          <w:rFonts w:ascii="Times New Roman" w:hAnsi="Times New Roman"/>
          <w:sz w:val="20"/>
        </w:rPr>
      </w:pPr>
      <w:r>
        <w:rPr>
          <w:rFonts w:ascii="Times New Roman" w:hAnsi="Times New Roman"/>
          <w:sz w:val="20"/>
        </w:rPr>
        <w:t xml:space="preserve">Section 2.03 </w:t>
      </w:r>
      <w:r>
        <w:rPr>
          <w:rFonts w:ascii="Times New Roman" w:hAnsi="Times New Roman"/>
          <w:sz w:val="20"/>
          <w:u w:val="single"/>
        </w:rPr>
        <w:t>Requests for Borrowings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Notices</w:t>
      </w:r>
      <w:r>
        <w:rPr>
          <w:rFonts w:ascii="Times New Roman" w:hAnsi="Times New Roman"/>
          <w:sz w:val="20"/>
        </w:rPr>
        <w:t xml:space="preserve">. To request a Borrowing, GEO shall notify the Administrative Agent of such request (i) in the case of a SOFR Borrowing, not later than 1:00 p.m., New York City time, three U.S. Government Securities Business Days (or, in the case of a SOFR Borrowing to be made on the Effective Date, one (1) U.S. Government Securities Business Day) before the date of the proposed Borrowing, or (ii) in the case of an ABR Borrowing, not later than noon, New York City time, one (1) Business Day prior to the date of the proposed Borrowing; </w:t>
      </w:r>
      <w:r>
        <w:rPr>
          <w:rFonts w:ascii="Times New Roman" w:hAnsi="Times New Roman"/>
          <w:sz w:val="20"/>
          <w:u w:val="single"/>
        </w:rPr>
        <w:t>provided</w:t>
      </w:r>
      <w:r>
        <w:rPr>
          <w:rFonts w:ascii="Times New Roman" w:hAnsi="Times New Roman"/>
          <w:sz w:val="20"/>
        </w:rPr>
        <w:t xml:space="preserve"> that any such notice of a Revolving Credit ABR Borrowing to finance the reimbursement of an LC Disbursement as contemplated by </w:t>
      </w:r>
      <w:r>
        <w:rPr>
          <w:rFonts w:ascii="Times New Roman" w:hAnsi="Times New Roman"/>
          <w:sz w:val="20"/>
          <w:u w:val="single"/>
        </w:rPr>
        <w:t>Section 2.05(f)</w:t>
      </w:r>
      <w:r>
        <w:rPr>
          <w:rFonts w:ascii="Times New Roman" w:hAnsi="Times New Roman"/>
          <w:sz w:val="20"/>
        </w:rPr>
        <w:t xml:space="preserve"> may be given not later than 10:00 a.m., New York City time, one (1) Business Day prior to the date of the proposed Borrowing. Each Borrowing Request shall be irrevocable and shall be signed by GEO.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Content of Borrowing Requests</w:t>
      </w:r>
      <w:r>
        <w:rPr>
          <w:rFonts w:ascii="Times New Roman" w:hAnsi="Times New Roman"/>
          <w:sz w:val="20"/>
        </w:rPr>
        <w:t xml:space="preserve">. Each Borrowing Request shall specify the following information in compliance with </w:t>
      </w:r>
      <w:r>
        <w:rPr>
          <w:rFonts w:ascii="Times New Roman" w:hAnsi="Times New Roman"/>
          <w:sz w:val="20"/>
          <w:u w:val="single"/>
        </w:rPr>
        <w:t>Section 2.02</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whether the requested Borrowing is to be a Revolving Credit Borrowing, a Term Borrowing or Incremental Borrowing;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the aggregate amount of the requested Borrowing; </w:t>
      </w:r>
    </w:p>
    <w:p>
      <w:pPr>
        <w:pStyle w:val="TextBody"/>
        <w:bidi w:val="0"/>
        <w:spacing w:before="120" w:after="0"/>
        <w:jc w:val="left"/>
        <w:rPr>
          <w:rFonts w:ascii="Times New Roman" w:hAnsi="Times New Roman"/>
          <w:sz w:val="20"/>
        </w:rPr>
      </w:pPr>
      <w:r>
        <w:rPr>
          <w:rFonts w:ascii="Times New Roman" w:hAnsi="Times New Roman"/>
          <w:sz w:val="20"/>
        </w:rPr>
        <w:t xml:space="preserve">(iii) the date of such Borrowing, which shall be a Business Day; </w:t>
      </w:r>
    </w:p>
    <w:p>
      <w:pPr>
        <w:pStyle w:val="TextBody"/>
        <w:bidi w:val="0"/>
        <w:spacing w:before="120" w:after="0"/>
        <w:jc w:val="left"/>
        <w:rPr>
          <w:rFonts w:ascii="Times New Roman" w:hAnsi="Times New Roman"/>
          <w:sz w:val="20"/>
        </w:rPr>
      </w:pPr>
      <w:r>
        <w:rPr>
          <w:rFonts w:ascii="Times New Roman" w:hAnsi="Times New Roman"/>
          <w:sz w:val="20"/>
        </w:rPr>
        <w:t xml:space="preserve">(iv) whether such Borrowing is to be an ABR Borrowing or a SOFR Borrowing; </w:t>
      </w:r>
    </w:p>
    <w:p>
      <w:pPr>
        <w:pStyle w:val="TextBody"/>
        <w:bidi w:val="0"/>
        <w:spacing w:before="120" w:after="0"/>
        <w:jc w:val="left"/>
        <w:rPr>
          <w:rFonts w:ascii="Times New Roman" w:hAnsi="Times New Roman"/>
          <w:sz w:val="20"/>
        </w:rPr>
      </w:pPr>
      <w:r>
        <w:rPr>
          <w:rFonts w:ascii="Times New Roman" w:hAnsi="Times New Roman"/>
          <w:sz w:val="20"/>
        </w:rPr>
        <w:t xml:space="preserve">(v) in the case of a SOFR Borrowing, the Interest Period therefor, which shall be a period contemplated by the definition of the term “Interest Period” and permitted under </w:t>
      </w:r>
      <w:r>
        <w:rPr>
          <w:rFonts w:ascii="Times New Roman" w:hAnsi="Times New Roman"/>
          <w:sz w:val="20"/>
          <w:u w:val="single"/>
        </w:rPr>
        <w:t>Section 2.02(d)</w:t>
      </w:r>
      <w:r>
        <w:rPr>
          <w:rFonts w:ascii="Times New Roman" w:hAnsi="Times New Roman"/>
          <w:sz w:val="20"/>
        </w:rPr>
        <w:t xml:space="preserve">; and </w:t>
      </w:r>
    </w:p>
    <w:p>
      <w:pPr>
        <w:pStyle w:val="TextBody"/>
        <w:bidi w:val="0"/>
        <w:spacing w:before="120" w:after="0"/>
        <w:jc w:val="left"/>
        <w:rPr>
          <w:rFonts w:ascii="Times New Roman" w:hAnsi="Times New Roman"/>
          <w:sz w:val="20"/>
        </w:rPr>
      </w:pPr>
      <w:r>
        <w:rPr>
          <w:rFonts w:ascii="Times New Roman" w:hAnsi="Times New Roman"/>
          <w:sz w:val="20"/>
        </w:rPr>
        <w:t xml:space="preserve">(vi) the location and number of the account of a Borrower to which funds are to be disbursed, which shall comply with the requirements of </w:t>
      </w:r>
      <w:r>
        <w:rPr>
          <w:rFonts w:ascii="Times New Roman" w:hAnsi="Times New Roman"/>
          <w:sz w:val="20"/>
          <w:u w:val="single"/>
        </w:rPr>
        <w:t>Section 2.06</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Notice by the Administrative Agent to the Lenders</w:t>
      </w:r>
      <w:r>
        <w:rPr>
          <w:rFonts w:ascii="Times New Roman" w:hAnsi="Times New Roman"/>
          <w:sz w:val="20"/>
        </w:rPr>
        <w:t xml:space="preserve">. Promptly following receipt of a Borrowing Request in accordance with this </w:t>
      </w:r>
      <w:r>
        <w:rPr>
          <w:rFonts w:ascii="Times New Roman" w:hAnsi="Times New Roman"/>
          <w:sz w:val="20"/>
          <w:u w:val="single"/>
        </w:rPr>
        <w:t>Section 2.03</w:t>
      </w:r>
      <w:r>
        <w:rPr>
          <w:rFonts w:ascii="Times New Roman" w:hAnsi="Times New Roman"/>
          <w:sz w:val="20"/>
        </w:rPr>
        <w:t xml:space="preserve">, the Administrative Agent shall advise each Lender of the details thereof and of the amount of such Lender’s Loan to be made as part of the requested Borrowing.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Failure to Elect</w:t>
      </w:r>
      <w:r>
        <w:rPr>
          <w:rFonts w:ascii="Times New Roman" w:hAnsi="Times New Roman"/>
          <w:sz w:val="20"/>
        </w:rPr>
        <w:t xml:space="preserve">. If no election as to the Type of a Borrowing is specified, then the requested Borrowing shall be an ABR Borrowing. If no Interest Period is specified with respect to any requested SOFR Borrowing, GEO shall be deemed to have selected an Interest Period of one month’s duration. </w:t>
      </w:r>
    </w:p>
    <w:p>
      <w:pPr>
        <w:pStyle w:val="TextBody"/>
        <w:bidi w:val="0"/>
        <w:spacing w:before="240" w:after="0"/>
        <w:jc w:val="left"/>
        <w:rPr>
          <w:rFonts w:ascii="Times New Roman" w:hAnsi="Times New Roman"/>
          <w:sz w:val="20"/>
        </w:rPr>
      </w:pPr>
      <w:r>
        <w:rPr>
          <w:rFonts w:ascii="Times New Roman" w:hAnsi="Times New Roman"/>
          <w:sz w:val="20"/>
        </w:rPr>
        <w:t xml:space="preserve">Section 2.04 </w:t>
      </w:r>
      <w:r>
        <w:rPr>
          <w:rFonts w:ascii="Times New Roman" w:hAnsi="Times New Roman"/>
          <w:sz w:val="20"/>
          <w:u w:val="single"/>
        </w:rPr>
        <w:t>Swingline Loans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Agreement to Make Swingline Loans</w:t>
      </w:r>
      <w:r>
        <w:rPr>
          <w:rFonts w:ascii="Times New Roman" w:hAnsi="Times New Roman"/>
          <w:sz w:val="20"/>
        </w:rPr>
        <w:t xml:space="preserve">. Subject to the terms and conditions set forth herein, the Swingline Lender agrees to make Swingline Loans to the Borrowers from time to time during the Revolving Credit Availability Period, in Dollars, in an aggregate principal amount at any time outstanding that will not result in (i) the aggregate principal amount of outstanding Swingline Loans exceeding the Swingline Sublimit or (ii) the sum of the total Revolving Credit Exposures exceeding the total Revolving Credit Commitments, </w:t>
      </w:r>
      <w:r>
        <w:rPr>
          <w:rFonts w:ascii="Times New Roman" w:hAnsi="Times New Roman"/>
          <w:sz w:val="20"/>
          <w:u w:val="single"/>
        </w:rPr>
        <w:t>provided</w:t>
      </w:r>
      <w:r>
        <w:rPr>
          <w:rFonts w:ascii="Times New Roman" w:hAnsi="Times New Roman"/>
          <w:sz w:val="20"/>
        </w:rPr>
        <w:t xml:space="preserve"> that the Swingline Lender shall not be required to make a Swingline Loan to refinance an outstanding Swingline Loan. Within the foregoing limits and subject to the terms and conditions set forth herein, the Borrowers may borrow, prepay and reborrow Swingline Loans.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Notice of Swingline Loans</w:t>
      </w:r>
      <w:r>
        <w:rPr>
          <w:rFonts w:ascii="Times New Roman" w:hAnsi="Times New Roman"/>
          <w:sz w:val="20"/>
        </w:rPr>
        <w:t xml:space="preserve">. To request a Swingline Loan, GEO shall notify the Administrative Agent of such request in writing, not later than 1:00 p.m., New York City time, on the day of a proposed Swingline Loan. Each such notice shall be irrevocable and shall specify the requested date (which shall be a Business Day) and amount of the requested Swingline Loan. The Administrative Agent will promptly advise the Swingline Lender of any such notice received from GEO. The Swingline Lender shall make each Swingline Loan available to the Borrowers by means of a credit to the general deposit account of a Borrower (as designated by GEO in writing) with the Swingline Lender (or, in the case of a Swingline Loan made to finance the reimbursement of an LC Disbursement as provided in </w:t>
      </w:r>
      <w:r>
        <w:rPr>
          <w:rFonts w:ascii="Times New Roman" w:hAnsi="Times New Roman"/>
          <w:sz w:val="20"/>
          <w:u w:val="single"/>
        </w:rPr>
        <w:t>Section 2.05(f)</w:t>
      </w:r>
      <w:r>
        <w:rPr>
          <w:rFonts w:ascii="Times New Roman" w:hAnsi="Times New Roman"/>
          <w:sz w:val="20"/>
        </w:rPr>
        <w:t xml:space="preserve">, by remittance to the respective Issuing Lender) by 2:00 p.m., New York City time, on the requested date of such Swingline Loan.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Participations by Lenders in Swingline Loans</w:t>
      </w:r>
      <w:r>
        <w:rPr>
          <w:rFonts w:ascii="Times New Roman" w:hAnsi="Times New Roman"/>
          <w:sz w:val="20"/>
        </w:rPr>
        <w:t xml:space="preserve">. The Swingline Lender may by written notice given to the Administrative Agent not later than 10:00 a.m., New York City time, on any Business Day require the Revolving Credit Lenders to acquire participations on such Business Day in all or a portion of the Swingline Loans outstanding. Such notice shall specify the aggregate amount of Swingline Loans in which Revolving Credit Lenders will participate. Promptly upon receipt of such notice, the Administrative Agent will give notice thereof to each Revolving Credit Lender, specifying in such notice such Lender’s Applicable Percentage of such Swingline Loan or Loans. Each Revolving Credit Lender hereby absolutely and unconditionally agrees, upon receipt of notice as provided above in this </w:t>
      </w:r>
      <w:r>
        <w:rPr>
          <w:rFonts w:ascii="Times New Roman" w:hAnsi="Times New Roman"/>
          <w:sz w:val="20"/>
          <w:u w:val="single"/>
        </w:rPr>
        <w:t>Section 2.04(c)</w:t>
      </w:r>
      <w:r>
        <w:rPr>
          <w:rFonts w:ascii="Times New Roman" w:hAnsi="Times New Roman"/>
          <w:sz w:val="20"/>
        </w:rPr>
        <w:t xml:space="preserve">, to pay to the Administrative Agent, for the account of the Swingline Lender, such Revolving Credit Lender’s Applicable Percentage of such Swingline Loan or Loans. Each Revolving Credit Lender acknowledges and agrees that its obligation to acquire participations in Swingline Loans pursuant to this </w:t>
      </w:r>
      <w:r>
        <w:rPr>
          <w:rFonts w:ascii="Times New Roman" w:hAnsi="Times New Roman"/>
          <w:sz w:val="20"/>
          <w:u w:val="single"/>
        </w:rPr>
        <w:t>Section 2.04(c)</w:t>
      </w:r>
      <w:r>
        <w:rPr>
          <w:rFonts w:ascii="Times New Roman" w:hAnsi="Times New Roman"/>
          <w:sz w:val="20"/>
        </w:rPr>
        <w:t xml:space="preserve"> is absolute and unconditional and shall not be affected by any circumstance whatsoever, including the occurrence and continuance of a Default or reduction or termination of the Commitments, and that each such payment shall be made without any offset, abatement, withholding or reduction whatsoever. Each Revolving Credit Lender shall comply with its obligation under this </w:t>
      </w:r>
      <w:r>
        <w:rPr>
          <w:rFonts w:ascii="Times New Roman" w:hAnsi="Times New Roman"/>
          <w:sz w:val="20"/>
          <w:u w:val="single"/>
        </w:rPr>
        <w:t>Section 2.04(c)</w:t>
      </w:r>
      <w:r>
        <w:rPr>
          <w:rFonts w:ascii="Times New Roman" w:hAnsi="Times New Roman"/>
          <w:sz w:val="20"/>
        </w:rPr>
        <w:t xml:space="preserve"> by wire transfer of immediately available funds, in the same manner as provided in </w:t>
      </w:r>
      <w:r>
        <w:rPr>
          <w:rFonts w:ascii="Times New Roman" w:hAnsi="Times New Roman"/>
          <w:sz w:val="20"/>
          <w:u w:val="single"/>
        </w:rPr>
        <w:t>Section 2.06</w:t>
      </w:r>
      <w:r>
        <w:rPr>
          <w:rFonts w:ascii="Times New Roman" w:hAnsi="Times New Roman"/>
          <w:sz w:val="20"/>
        </w:rPr>
        <w:t xml:space="preserve"> with respect to Loans made by such Revolving Credit Lender (and </w:t>
      </w:r>
      <w:r>
        <w:rPr>
          <w:rFonts w:ascii="Times New Roman" w:hAnsi="Times New Roman"/>
          <w:sz w:val="20"/>
          <w:u w:val="single"/>
        </w:rPr>
        <w:t>Section 2.06</w:t>
      </w:r>
      <w:r>
        <w:rPr>
          <w:rFonts w:ascii="Times New Roman" w:hAnsi="Times New Roman"/>
          <w:sz w:val="20"/>
        </w:rPr>
        <w:t xml:space="preserve"> shall apply, </w:t>
      </w:r>
      <w:r>
        <w:rPr>
          <w:rFonts w:ascii="Times New Roman" w:hAnsi="Times New Roman"/>
          <w:sz w:val="20"/>
          <w:u w:val="single"/>
        </w:rPr>
        <w:t>mutatis</w:t>
      </w:r>
      <w:r>
        <w:rPr>
          <w:rFonts w:ascii="Times New Roman" w:hAnsi="Times New Roman"/>
          <w:sz w:val="20"/>
        </w:rPr>
        <w:t xml:space="preserve"> </w:t>
      </w:r>
      <w:r>
        <w:rPr>
          <w:rFonts w:ascii="Times New Roman" w:hAnsi="Times New Roman"/>
          <w:sz w:val="20"/>
          <w:u w:val="single"/>
        </w:rPr>
        <w:t>mutandis</w:t>
      </w:r>
      <w:r>
        <w:rPr>
          <w:rFonts w:ascii="Times New Roman" w:hAnsi="Times New Roman"/>
          <w:sz w:val="20"/>
        </w:rPr>
        <w:t xml:space="preserve">, to the payment obligations of the Lenders), and the Administrative Agent shall promptly pay to such Swingline Lender the amounts so received by it from the Revolving Credit Lender. </w:t>
      </w:r>
    </w:p>
    <w:p>
      <w:pPr>
        <w:pStyle w:val="TextBody"/>
        <w:bidi w:val="0"/>
        <w:spacing w:before="240" w:after="0"/>
        <w:jc w:val="left"/>
        <w:rPr>
          <w:rFonts w:ascii="Times New Roman" w:hAnsi="Times New Roman"/>
          <w:sz w:val="20"/>
        </w:rPr>
      </w:pPr>
      <w:r>
        <w:rPr>
          <w:rFonts w:ascii="Times New Roman" w:hAnsi="Times New Roman"/>
          <w:sz w:val="20"/>
        </w:rPr>
        <w:t xml:space="preserve">The Administrative Agent shall notify GEO of any participations in any Swingline Loan acquired pursuant to the preceding provisions of this </w:t>
      </w:r>
      <w:r>
        <w:rPr>
          <w:rFonts w:ascii="Times New Roman" w:hAnsi="Times New Roman"/>
          <w:sz w:val="20"/>
          <w:u w:val="single"/>
        </w:rPr>
        <w:t>Section 2.04(c)</w:t>
      </w:r>
      <w:r>
        <w:rPr>
          <w:rFonts w:ascii="Times New Roman" w:hAnsi="Times New Roman"/>
          <w:sz w:val="20"/>
        </w:rPr>
        <w:t xml:space="preserve">, and thereafter payments in respect of such Swingline Loan shall be made to the Administrative Agent and not to the Swingline Lender. Any amounts received by the Swingline Lender from the Borrowers (or other party on behalf of the Borrowers) in respect of a Swingline Loan after receipt by the Swingline Lender of the proceeds of a sale of participations therein shall be promptly remitted to the Administrative Agent; any such amounts received by the Administrative Agent shall be promptly remitted by the Administrative Agent to the Revolving Credit Lenders that shall have made their payments pursuant to the preceding provisions of this </w:t>
      </w:r>
      <w:r>
        <w:rPr>
          <w:rFonts w:ascii="Times New Roman" w:hAnsi="Times New Roman"/>
          <w:sz w:val="20"/>
          <w:u w:val="single"/>
        </w:rPr>
        <w:t>Section 2.04(c)</w:t>
      </w:r>
      <w:r>
        <w:rPr>
          <w:rFonts w:ascii="Times New Roman" w:hAnsi="Times New Roman"/>
          <w:sz w:val="20"/>
        </w:rPr>
        <w:t xml:space="preserve"> and to the Swingline Lender, as their interests may appear, </w:t>
      </w:r>
      <w:r>
        <w:rPr>
          <w:rFonts w:ascii="Times New Roman" w:hAnsi="Times New Roman"/>
          <w:sz w:val="20"/>
          <w:u w:val="single"/>
        </w:rPr>
        <w:t>provided</w:t>
      </w:r>
      <w:r>
        <w:rPr>
          <w:rFonts w:ascii="Times New Roman" w:hAnsi="Times New Roman"/>
          <w:sz w:val="20"/>
        </w:rPr>
        <w:t xml:space="preserve"> that any such payment so remitted shall be repaid to the Swingline Lender or to the Administrative Agent, as applicable, if and to the extent such payment is required to be refunded to the Borrowers for any reason. The purchase of participations in a Swingline Loan pursuant to this </w:t>
      </w:r>
      <w:r>
        <w:rPr>
          <w:rFonts w:ascii="Times New Roman" w:hAnsi="Times New Roman"/>
          <w:sz w:val="20"/>
          <w:u w:val="single"/>
        </w:rPr>
        <w:t>Section 2.04(c)</w:t>
      </w:r>
      <w:r>
        <w:rPr>
          <w:rFonts w:ascii="Times New Roman" w:hAnsi="Times New Roman"/>
          <w:sz w:val="20"/>
        </w:rPr>
        <w:t xml:space="preserve"> shall not relieve the Borrowers of any default in the payment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2.05 </w:t>
      </w:r>
      <w:r>
        <w:rPr>
          <w:rFonts w:ascii="Times New Roman" w:hAnsi="Times New Roman"/>
          <w:sz w:val="20"/>
          <w:u w:val="single"/>
        </w:rPr>
        <w:t>Letters of Credit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General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Subject to the terms and conditions set forth herein, in addition to the Loans provided for in </w:t>
      </w:r>
      <w:r>
        <w:rPr>
          <w:rFonts w:ascii="Times New Roman" w:hAnsi="Times New Roman"/>
          <w:sz w:val="20"/>
          <w:u w:val="single"/>
        </w:rPr>
        <w:t>Section 2.01</w:t>
      </w:r>
      <w:r>
        <w:rPr>
          <w:rFonts w:ascii="Times New Roman" w:hAnsi="Times New Roman"/>
          <w:sz w:val="20"/>
        </w:rPr>
        <w:t xml:space="preserve">, GEO may request any Issuing Lender to issue, at any time and from time to time during the Revolving Credit Availability Period, Letters of Credit for the account of the Borrowers in such form as is acceptable to the Administrative Agent and such Issuing Lender in its reasonable determination, which Letters of Credit may be denominated in Dollars or, with the applicable Issuing Lender’s consent (in its sole discretion) in any Agreed Foreign Currency. Letters of Credit issued or outstanding hereunder shall constitute utilization of the Revolving Credit Commitments.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Subject to the requirements and conditions set forth in the definition of “Rollover Letters of Credit” in </w:t>
      </w:r>
      <w:r>
        <w:rPr>
          <w:rFonts w:ascii="Times New Roman" w:hAnsi="Times New Roman"/>
          <w:sz w:val="20"/>
          <w:u w:val="single"/>
        </w:rPr>
        <w:t>Section 1.01</w:t>
      </w:r>
      <w:r>
        <w:rPr>
          <w:rFonts w:ascii="Times New Roman" w:hAnsi="Times New Roman"/>
          <w:sz w:val="20"/>
        </w:rPr>
        <w:t xml:space="preserve">, following written notice from GEO to the Administrative Agent (which notice shall have been acknowledged and accepted by the relevant Issuing Lender), each Rollover Letter of Credit shall be deemed to have been issued pursuant hereto on the date the relevant Permitted Acquisition shall have been consummated, and as of and from such date shall be subject to and governed by the terms and conditions hereof. </w:t>
      </w:r>
    </w:p>
    <w:p>
      <w:pPr>
        <w:pStyle w:val="TextBody"/>
        <w:bidi w:val="0"/>
        <w:spacing w:before="120" w:after="0"/>
        <w:jc w:val="left"/>
        <w:rPr>
          <w:rFonts w:ascii="Times New Roman" w:hAnsi="Times New Roman"/>
          <w:sz w:val="20"/>
        </w:rPr>
      </w:pPr>
      <w:r>
        <w:rPr>
          <w:rFonts w:ascii="Times New Roman" w:hAnsi="Times New Roman"/>
          <w:sz w:val="20"/>
        </w:rPr>
        <w:t xml:space="preserve">(iii) On the Effective Date, and notwithstanding any provision to the contrary herein, the Existing Letters of Credit shall be rolled over and shall be deemed to be Letters of Credit that have been issued pursuant to this </w:t>
      </w:r>
      <w:r>
        <w:rPr>
          <w:rFonts w:ascii="Times New Roman" w:hAnsi="Times New Roman"/>
          <w:sz w:val="20"/>
          <w:u w:val="single"/>
        </w:rPr>
        <w:t>Section 2.05</w:t>
      </w:r>
      <w:r>
        <w:rPr>
          <w:rFonts w:ascii="Times New Roman" w:hAnsi="Times New Roman"/>
          <w:sz w:val="20"/>
        </w:rPr>
        <w:t xml:space="preserve">, and accordingly, the Existing Letters of Credit shall be entitled to receive all of the benefits of, and be bound by, the terms contained herein and in the other Loan Documents.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Notice of Issuance, Amendment, Renewal or Extension; Auto-Extension Letters of Credit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To request the issuance of a Letter of Credit (or the amendment, renewal or extension of an outstanding Letter of Credit), GEO shall deliver to an Issuing Lender (reasonably in advance of the requested date of issuance, amendment, renewal or extension) a notice requesting the issuance of a Letter of Credit, or identifying the Letter of Credit to be amended, renewed or extended, and specifying the date of issuance, amendment, renewal or extension (which shall be a Business Day), the date on which such Letter of Credit is to expire (which shall comply with </w:t>
      </w:r>
      <w:r>
        <w:rPr>
          <w:rFonts w:ascii="Times New Roman" w:hAnsi="Times New Roman"/>
          <w:sz w:val="20"/>
          <w:u w:val="single"/>
        </w:rPr>
        <w:t>Section 2.05(d)</w:t>
      </w:r>
      <w:r>
        <w:rPr>
          <w:rFonts w:ascii="Times New Roman" w:hAnsi="Times New Roman"/>
          <w:sz w:val="20"/>
        </w:rPr>
        <w:t xml:space="preserve">), the amount and Currency of such Letter of Credit, the name and address of the beneficiary thereof and such other information as shall be necessary to prepare, amend, renew or extend such Letter of Credit. Such notice may be delivered by hand or overnight courier service, mailed by certified or registered mail or sent by electronic transmission using the system provided by the applicable Issuing Lender. Such notice shall be given to the Issuing Lender and all Revolving Credit Lenders (i) in the case of a Letter of Credit to be denominated in Dollars, not later than 4:00 p.m., New York City time, three Business Days before the date of the proposed issuance, amendment, renewal or extension and (ii) in the case of a Letter of Credit to be denominated in a Foreign Currency, not later than 4:00 p.m., New York City time, three Business Days (or four Business Days if longer notice is determined by the applicable Issuing Lender to be required) before the date of the proposed issuance, amendment, renewal or extension. Upon satisfaction or waiver of the conditions set forth in </w:t>
      </w:r>
      <w:r>
        <w:rPr>
          <w:rFonts w:ascii="Times New Roman" w:hAnsi="Times New Roman"/>
          <w:sz w:val="20"/>
          <w:u w:val="single"/>
        </w:rPr>
        <w:t>Section 4.02</w:t>
      </w:r>
      <w:r>
        <w:rPr>
          <w:rFonts w:ascii="Times New Roman" w:hAnsi="Times New Roman"/>
          <w:sz w:val="20"/>
        </w:rPr>
        <w:t xml:space="preserve">, the Issuing Lender may, in its sole discretion, issue, amend, renew or extend the requested Letter of Credit only in accordance with the Issuing Lender’s standard operating procedures. The Issuing Lender shall promptly notify each Revolving Credit Lender of the issuance of any Letter of Credit and upon request by any such Lender, furnish to such Lender a copy of such Letter of Credit and the amount of such Lender’s participation therein.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(ii) If GEO or the Borrowers so request in any applicable application for a Letter of Credit, the Issuing Lender may, in its sole discretion, agree to issue a Letter of Credit that has automatic extension provisions (each, an “</w:t>
      </w:r>
      <w:r>
        <w:rPr>
          <w:rFonts w:ascii="Times New Roman" w:hAnsi="Times New Roman"/>
          <w:sz w:val="20"/>
          <w:u w:val="single"/>
        </w:rPr>
        <w:t>Auto-Extension Letter of Credit</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any such Auto-Extension Letter of Credit must permit the Issuing Lender to prevent any such extension at least once in each twelve-month period (commencing with the date of issuance of such Letter of Credit) by giving prior notice to the beneficiary thereof not later than a day (the “</w:t>
      </w:r>
      <w:r>
        <w:rPr>
          <w:rFonts w:ascii="Times New Roman" w:hAnsi="Times New Roman"/>
          <w:sz w:val="20"/>
          <w:u w:val="single"/>
        </w:rPr>
        <w:t>Non-Extension Notice Date</w:t>
      </w:r>
      <w:r>
        <w:rPr>
          <w:rFonts w:ascii="Times New Roman" w:hAnsi="Times New Roman"/>
          <w:sz w:val="20"/>
        </w:rPr>
        <w:t xml:space="preserve">”) in each such twelve-month period to be agreed upon at the time such Letter of Credit is issued. Once an Auto-Extension Letter of Credit has been issued, the Revolving Credit Lenders shall be deemed to have authorized (but may not require) the Issuing Lender to permit the extension of such Letter of Credit at any time to an expiry date not later than the date that is five Business Days prior to the Revolving Credit Commitment Termination Date;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Issuing Lender shall not permit any such extension if (A) the Issuing Lender has determined that it would not be permitted, or would have no obligation, at such time to issue such Letter of Credit in its revised form (as extended) under the terms hereof (by reason of the provisions of clause (iii) of </w:t>
      </w:r>
      <w:r>
        <w:rPr>
          <w:rFonts w:ascii="Times New Roman" w:hAnsi="Times New Roman"/>
          <w:sz w:val="20"/>
          <w:u w:val="single"/>
        </w:rPr>
        <w:t>Section 2.05(c)</w:t>
      </w:r>
      <w:r>
        <w:rPr>
          <w:rFonts w:ascii="Times New Roman" w:hAnsi="Times New Roman"/>
          <w:sz w:val="20"/>
        </w:rPr>
        <w:t xml:space="preserve"> or otherwise), or (B) it has received notice (which may be by telephone or in writing) on or before the day that is seven Business Days before the Non-Extension Notice Date from the Administrative Agent, any Revolving Credit Lender or any Borrower that one or more of the applicable conditions specified in </w:t>
      </w:r>
      <w:r>
        <w:rPr>
          <w:rFonts w:ascii="Times New Roman" w:hAnsi="Times New Roman"/>
          <w:sz w:val="20"/>
          <w:u w:val="single"/>
        </w:rPr>
        <w:t>Section 4.02</w:t>
      </w:r>
      <w:r>
        <w:rPr>
          <w:rFonts w:ascii="Times New Roman" w:hAnsi="Times New Roman"/>
          <w:sz w:val="20"/>
        </w:rPr>
        <w:t xml:space="preserve"> is not then satisfied, and in each such case directing the Issuing Lender not to permit such extension. </w:t>
      </w:r>
    </w:p>
    <w:p>
      <w:pPr>
        <w:pStyle w:val="TextBody"/>
        <w:bidi w:val="0"/>
        <w:spacing w:before="120" w:after="0"/>
        <w:jc w:val="left"/>
        <w:rPr>
          <w:rFonts w:ascii="Times New Roman" w:hAnsi="Times New Roman"/>
          <w:sz w:val="20"/>
        </w:rPr>
      </w:pPr>
      <w:r>
        <w:rPr>
          <w:rFonts w:ascii="Times New Roman" w:hAnsi="Times New Roman"/>
          <w:sz w:val="20"/>
        </w:rPr>
        <w:t xml:space="preserve">(iii) [Reserved]. </w:t>
      </w:r>
    </w:p>
    <w:p>
      <w:pPr>
        <w:pStyle w:val="TextBody"/>
        <w:bidi w:val="0"/>
        <w:spacing w:before="120" w:after="0"/>
        <w:jc w:val="left"/>
        <w:rPr>
          <w:rFonts w:ascii="Times New Roman" w:hAnsi="Times New Roman"/>
          <w:sz w:val="20"/>
        </w:rPr>
      </w:pPr>
      <w:r>
        <w:rPr>
          <w:rFonts w:ascii="Times New Roman" w:hAnsi="Times New Roman"/>
          <w:sz w:val="20"/>
        </w:rPr>
        <w:t xml:space="preserve">(iv) If requested by the applicable Issuing Lender, the Borrowers shall also submit a Letter of Credit application on such Issuing Lender’s standard form in connection with any request for a Letter of Credit. </w:t>
      </w:r>
    </w:p>
    <w:p>
      <w:pPr>
        <w:pStyle w:val="TextBody"/>
        <w:bidi w:val="0"/>
        <w:spacing w:before="120" w:after="0"/>
        <w:jc w:val="left"/>
        <w:rPr>
          <w:rFonts w:ascii="Times New Roman" w:hAnsi="Times New Roman"/>
          <w:sz w:val="20"/>
        </w:rPr>
      </w:pPr>
      <w:r>
        <w:rPr>
          <w:rFonts w:ascii="Times New Roman" w:hAnsi="Times New Roman"/>
          <w:sz w:val="20"/>
        </w:rPr>
        <w:t xml:space="preserve">(v) In the event of any inconsistency between the terms and conditions of this Agreement and the terms and conditions of any Letter of Credit Documents, the terms and conditions of this Agreement shall control.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Limitations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A Letter of Credit shall be issued, amended, renewed or extended only if, after giving effect to such issuance, amendment, renewal or extension, (A) the aggregate LC Exposure shall not exceed the LC Sublimit, (B) the total Revolving Credit Exposure shall not exceed the total Revolving Credit Commitments, and (C) any Revolving Credit Lender’s Revolving Credit Exposure shall not exceed such Lender’s Revolving Credit Commitment (and upon issuance, amendment, renewal or extension of each Letter of Credit, the Borrowers shall be deemed to represent and warrant as to the foregoing). </w:t>
      </w:r>
    </w:p>
    <w:p>
      <w:pPr>
        <w:pStyle w:val="TextBody"/>
        <w:bidi w:val="0"/>
        <w:spacing w:before="120" w:after="0"/>
        <w:jc w:val="left"/>
        <w:rPr>
          <w:rFonts w:ascii="Times New Roman" w:hAnsi="Times New Roman"/>
          <w:sz w:val="20"/>
        </w:rPr>
      </w:pPr>
      <w:r>
        <w:rPr>
          <w:rFonts w:ascii="Times New Roman" w:hAnsi="Times New Roman"/>
          <w:sz w:val="20"/>
        </w:rPr>
        <w:t xml:space="preserve">(ii) [Reserved]. </w:t>
      </w:r>
    </w:p>
    <w:p>
      <w:pPr>
        <w:pStyle w:val="TextBody"/>
        <w:bidi w:val="0"/>
        <w:spacing w:before="120" w:after="0"/>
        <w:jc w:val="left"/>
        <w:rPr>
          <w:rFonts w:ascii="Times New Roman" w:hAnsi="Times New Roman"/>
          <w:sz w:val="20"/>
        </w:rPr>
      </w:pPr>
      <w:r>
        <w:rPr>
          <w:rFonts w:ascii="Times New Roman" w:hAnsi="Times New Roman"/>
          <w:sz w:val="20"/>
        </w:rPr>
        <w:t xml:space="preserve">(iii) Any Issuing Lender shall not be under any obligation to issue or extend or renew any Letter of Credit if any order, judgment or decree of any Governmental Authority or arbitrator shall by its terms purport to enjoin or restrain such Issuing Lender from issuing such Letter of Credit, or any law applicable to such Issuing Lender or any request or directive (whether or not having the force of law) from any Governmental Authority with jurisdiction over such Issuing Lender shall prohibit, or request that such Issuing Lender refrain from, the issuance of letters of credit generally or the Letter of Credit in particular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shall impose upon such Issuing Lender with respect to such Letter of Credit any restriction, reserve or capital requirement (for which such Issuing Lender is not otherwise compensated hereunder) not in effect on the Effective Date, or shall impose upon such Issuing Lender any unreimbursed loss, cost or expense which was not applicable on the Effective Date and which such Issuing Lender in good faith deems material to it.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Expiration Date</w:t>
      </w:r>
      <w:r>
        <w:rPr>
          <w:rFonts w:ascii="Times New Roman" w:hAnsi="Times New Roman"/>
          <w:sz w:val="20"/>
        </w:rPr>
        <w:t xml:space="preserve">. Each Letter of Credit shall expire at or prior to the close of business on the earlier of (i) the date reasonably satisfactory to the applicable Issuing Lender and (ii) the date that is five Business Days prior to the Revolving Credit Commitment Termination Date; </w:t>
      </w:r>
      <w:r>
        <w:rPr>
          <w:rFonts w:ascii="Times New Roman" w:hAnsi="Times New Roman"/>
          <w:sz w:val="20"/>
          <w:u w:val="single"/>
        </w:rPr>
        <w:t>provided</w:t>
      </w:r>
      <w:r>
        <w:rPr>
          <w:rFonts w:ascii="Times New Roman" w:hAnsi="Times New Roman"/>
          <w:sz w:val="20"/>
        </w:rPr>
        <w:t xml:space="preserve">, that such date may be later than the date that is five Business Days prior to the Revolving Credit Commitment Termination Date if and so long as such Letter of Credit is cash collateralized no later than such fifth prior Business Day in accordance with </w:t>
      </w:r>
      <w:r>
        <w:rPr>
          <w:rFonts w:ascii="Times New Roman" w:hAnsi="Times New Roman"/>
          <w:sz w:val="20"/>
          <w:u w:val="single"/>
        </w:rPr>
        <w:t>Section 2.05(k)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Participations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By the issuance of a Letter of Credit (or an amendment to a Letter of Credit increasing the amount thereof) by any Issuing Lender, and without any further action on the part of such Issuing Lender or the Lenders, such Issuing Lender hereby grants to each Revolving Credit Lender, and each Revolving Credit Lender hereby acquires from such Issuing Lender, a participation in such Letter of Credit equal to such Revolving Credit Lender’s Applicable Percentage of the aggregate amount available to be drawn under such Letter of Credit. Each Revolving Credit Lender acknowledges and agrees that its obligation to acquire participations pursuant to this </w:t>
      </w:r>
      <w:r>
        <w:rPr>
          <w:rFonts w:ascii="Times New Roman" w:hAnsi="Times New Roman"/>
          <w:sz w:val="20"/>
          <w:u w:val="single"/>
        </w:rPr>
        <w:t>Section 2.05(e)(i)</w:t>
      </w:r>
      <w:r>
        <w:rPr>
          <w:rFonts w:ascii="Times New Roman" w:hAnsi="Times New Roman"/>
          <w:sz w:val="20"/>
        </w:rPr>
        <w:t xml:space="preserve"> in respect of Letters of Credit is absolute and unconditional and shall not be affected by any circumstance whatsoever, including any amendment, renewal or extension of any Letter of Credit or the occurrence and continuance of a Default or reduction or termination of the Commitments. </w:t>
      </w:r>
    </w:p>
    <w:p>
      <w:pPr>
        <w:pStyle w:val="TextBody"/>
        <w:bidi w:val="0"/>
        <w:spacing w:before="120" w:after="0"/>
        <w:jc w:val="left"/>
        <w:rPr>
          <w:rFonts w:ascii="Times New Roman" w:hAnsi="Times New Roman"/>
          <w:sz w:val="20"/>
        </w:rPr>
      </w:pPr>
      <w:r>
        <w:rPr>
          <w:rFonts w:ascii="Times New Roman" w:hAnsi="Times New Roman"/>
          <w:sz w:val="20"/>
        </w:rPr>
        <w:t xml:space="preserve">(ii) In consideration and in furtherance of the foregoing, each Revolving Credit Lender hereby absolutely and unconditionally agrees to pay to the Administrative Agent, for the account of the respective Issuing Lender, such Revolving Credit Lender’s Applicable Percentage of the Dollar Equivalent of each LC Disbursement made by an Issuing Lender promptly upon the request of such Issuing Lender at any time from the time of such LC Disbursement until such LC Disbursement is reimbursed by the Borrowers or at any time after any reimbursement payment is required to be refunded to the Borrowers for any reason. Such payment shall be made without any offset, abatement, withholding or reduction whatsoever. Each such payment shall be made in the same manner as provided in </w:t>
      </w:r>
      <w:r>
        <w:rPr>
          <w:rFonts w:ascii="Times New Roman" w:hAnsi="Times New Roman"/>
          <w:sz w:val="20"/>
          <w:u w:val="single"/>
        </w:rPr>
        <w:t>Section 2.06</w:t>
      </w:r>
      <w:r>
        <w:rPr>
          <w:rFonts w:ascii="Times New Roman" w:hAnsi="Times New Roman"/>
          <w:sz w:val="20"/>
        </w:rPr>
        <w:t xml:space="preserve"> with respect to Loans made by such Revolving Credit Lender (and </w:t>
      </w:r>
      <w:r>
        <w:rPr>
          <w:rFonts w:ascii="Times New Roman" w:hAnsi="Times New Roman"/>
          <w:sz w:val="20"/>
          <w:u w:val="single"/>
        </w:rPr>
        <w:t>Section 2.06</w:t>
      </w:r>
      <w:r>
        <w:rPr>
          <w:rFonts w:ascii="Times New Roman" w:hAnsi="Times New Roman"/>
          <w:sz w:val="20"/>
        </w:rPr>
        <w:t xml:space="preserve"> shall apply, </w:t>
      </w:r>
      <w:r>
        <w:rPr>
          <w:rFonts w:ascii="Times New Roman" w:hAnsi="Times New Roman"/>
          <w:i/>
          <w:sz w:val="20"/>
        </w:rPr>
        <w:t>mutatis mutandis</w:t>
      </w:r>
      <w:r>
        <w:rPr>
          <w:rFonts w:ascii="Times New Roman" w:hAnsi="Times New Roman"/>
          <w:sz w:val="20"/>
        </w:rPr>
        <w:t xml:space="preserve">, to the payment obligations of the Revolving Credit Lenders), and the Administrative Agent shall promptly pay to the respective Issuing Lender the amounts so received by it from the Revolving Credit Lenders. Promptly following receipt by the Administrative Agent of any payment from the Borrowers pursuant to </w:t>
      </w:r>
      <w:r>
        <w:rPr>
          <w:rFonts w:ascii="Times New Roman" w:hAnsi="Times New Roman"/>
          <w:sz w:val="20"/>
          <w:u w:val="single"/>
        </w:rPr>
        <w:t>Section 2.05(f)</w:t>
      </w:r>
      <w:r>
        <w:rPr>
          <w:rFonts w:ascii="Times New Roman" w:hAnsi="Times New Roman"/>
          <w:sz w:val="20"/>
        </w:rPr>
        <w:t xml:space="preserve">, the Administrative Agent shall distribute such payment to the respective Issuing Lender or, to the extent that the Revolving Credit Lenders have made payments pursuant to this paragraph to reimburse such Issuing Lender, then to such Revolving Credit Lenders and such Issuing Lender as their interests may appear. Any payment made by a Revolving Credit Lender pursuant to this paragraph to reimburse an Issuing Lender for any LC Disbursement shall not constitute a Loan and shall not relieve the Borrowers of their obligation to reimburse such LC Disbursement.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Reimbursement</w:t>
      </w:r>
      <w:r>
        <w:rPr>
          <w:rFonts w:ascii="Times New Roman" w:hAnsi="Times New Roman"/>
          <w:sz w:val="20"/>
        </w:rPr>
        <w:t xml:space="preserve">. If an Issuing Lender shall make any LC Disbursement in respect of a Letter of Credit, the Borrowers shall reimburse such Issuing Lender in respect of such LC Disbursement by paying to the Administrative Agent an amount equal to the Dollar Equivalent of such LC Disbursement not later than 4:00 p.m., New York City time, on (i) the Business Day that any Borrower receives notice of such LC Disbursement, if such notice is received prior to 11:00 a.m., New York City time, or (ii) the Business Day immediately following the day that any Borrower receives such notice, if such notice is not received prior to such time; </w:t>
      </w:r>
      <w:r>
        <w:rPr>
          <w:rFonts w:ascii="Times New Roman" w:hAnsi="Times New Roman"/>
          <w:sz w:val="20"/>
          <w:u w:val="single"/>
        </w:rPr>
        <w:t>provided</w:t>
      </w:r>
      <w:r>
        <w:rPr>
          <w:rFonts w:ascii="Times New Roman" w:hAnsi="Times New Roman"/>
          <w:sz w:val="20"/>
        </w:rPr>
        <w:t xml:space="preserve"> that, if the Dollar Equivalent of such LC Disbursement is not less than $1,000,000, the Borrowers may, subject to the conditions to borrowing set forth herein, request in accordance with </w:t>
      </w:r>
      <w:r>
        <w:rPr>
          <w:rFonts w:ascii="Times New Roman" w:hAnsi="Times New Roman"/>
          <w:sz w:val="20"/>
          <w:u w:val="single"/>
        </w:rPr>
        <w:t>Section 2.03</w:t>
      </w:r>
      <w:r>
        <w:rPr>
          <w:rFonts w:ascii="Times New Roman" w:hAnsi="Times New Roman"/>
          <w:sz w:val="20"/>
        </w:rPr>
        <w:t xml:space="preserve"> or </w:t>
      </w:r>
      <w:r>
        <w:rPr>
          <w:rFonts w:ascii="Times New Roman" w:hAnsi="Times New Roman"/>
          <w:sz w:val="20"/>
          <w:u w:val="single"/>
        </w:rPr>
        <w:t>Section 2.04</w:t>
      </w:r>
      <w:r>
        <w:rPr>
          <w:rFonts w:ascii="Times New Roman" w:hAnsi="Times New Roman"/>
          <w:sz w:val="20"/>
        </w:rPr>
        <w:t xml:space="preserve"> that such payment be financed with a Revolving Credit ABR Borrowing or Swingline Loan in an equivalent amount and, to the extent so financed, the Borrowers’ obligation to make such payment shall be discharged and replaced by the resulting Revolving Credit ABR Borrowing or Swingline Loan. If the Borrowers fail to make such payment when due, the Administrative Agent shall notify each Revolving Credit Lender of the applicable LC Disbursement, the payment then due from the Borrowers in respect thereof and such Revolving Credit Lender’s Applicable Percentage of the Dollar Equivalent thereof.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Obligations Absolute</w:t>
      </w:r>
      <w:r>
        <w:rPr>
          <w:rFonts w:ascii="Times New Roman" w:hAnsi="Times New Roman"/>
          <w:sz w:val="20"/>
        </w:rPr>
        <w:t xml:space="preserve">. The Borrowers’ obligations to reimburse LC Disbursements as provided in </w:t>
      </w:r>
      <w:r>
        <w:rPr>
          <w:rFonts w:ascii="Times New Roman" w:hAnsi="Times New Roman"/>
          <w:sz w:val="20"/>
          <w:u w:val="single"/>
        </w:rPr>
        <w:t>Section 2.05(f)</w:t>
      </w:r>
      <w:r>
        <w:rPr>
          <w:rFonts w:ascii="Times New Roman" w:hAnsi="Times New Roman"/>
          <w:sz w:val="20"/>
        </w:rPr>
        <w:t xml:space="preserve"> shall be absolute, unconditional and irrevocable, and shall be performed strictly in accordance with the terms of this Agreement under any and all circumstances whatsoever and irrespective of (i) any lack of validity or enforceability of any Letter of Credit, or any term or provision therein, (ii) any draft or other document presented under a Letter of Credit proving to be forged, fraudulent or invalid in any respect or any statement in such draft or other document being untrue or inaccurate in any respect, (iii) payment by the respective Issuing Lender under a Letter of Credit against presentation of a draft or other document that does not comply strictly with the terms of such Letter of Credit, or (iv) any other event or circumstance whatsoever, whether or not similar to any of the foregoing, that might, but for the provisions of this </w:t>
      </w:r>
      <w:r>
        <w:rPr>
          <w:rFonts w:ascii="Times New Roman" w:hAnsi="Times New Roman"/>
          <w:sz w:val="20"/>
          <w:u w:val="single"/>
        </w:rPr>
        <w:t>Section 2.05(g)</w:t>
      </w:r>
      <w:r>
        <w:rPr>
          <w:rFonts w:ascii="Times New Roman" w:hAnsi="Times New Roman"/>
          <w:sz w:val="20"/>
        </w:rPr>
        <w:t xml:space="preserve">, constitute a legal or equitable discharge of, or provide a right of setoff against, the Borrowers’ obligations hereunder. </w:t>
      </w:r>
    </w:p>
    <w:p>
      <w:pPr>
        <w:pStyle w:val="TextBody"/>
        <w:bidi w:val="0"/>
        <w:spacing w:before="240" w:after="0"/>
        <w:jc w:val="left"/>
        <w:rPr>
          <w:rFonts w:ascii="Times New Roman" w:hAnsi="Times New Roman"/>
          <w:sz w:val="20"/>
        </w:rPr>
      </w:pPr>
      <w:r>
        <w:rPr>
          <w:rFonts w:ascii="Times New Roman" w:hAnsi="Times New Roman"/>
          <w:sz w:val="20"/>
        </w:rPr>
        <w:t xml:space="preserve">Neither the Administrative Agent, the Lenders nor any Issuing Lender, nor any of their Related Parties, shall have any liability or responsibility by reason of or in connection with the issuance or transfer of any Letter of Credit by the respective Issuing Lender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or any error in interpretation of technical terms or any consequence arising from causes beyond the control of any Issuing Lender; </w:t>
      </w:r>
      <w:r>
        <w:rPr>
          <w:rFonts w:ascii="Times New Roman" w:hAnsi="Times New Roman"/>
          <w:sz w:val="20"/>
          <w:u w:val="single"/>
        </w:rPr>
        <w:t>provided</w:t>
      </w:r>
      <w:r>
        <w:rPr>
          <w:rFonts w:ascii="Times New Roman" w:hAnsi="Times New Roman"/>
          <w:sz w:val="20"/>
        </w:rPr>
        <w:t xml:space="preserve"> that the foregoing shall not be construed to excuse an Issuing Lender from liability to the Borrowers, to the extent of any direct damages (as opposed to consequential damages, claims in respect of which are hereby waived by the Borrowers to the extent permitted by applicable law) suffered by the Borrowers that are caused by such Issuing Lender’s failure to exercise care when determining whether drafts and other documents presented under a Letter of Credit comply with the terms thereof. The parties hereto expressly agree that, in the absence of gross negligence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willful misconduct on the part of an Issuing Lender (as finally determined by a court of competent jurisdiction), such Issuing Lender shall be deemed to have exercised care in each such determination, and that: </w:t>
      </w:r>
    </w:p>
    <w:p>
      <w:pPr>
        <w:pStyle w:val="TextBody"/>
        <w:bidi w:val="0"/>
        <w:spacing w:before="120" w:after="0"/>
        <w:jc w:val="left"/>
        <w:rPr>
          <w:rFonts w:ascii="Times New Roman" w:hAnsi="Times New Roman"/>
          <w:sz w:val="20"/>
        </w:rPr>
      </w:pPr>
      <w:r>
        <w:rPr>
          <w:rFonts w:ascii="Times New Roman" w:hAnsi="Times New Roman"/>
          <w:sz w:val="20"/>
        </w:rPr>
        <w:t xml:space="preserve">(i) any Issuing Lender may accept documents that appear on their face to be in substantial compliance with the terms of a Letter of Credit without responsibility for further investigation, regardless of any notice or information to the contrary, and may make payment upon presentation of documents that appear on their face to be in substantial compliance with the terms of such Letter of Credit; </w:t>
      </w:r>
    </w:p>
    <w:p>
      <w:pPr>
        <w:pStyle w:val="TextBody"/>
        <w:bidi w:val="0"/>
        <w:spacing w:before="120" w:after="0"/>
        <w:jc w:val="left"/>
        <w:rPr>
          <w:rFonts w:ascii="Times New Roman" w:hAnsi="Times New Roman"/>
          <w:sz w:val="20"/>
        </w:rPr>
      </w:pPr>
      <w:r>
        <w:rPr>
          <w:rFonts w:ascii="Times New Roman" w:hAnsi="Times New Roman"/>
          <w:sz w:val="20"/>
        </w:rPr>
        <w:t xml:space="preserve">(ii) any Issuing Lender shall have the right, in its sole discretion, to decline to accept such documents and to decline to make such payment if such documents are not in strict compliance with the terms of such Letter of Credit; and </w:t>
      </w:r>
    </w:p>
    <w:p>
      <w:pPr>
        <w:pStyle w:val="TextBody"/>
        <w:bidi w:val="0"/>
        <w:spacing w:before="120" w:after="0"/>
        <w:jc w:val="left"/>
        <w:rPr>
          <w:rFonts w:ascii="Times New Roman" w:hAnsi="Times New Roman"/>
          <w:sz w:val="20"/>
        </w:rPr>
      </w:pPr>
      <w:r>
        <w:rPr>
          <w:rFonts w:ascii="Times New Roman" w:hAnsi="Times New Roman"/>
          <w:sz w:val="20"/>
        </w:rPr>
        <w:t xml:space="preserve">(iii) this sentence shall establish the standard of care to be exercised by each Issuing Lender when determining whether drafts and other documents presented under a Letter of Credit comply with the terms thereof (and the parties hereto hereby waive, to the extent permitted by applicable law, any standard of care inconsistent with the foregoing).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Disbursement Procedures</w:t>
      </w:r>
      <w:r>
        <w:rPr>
          <w:rFonts w:ascii="Times New Roman" w:hAnsi="Times New Roman"/>
          <w:sz w:val="20"/>
        </w:rPr>
        <w:t xml:space="preserve">. The Issuing Lender for any Letter of Credit shall, within a reasonable time following its receipt thereof, examine all documents purporting to represent a demand for payment under such Letter of Credit. Such Issuing Lender shall promptly after such examination notify the Administrative Agent and GEO in writing of such demand for payment and whether such Issuing Lender has made or will make an LC Disbursement thereunder; </w:t>
      </w:r>
      <w:r>
        <w:rPr>
          <w:rFonts w:ascii="Times New Roman" w:hAnsi="Times New Roman"/>
          <w:sz w:val="20"/>
          <w:u w:val="single"/>
        </w:rPr>
        <w:t>provided</w:t>
      </w:r>
      <w:r>
        <w:rPr>
          <w:rFonts w:ascii="Times New Roman" w:hAnsi="Times New Roman"/>
          <w:sz w:val="20"/>
        </w:rPr>
        <w:t xml:space="preserve"> that any failure to give or delay in giving such notice shall not relieve the Borrowers of their respective obligations to reimburse such Issuing Lender and the Lenders with respect to any such LC Disbursement.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Interim Interest</w:t>
      </w:r>
      <w:r>
        <w:rPr>
          <w:rFonts w:ascii="Times New Roman" w:hAnsi="Times New Roman"/>
          <w:sz w:val="20"/>
        </w:rPr>
        <w:t xml:space="preserve">. If the Issuing Lender for any Letter of Credit shall make any LC Disbursement, then, unless the Borrowers shall reimburse such LC Disbursement in full on the date such LC Disbursement is made, the unpaid amount thereof shall bear interest, for each day from and including the date such LC Disbursement is made to but excluding the date that the Borrowers reimburse such LC Disbursement, at the rate per annum equal to the rate per annum then applicable to Revolving Credit ABR Loans; </w:t>
      </w:r>
      <w:r>
        <w:rPr>
          <w:rFonts w:ascii="Times New Roman" w:hAnsi="Times New Roman"/>
          <w:sz w:val="20"/>
          <w:u w:val="single"/>
        </w:rPr>
        <w:t>provided</w:t>
      </w:r>
      <w:r>
        <w:rPr>
          <w:rFonts w:ascii="Times New Roman" w:hAnsi="Times New Roman"/>
          <w:sz w:val="20"/>
        </w:rPr>
        <w:t xml:space="preserve"> that, if the Borrowers fail to reimburse such applicable LC Disbursement when due pursuant to </w:t>
      </w:r>
      <w:r>
        <w:rPr>
          <w:rFonts w:ascii="Times New Roman" w:hAnsi="Times New Roman"/>
          <w:sz w:val="20"/>
          <w:u w:val="single"/>
        </w:rPr>
        <w:t>Section 2.05(f)</w:t>
      </w:r>
      <w:r>
        <w:rPr>
          <w:rFonts w:ascii="Times New Roman" w:hAnsi="Times New Roman"/>
          <w:sz w:val="20"/>
        </w:rPr>
        <w:t xml:space="preserve">, then </w:t>
      </w:r>
      <w:r>
        <w:rPr>
          <w:rFonts w:ascii="Times New Roman" w:hAnsi="Times New Roman"/>
          <w:sz w:val="20"/>
          <w:u w:val="single"/>
        </w:rPr>
        <w:t>Section 2.12(c)</w:t>
      </w:r>
      <w:r>
        <w:rPr>
          <w:rFonts w:ascii="Times New Roman" w:hAnsi="Times New Roman"/>
          <w:sz w:val="20"/>
        </w:rPr>
        <w:t xml:space="preserve"> shall apply. Interest accrued pursuant to this </w:t>
      </w:r>
      <w:r>
        <w:rPr>
          <w:rFonts w:ascii="Times New Roman" w:hAnsi="Times New Roman"/>
          <w:sz w:val="20"/>
          <w:u w:val="single"/>
        </w:rPr>
        <w:t>Section 2.05(i)</w:t>
      </w:r>
      <w:r>
        <w:rPr>
          <w:rFonts w:ascii="Times New Roman" w:hAnsi="Times New Roman"/>
          <w:sz w:val="20"/>
        </w:rPr>
        <w:t xml:space="preserve"> shall be for the account of the applicable Issuing Lender, except that interest accrued on and after the date of payment by any Lender pursuant to </w:t>
      </w:r>
      <w:r>
        <w:rPr>
          <w:rFonts w:ascii="Times New Roman" w:hAnsi="Times New Roman"/>
          <w:sz w:val="20"/>
          <w:u w:val="single"/>
        </w:rPr>
        <w:t>Section 2.05(f)</w:t>
      </w:r>
      <w:r>
        <w:rPr>
          <w:rFonts w:ascii="Times New Roman" w:hAnsi="Times New Roman"/>
          <w:sz w:val="20"/>
        </w:rPr>
        <w:t xml:space="preserve"> to reimburse such Issuing Lender shall be for the account of such Lender to the extent of such payment.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Replacement of an Issuing Lender</w:t>
      </w:r>
      <w:r>
        <w:rPr>
          <w:rFonts w:ascii="Times New Roman" w:hAnsi="Times New Roman"/>
          <w:sz w:val="20"/>
        </w:rPr>
        <w:t xml:space="preserve">. Any Issuing Lender may be replaced at any time by written agreement between GEO, the Administrative Agent, the replaced Issuing Lender and the successor Issuing Lender. The Administrative Agent shall notify the Lenders of any such replacement of an Issuing Lender. At the time any such replacement shall become effective, the applicable Borrowers shall pay all unpaid fees accrued for the account of the replaced Issuing Lender pursuant to </w:t>
      </w:r>
      <w:r>
        <w:rPr>
          <w:rFonts w:ascii="Times New Roman" w:hAnsi="Times New Roman"/>
          <w:sz w:val="20"/>
          <w:u w:val="single"/>
        </w:rPr>
        <w:t>Section 2.11(b)</w:t>
      </w:r>
      <w:r>
        <w:rPr>
          <w:rFonts w:ascii="Times New Roman" w:hAnsi="Times New Roman"/>
          <w:sz w:val="20"/>
        </w:rPr>
        <w:t xml:space="preserve">. From and after the effective date of any such replacement, (i) the successor Issuing Lender shall have all the rights and obligations of an Issuing Lender 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this Agreement with respect to Letters of Credit to be issued by it thereafter and (ii) references herein to the term “Issuing Lender” shall be deemed to include, as applicable, such successor or any previous Issuing Lender, or such successor and all previous Issuing Lenders, as the context shall require. After the replacement of an Issuing Lender hereunder, the replaced Issuing Lender shall remain a party hereto and shall continue to have all the rights and obligations of an Issuing Lender under this Agreement with respect to Letters of Credit issued by it prior to such replacement, but shall not be required to issue additional Letters of Credit.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Cash Collateralization</w:t>
      </w:r>
      <w:r>
        <w:rPr>
          <w:rFonts w:ascii="Times New Roman" w:hAnsi="Times New Roman"/>
          <w:sz w:val="20"/>
        </w:rPr>
        <w:t xml:space="preserve">. If (i) any Event of Default shall occur and be continuing, on the Business Day that GEO receives notice from the Administrative Agent or the Required Revolving Credit Lenders (or, if the maturity of the Loans has been accelerated, Revolving Credit Lenders with LC Exposure representing more than 50% of the total LC Exposure) demanding the deposit of cash collateral, (ii) the Borrowers shall be required to provide cover for LC Exposure pursuant to </w:t>
      </w:r>
      <w:r>
        <w:rPr>
          <w:rFonts w:ascii="Times New Roman" w:hAnsi="Times New Roman"/>
          <w:sz w:val="20"/>
          <w:u w:val="single"/>
        </w:rPr>
        <w:t>Section 2.10(c)</w:t>
      </w:r>
      <w:r>
        <w:rPr>
          <w:rFonts w:ascii="Times New Roman" w:hAnsi="Times New Roman"/>
          <w:sz w:val="20"/>
        </w:rPr>
        <w:t xml:space="preserve">, or (iii) GEO shall elect to extend the expiration date of any Letter of Credit pursuant to </w:t>
      </w:r>
      <w:r>
        <w:rPr>
          <w:rFonts w:ascii="Times New Roman" w:hAnsi="Times New Roman"/>
          <w:sz w:val="20"/>
          <w:u w:val="single"/>
        </w:rPr>
        <w:t>Section 2.05(d)</w:t>
      </w:r>
      <w:r>
        <w:rPr>
          <w:rFonts w:ascii="Times New Roman" w:hAnsi="Times New Roman"/>
          <w:sz w:val="20"/>
        </w:rPr>
        <w:t>, the Borrowers shall immediately deposit into a cash collateral account established at a banking institution selected by the Administrative Agent (the “</w:t>
      </w:r>
      <w:r>
        <w:rPr>
          <w:rFonts w:ascii="Times New Roman" w:hAnsi="Times New Roman"/>
          <w:sz w:val="20"/>
          <w:u w:val="single"/>
        </w:rPr>
        <w:t>Collateral Account</w:t>
      </w:r>
      <w:r>
        <w:rPr>
          <w:rFonts w:ascii="Times New Roman" w:hAnsi="Times New Roman"/>
          <w:sz w:val="20"/>
        </w:rPr>
        <w:t xml:space="preserve">”), which account may be a “securities account” (within the meaning of Section 8-501 of the UCC as in effect in the State of New York), in the name of the Administrative Agent and for the benefit of the Revolving Credit Lenders, an amount in cash equal to 103% of the Dollar Equivalent of the LC Exposure as of such date </w:t>
      </w:r>
      <w:r>
        <w:rPr>
          <w:rFonts w:ascii="Times New Roman" w:hAnsi="Times New Roman"/>
          <w:sz w:val="20"/>
          <w:u w:val="single"/>
        </w:rPr>
        <w:t>plus</w:t>
      </w:r>
      <w:r>
        <w:rPr>
          <w:rFonts w:ascii="Times New Roman" w:hAnsi="Times New Roman"/>
          <w:sz w:val="20"/>
        </w:rPr>
        <w:t xml:space="preserve"> any accrued and unpaid interest thereon and, in the case of cover pursuant to </w:t>
      </w:r>
      <w:r>
        <w:rPr>
          <w:rFonts w:ascii="Times New Roman" w:hAnsi="Times New Roman"/>
          <w:sz w:val="20"/>
          <w:u w:val="single"/>
        </w:rPr>
        <w:t>Section 2.10(c)</w:t>
      </w:r>
      <w:r>
        <w:rPr>
          <w:rFonts w:ascii="Times New Roman" w:hAnsi="Times New Roman"/>
          <w:sz w:val="20"/>
        </w:rPr>
        <w:t xml:space="preserve">, the amount required under </w:t>
      </w:r>
      <w:r>
        <w:rPr>
          <w:rFonts w:ascii="Times New Roman" w:hAnsi="Times New Roman"/>
          <w:sz w:val="20"/>
          <w:u w:val="single"/>
        </w:rPr>
        <w:t>Section 2.10(c)</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the obligation to deposit such cash collateral shall become effective immediately, and such deposit shall become immediately due and payable, without demand or other notice of any kind, upon the occurrence of any Event of Default with respect to any Borrower described in </w:t>
      </w:r>
      <w:r>
        <w:rPr>
          <w:rFonts w:ascii="Times New Roman" w:hAnsi="Times New Roman"/>
          <w:sz w:val="20"/>
          <w:u w:val="single"/>
        </w:rPr>
        <w:t>Sections 7.01(h)</w:t>
      </w:r>
      <w:r>
        <w:rPr>
          <w:rFonts w:ascii="Times New Roman" w:hAnsi="Times New Roman"/>
          <w:sz w:val="20"/>
        </w:rPr>
        <w:t xml:space="preserve"> or </w:t>
      </w:r>
      <w:r>
        <w:rPr>
          <w:rFonts w:ascii="Times New Roman" w:hAnsi="Times New Roman"/>
          <w:sz w:val="20"/>
          <w:u w:val="single"/>
        </w:rPr>
        <w:t>(i)</w:t>
      </w:r>
      <w:r>
        <w:rPr>
          <w:rFonts w:ascii="Times New Roman" w:hAnsi="Times New Roman"/>
          <w:sz w:val="20"/>
        </w:rPr>
        <w:t xml:space="preserve">. Such deposit shall be held by the Administrative Agent as collateral for the payment and performance of the obligations of the Borrowers under this Agreement in respect of the Lenders’ LC Exposure and the other amounts contemplated by this paragraph. </w:t>
      </w:r>
    </w:p>
    <w:p>
      <w:pPr>
        <w:pStyle w:val="TextBody"/>
        <w:bidi w:val="0"/>
        <w:spacing w:before="240" w:after="0"/>
        <w:jc w:val="left"/>
        <w:rPr>
          <w:rFonts w:ascii="Times New Roman" w:hAnsi="Times New Roman"/>
          <w:sz w:val="20"/>
        </w:rPr>
      </w:pPr>
      <w:r>
        <w:rPr>
          <w:rFonts w:ascii="Times New Roman" w:hAnsi="Times New Roman"/>
          <w:sz w:val="20"/>
        </w:rPr>
        <w:t xml:space="preserve">The Administrative Agent shall have exclusive dominion and control, including the exclusive right of withdrawal, over the Collateral Account. Other than any interest earned on the investment of such deposits, which investments shall be made at the option and sole discretion of the Administrative Agent and at the Borrowers’ risk and expense, such deposits shall not bear interest. Interest or profits, if any, on such investments shall accumulate in the Collateral Account. Moneys in the Collateral Account shall be applied by the Administrative Agent to reimburse each Issuing Lender for LC Disbursements for which it has not been reimbursed and, to the extent not so applied, shall be held for the satisfaction of the reimbursement obligations of the Borrowers for the LC Exposure at such time or, if the maturity of the Loans has been accelerated (but subject to the consent of all Lenders with LC Exposure), be applied to satisfy other obligations of the Borrowers under this Agreement. If the Borrowers are required to provide an amount of cash collateral hereunder as a result of (i) the occurrence of an Event of Default, (ii) pursuant to </w:t>
      </w:r>
      <w:r>
        <w:rPr>
          <w:rFonts w:ascii="Times New Roman" w:hAnsi="Times New Roman"/>
          <w:sz w:val="20"/>
          <w:u w:val="single"/>
        </w:rPr>
        <w:t>Section 2.10(c)(ii)</w:t>
      </w:r>
      <w:r>
        <w:rPr>
          <w:rFonts w:ascii="Times New Roman" w:hAnsi="Times New Roman"/>
          <w:sz w:val="20"/>
        </w:rPr>
        <w:t xml:space="preserve"> or (iii) pursuant to </w:t>
      </w:r>
      <w:r>
        <w:rPr>
          <w:rFonts w:ascii="Times New Roman" w:hAnsi="Times New Roman"/>
          <w:sz w:val="20"/>
          <w:u w:val="single"/>
        </w:rPr>
        <w:t>Section 2.05(d)</w:t>
      </w:r>
      <w:r>
        <w:rPr>
          <w:rFonts w:ascii="Times New Roman" w:hAnsi="Times New Roman"/>
          <w:sz w:val="20"/>
        </w:rPr>
        <w:t xml:space="preserve">, such amount (to the extent not applied as aforesaid) shall be returned to GEO within three Business Days after all Events of Default have been cured or waived (in the case of clause (i) of this sentence), as provided in said </w:t>
      </w:r>
      <w:r>
        <w:rPr>
          <w:rFonts w:ascii="Times New Roman" w:hAnsi="Times New Roman"/>
          <w:sz w:val="20"/>
          <w:u w:val="single"/>
        </w:rPr>
        <w:t>Section 2.10(c)(ii)</w:t>
      </w:r>
      <w:r>
        <w:rPr>
          <w:rFonts w:ascii="Times New Roman" w:hAnsi="Times New Roman"/>
          <w:sz w:val="20"/>
        </w:rPr>
        <w:t xml:space="preserve"> (in the case of clause (ii) of this sentence) or after the termination of the applicable Letter of Credit (in the case of clause (iii) of this sentence).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Applicability of ISP and UCP</w:t>
      </w:r>
      <w:r>
        <w:rPr>
          <w:rFonts w:ascii="Times New Roman" w:hAnsi="Times New Roman"/>
          <w:sz w:val="20"/>
        </w:rPr>
        <w:t xml:space="preserve">. Unless otherwise expressly agreed by the Issuing Lender and GEO when a Letter of Credit is issued, (i) the rules of the ISP shall apply to each standby Letter of Credit, and (ii) the rules of the Uniform Customs and Practice for Documentary Credits, as most recently published by the International Chamber of Commerce at the time of issuance shall apply to each commercial Letter of Credit. </w:t>
      </w:r>
    </w:p>
    <w:p>
      <w:pPr>
        <w:pStyle w:val="TextBody"/>
        <w:bidi w:val="0"/>
        <w:spacing w:before="240" w:after="0"/>
        <w:jc w:val="left"/>
        <w:rPr>
          <w:rFonts w:ascii="Times New Roman" w:hAnsi="Times New Roman"/>
          <w:sz w:val="20"/>
        </w:rPr>
      </w:pPr>
      <w:r>
        <w:rPr>
          <w:rFonts w:ascii="Times New Roman" w:hAnsi="Times New Roman"/>
          <w:sz w:val="20"/>
        </w:rPr>
        <w:t xml:space="preserve">Section 2.06 </w:t>
      </w:r>
      <w:r>
        <w:rPr>
          <w:rFonts w:ascii="Times New Roman" w:hAnsi="Times New Roman"/>
          <w:sz w:val="20"/>
          <w:u w:val="single"/>
        </w:rPr>
        <w:t>Funding of Borrowings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Funding by Lenders</w:t>
      </w:r>
      <w:r>
        <w:rPr>
          <w:rFonts w:ascii="Times New Roman" w:hAnsi="Times New Roman"/>
          <w:sz w:val="20"/>
        </w:rPr>
        <w:t xml:space="preserve">. Each Lender shall make each Loan to be made by it hereunder on the proposed date thereof by wire transfer of immediately available funds by 2:00 p.m., New York City time, to the account of the Administrative Agent most recently designated by it for such purpose by notice to the Lenders; </w:t>
      </w:r>
      <w:r>
        <w:rPr>
          <w:rFonts w:ascii="Times New Roman" w:hAnsi="Times New Roman"/>
          <w:sz w:val="20"/>
          <w:u w:val="single"/>
        </w:rPr>
        <w:t>provided</w:t>
      </w:r>
      <w:r>
        <w:rPr>
          <w:rFonts w:ascii="Times New Roman" w:hAnsi="Times New Roman"/>
          <w:sz w:val="20"/>
        </w:rPr>
        <w:t xml:space="preserve"> that Swingline Loans shall be made as provided in </w:t>
      </w:r>
      <w:r>
        <w:rPr>
          <w:rFonts w:ascii="Times New Roman" w:hAnsi="Times New Roman"/>
          <w:sz w:val="20"/>
          <w:u w:val="single"/>
        </w:rPr>
        <w:t>Section 2.04</w:t>
      </w:r>
      <w:r>
        <w:rPr>
          <w:rFonts w:ascii="Times New Roman" w:hAnsi="Times New Roman"/>
          <w:sz w:val="20"/>
        </w:rPr>
        <w:t xml:space="preserve">. The Administrative Agent shall make such Loans available to GEO (in the case of Term Loans) or the Borrowers (in the case of Revolving Credit Loans) by promptly wiring the amounts so received, in like funds, to an account of GEO (in the case of Term Loans) or the Borrowers (in the case of Revolving Credit Loans) designated by GEO in the applicable Borrowing Request; </w:t>
      </w:r>
      <w:r>
        <w:rPr>
          <w:rFonts w:ascii="Times New Roman" w:hAnsi="Times New Roman"/>
          <w:sz w:val="20"/>
          <w:u w:val="single"/>
        </w:rPr>
        <w:t>provided</w:t>
      </w:r>
      <w:r>
        <w:rPr>
          <w:rFonts w:ascii="Times New Roman" w:hAnsi="Times New Roman"/>
          <w:sz w:val="20"/>
        </w:rPr>
        <w:t xml:space="preserve"> that Revolving Credit ABR Borrowings made to finance the reimbursement of an LC Disbursement as provided in </w:t>
      </w:r>
      <w:r>
        <w:rPr>
          <w:rFonts w:ascii="Times New Roman" w:hAnsi="Times New Roman"/>
          <w:sz w:val="20"/>
          <w:u w:val="single"/>
        </w:rPr>
        <w:t>Section 2.05(f)</w:t>
      </w:r>
      <w:r>
        <w:rPr>
          <w:rFonts w:ascii="Times New Roman" w:hAnsi="Times New Roman"/>
          <w:sz w:val="20"/>
        </w:rPr>
        <w:t xml:space="preserve"> shall be remitted by the Administrative Agent to the respective Issuing Lender.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Presumption by the Administrative Agent</w:t>
      </w:r>
      <w:r>
        <w:rPr>
          <w:rFonts w:ascii="Times New Roman" w:hAnsi="Times New Roman"/>
          <w:sz w:val="20"/>
        </w:rPr>
        <w:t xml:space="preserve">. Unless the Administrative Agent shall have received notice from a Lender prior to the proposed date of any Borrowing that such Lender will not make available to the Administrative Agent such Lender’s share of such Borrowing, the Administrative Agent may assume that such Lender has made such share available on such date in accordance with </w:t>
      </w:r>
      <w:r>
        <w:rPr>
          <w:rFonts w:ascii="Times New Roman" w:hAnsi="Times New Roman"/>
          <w:sz w:val="20"/>
          <w:u w:val="single"/>
        </w:rPr>
        <w:t>Section 2.06(a)</w:t>
      </w:r>
      <w:r>
        <w:rPr>
          <w:rFonts w:ascii="Times New Roman" w:hAnsi="Times New Roman"/>
          <w:sz w:val="20"/>
        </w:rPr>
        <w:t xml:space="preserve"> and may, in reliance upon such assumption, make available a corresponding amount to GEO (in the case of any Term Borrowing), or the Borrowers (in the case of any Revolving Credit Borrowing). In such event, if a Lender has not in fact made its share of the applicable Borrowing available to the Administrative Agent, then the applicable Lender and GEO (in the case of any Term Borrowing), the Borrowers (in the case of any Revolving Credit Borrowing) severally agree to pay to the Administrative Agent forthwith on demand such corresponding amount with interest thereon, for each day from and including the date such amount is made available to GEO or any Borrower, as applicable, to but excluding the date of payment to the Administrative Agent, at (i) in the case of a payment to be made by such Lender, the greater of the Federal Funds Rate and a rate determined by the Administrative Agent in accordance with banking industry rules on interbank compensation and (ii) in the case of a payment to be made by GEO or the Borrowers, as applicable, the interest rate applicable to ABR Loans. If GEO or the Borrowers, as applicable, and such Lender shall pay such interest to the Administrative Agent for the same or an overlapping period, the Administrative Agent shall promptly remit to GEO (in the case of any such interest in respect of a Term Borrowing), or the Borrowers (in the case of any such interest in respect of a Revolving Credit Borrowing) the amount of such interest paid by GEO or the Borrowers, as applicable, for such period. If such Lender pays its share of the applicable Borrowing to the Administrative Agent, then the amount so paid shall constitute such Lender’s Loan included in such Borrowing. Any payment by GEO or the Borrowers, as applicable, shall be without prejudice to any claim GEO or the Borrowers, as applicable, may have against a Lender that shall have failed to make such payment to the Administrative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2.07 </w:t>
      </w:r>
      <w:r>
        <w:rPr>
          <w:rFonts w:ascii="Times New Roman" w:hAnsi="Times New Roman"/>
          <w:sz w:val="20"/>
          <w:u w:val="single"/>
        </w:rPr>
        <w:t>Interest Elections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Elections by GEO for Borrowings</w:t>
      </w:r>
      <w:r>
        <w:rPr>
          <w:rFonts w:ascii="Times New Roman" w:hAnsi="Times New Roman"/>
          <w:sz w:val="20"/>
        </w:rPr>
        <w:t xml:space="preserve">. The Loans comprising each Borrowing initially shall be of the Type specified in the applicable Borrowing Request and, in the case of a SOFR Borrowing, shall have the Interest Period specified in such Borrowing Request. Thereafter, GEO may elect to convert such Borrowing to a Borrowing of a different Type or to continue such Borrowing as a Borrowing of the same Type and, in the case of a SOFR Borrowing, may elect the Interest Period therefor, all as provided in this </w:t>
      </w:r>
      <w:r>
        <w:rPr>
          <w:rFonts w:ascii="Times New Roman" w:hAnsi="Times New Roman"/>
          <w:sz w:val="20"/>
          <w:u w:val="single"/>
        </w:rPr>
        <w:t>Section 2.07</w:t>
      </w:r>
      <w:r>
        <w:rPr>
          <w:rFonts w:ascii="Times New Roman" w:hAnsi="Times New Roman"/>
          <w:sz w:val="20"/>
        </w:rPr>
        <w:t xml:space="preserve">. GEO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 This Section shall not apply to Swingline Loans, which may not be converted or continued.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Notice of Elections</w:t>
      </w:r>
      <w:r>
        <w:rPr>
          <w:rFonts w:ascii="Times New Roman" w:hAnsi="Times New Roman"/>
          <w:sz w:val="20"/>
        </w:rPr>
        <w:t xml:space="preserve">. To make an election pursuant to this </w:t>
      </w:r>
      <w:r>
        <w:rPr>
          <w:rFonts w:ascii="Times New Roman" w:hAnsi="Times New Roman"/>
          <w:sz w:val="20"/>
          <w:u w:val="single"/>
        </w:rPr>
        <w:t>Section 2.07</w:t>
      </w:r>
      <w:r>
        <w:rPr>
          <w:rFonts w:ascii="Times New Roman" w:hAnsi="Times New Roman"/>
          <w:sz w:val="20"/>
        </w:rPr>
        <w:t xml:space="preserve">, GEO shall notify the Administrative Agent of such election by the time that a Borrowing Request would be required under </w:t>
      </w:r>
      <w:r>
        <w:rPr>
          <w:rFonts w:ascii="Times New Roman" w:hAnsi="Times New Roman"/>
          <w:sz w:val="20"/>
          <w:u w:val="single"/>
        </w:rPr>
        <w:t>Section 2.03</w:t>
      </w:r>
      <w:r>
        <w:rPr>
          <w:rFonts w:ascii="Times New Roman" w:hAnsi="Times New Roman"/>
          <w:sz w:val="20"/>
        </w:rPr>
        <w:t xml:space="preserve"> if GEO were requesting a Borrowing of the Type resulting from such election to be made on the effective date of such election. Each Interest Election Request shall be irrevocable and shall be in writing in a form approved by the Administrative Agent and signed by GEO.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Content of Interest Election Requests</w:t>
      </w:r>
      <w:r>
        <w:rPr>
          <w:rFonts w:ascii="Times New Roman" w:hAnsi="Times New Roman"/>
          <w:sz w:val="20"/>
        </w:rPr>
        <w:t xml:space="preserve">. Each Interest Election Request shall specify the following information in compliance with </w:t>
      </w:r>
      <w:r>
        <w:rPr>
          <w:rFonts w:ascii="Times New Roman" w:hAnsi="Times New Roman"/>
          <w:sz w:val="20"/>
          <w:u w:val="single"/>
        </w:rPr>
        <w:t>Section 2.02</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the Borrowing to which such Interest Election Request applies and, if different options are being elected with respect to different portions thereof, the portions thereof to be allocated to each resulting Borrowing (in which case the information to be specified pursuant to </w:t>
      </w:r>
      <w:r>
        <w:rPr>
          <w:rFonts w:ascii="Times New Roman" w:hAnsi="Times New Roman"/>
          <w:sz w:val="20"/>
          <w:u w:val="single"/>
        </w:rPr>
        <w:t>clauses (iii)</w:t>
      </w:r>
      <w:r>
        <w:rPr>
          <w:rFonts w:ascii="Times New Roman" w:hAnsi="Times New Roman"/>
          <w:sz w:val="20"/>
        </w:rPr>
        <w:t xml:space="preserve"> and </w:t>
      </w:r>
      <w:r>
        <w:rPr>
          <w:rFonts w:ascii="Times New Roman" w:hAnsi="Times New Roman"/>
          <w:sz w:val="20"/>
          <w:u w:val="single"/>
        </w:rPr>
        <w:t>(iv)</w:t>
      </w:r>
      <w:r>
        <w:rPr>
          <w:rFonts w:ascii="Times New Roman" w:hAnsi="Times New Roman"/>
          <w:sz w:val="20"/>
        </w:rPr>
        <w:t xml:space="preserve"> below shall be specified for each resulting Borrowing); </w:t>
      </w:r>
    </w:p>
    <w:p>
      <w:pPr>
        <w:pStyle w:val="TextBody"/>
        <w:bidi w:val="0"/>
        <w:spacing w:before="120" w:after="0"/>
        <w:jc w:val="left"/>
        <w:rPr>
          <w:rFonts w:ascii="Times New Roman" w:hAnsi="Times New Roman"/>
          <w:sz w:val="20"/>
        </w:rPr>
      </w:pPr>
      <w:r>
        <w:rPr>
          <w:rFonts w:ascii="Times New Roman" w:hAnsi="Times New Roman"/>
          <w:sz w:val="20"/>
        </w:rPr>
        <w:t xml:space="preserve">(ii) the effective date of the election made pursuant to such Interest Election Request, which shall be a Business Day; </w:t>
      </w:r>
    </w:p>
    <w:p>
      <w:pPr>
        <w:pStyle w:val="TextBody"/>
        <w:bidi w:val="0"/>
        <w:spacing w:before="120" w:after="0"/>
        <w:jc w:val="left"/>
        <w:rPr>
          <w:rFonts w:ascii="Times New Roman" w:hAnsi="Times New Roman"/>
          <w:sz w:val="20"/>
        </w:rPr>
      </w:pPr>
      <w:r>
        <w:rPr>
          <w:rFonts w:ascii="Times New Roman" w:hAnsi="Times New Roman"/>
          <w:sz w:val="20"/>
        </w:rPr>
        <w:t xml:space="preserve">(iii) whether the resulting Borrowing is to be an ABR Borrowing or a SOFR Borrowing; and </w:t>
      </w:r>
    </w:p>
    <w:p>
      <w:pPr>
        <w:pStyle w:val="TextBody"/>
        <w:bidi w:val="0"/>
        <w:spacing w:before="120" w:after="0"/>
        <w:jc w:val="left"/>
        <w:rPr>
          <w:rFonts w:ascii="Times New Roman" w:hAnsi="Times New Roman"/>
          <w:sz w:val="20"/>
        </w:rPr>
      </w:pPr>
      <w:r>
        <w:rPr>
          <w:rFonts w:ascii="Times New Roman" w:hAnsi="Times New Roman"/>
          <w:sz w:val="20"/>
        </w:rPr>
        <w:t xml:space="preserve">(iv) if the resulting Borrowing is a SOFR Borrowing, the Interest Period therefor after giving effect to such election, which shall be a period contemplated by the definition of the term “Interest Period” and permitted under </w:t>
      </w:r>
      <w:r>
        <w:rPr>
          <w:rFonts w:ascii="Times New Roman" w:hAnsi="Times New Roman"/>
          <w:sz w:val="20"/>
          <w:u w:val="single"/>
        </w:rPr>
        <w:t>Section 2.02(d)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Notice by the Administrative Agent to the Lenders</w:t>
      </w:r>
      <w:r>
        <w:rPr>
          <w:rFonts w:ascii="Times New Roman" w:hAnsi="Times New Roman"/>
          <w:sz w:val="20"/>
        </w:rPr>
        <w:t xml:space="preserve">. Promptly following receipt of an Interest Election Request, the Administrative Agent shall advise each Lender of the details thereof and of such Lender’s portion of each resulting Borrowing.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Failure to Elect; Events of Default</w:t>
      </w:r>
      <w:r>
        <w:rPr>
          <w:rFonts w:ascii="Times New Roman" w:hAnsi="Times New Roman"/>
          <w:sz w:val="20"/>
        </w:rPr>
        <w:t xml:space="preserve">. If GEO fails to deliver a timely and complete Interest Election Request with respect to a SOFR Borrowing prior to the end of the Interest Period therefor, then, unless such SOFR Borrowing is repaid as provided herein, GEO shall be deemed to have selected an Interest Period of one month’s duration.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Notwithstanding any contrary provision hereof, if an Event of Default under </w:t>
      </w:r>
      <w:r>
        <w:rPr>
          <w:rFonts w:ascii="Times New Roman" w:hAnsi="Times New Roman"/>
          <w:sz w:val="20"/>
          <w:u w:val="single"/>
        </w:rPr>
        <w:t>Section 7.01(a)</w:t>
      </w:r>
      <w:r>
        <w:rPr>
          <w:rFonts w:ascii="Times New Roman" w:hAnsi="Times New Roman"/>
          <w:sz w:val="20"/>
        </w:rPr>
        <w:t xml:space="preserve">, </w:t>
      </w:r>
      <w:r>
        <w:rPr>
          <w:rFonts w:ascii="Times New Roman" w:hAnsi="Times New Roman"/>
          <w:sz w:val="20"/>
          <w:u w:val="single"/>
        </w:rPr>
        <w:t>(b)</w:t>
      </w:r>
      <w:r>
        <w:rPr>
          <w:rFonts w:ascii="Times New Roman" w:hAnsi="Times New Roman"/>
          <w:sz w:val="20"/>
        </w:rPr>
        <w:t>,</w:t>
      </w:r>
      <w:r>
        <w:rPr>
          <w:rFonts w:ascii="Times New Roman" w:hAnsi="Times New Roman"/>
          <w:sz w:val="20"/>
          <w:u w:val="single"/>
        </w:rPr>
        <w:t xml:space="preserve"> (h)</w:t>
      </w:r>
      <w:r>
        <w:rPr>
          <w:rFonts w:ascii="Times New Roman" w:hAnsi="Times New Roman"/>
          <w:sz w:val="20"/>
        </w:rPr>
        <w:t xml:space="preserve"> or </w:t>
      </w:r>
      <w:r>
        <w:rPr>
          <w:rFonts w:ascii="Times New Roman" w:hAnsi="Times New Roman"/>
          <w:sz w:val="20"/>
          <w:u w:val="single"/>
        </w:rPr>
        <w:t>(i)</w:t>
      </w:r>
      <w:r>
        <w:rPr>
          <w:rFonts w:ascii="Times New Roman" w:hAnsi="Times New Roman"/>
          <w:sz w:val="20"/>
        </w:rPr>
        <w:t xml:space="preserve"> has occurred and is continuing and the Administrative Agent or the Required Lenders so notifies GEO, then, so long as such Event of Default is continuing (i) no outstanding Borrowing may be converted to or continued as a SOFR Borrowing and (ii) unless repaid, each SOFR Borrowing shall automatically be converted to an ABR Borrowing at the end of the Interest Period therefor. </w:t>
      </w:r>
    </w:p>
    <w:p>
      <w:pPr>
        <w:pStyle w:val="TextBody"/>
        <w:bidi w:val="0"/>
        <w:spacing w:before="240" w:after="0"/>
        <w:jc w:val="left"/>
        <w:rPr>
          <w:rFonts w:ascii="Times New Roman" w:hAnsi="Times New Roman"/>
          <w:sz w:val="20"/>
        </w:rPr>
      </w:pPr>
      <w:r>
        <w:rPr>
          <w:rFonts w:ascii="Times New Roman" w:hAnsi="Times New Roman"/>
          <w:sz w:val="20"/>
        </w:rPr>
        <w:t xml:space="preserve">Section 2.08 </w:t>
      </w:r>
      <w:r>
        <w:rPr>
          <w:rFonts w:ascii="Times New Roman" w:hAnsi="Times New Roman"/>
          <w:sz w:val="20"/>
          <w:u w:val="single"/>
        </w:rPr>
        <w:t>Termination and Reduction of Commitments; Increase of Revolving Credit Commitments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Scheduled Termination</w:t>
      </w:r>
      <w:r>
        <w:rPr>
          <w:rFonts w:ascii="Times New Roman" w:hAnsi="Times New Roman"/>
          <w:sz w:val="20"/>
        </w:rPr>
        <w:t xml:space="preserve">. Unless previously terminated, (i) the Term Loan Commitments shall terminate in full at 5:00 p.m., New York City time, on the Effective Date, (ii) the Revolving Credit Commitments shall terminate in full on the Revolving Credit Commitment Termination Date, and (iii) the Incremental Term Loan Commitments of any Series shall terminate in full on the close of business on the commitment termination date specified in the agreement establishing such Series pursuant to </w:t>
      </w:r>
      <w:r>
        <w:rPr>
          <w:rFonts w:ascii="Times New Roman" w:hAnsi="Times New Roman"/>
          <w:sz w:val="20"/>
          <w:u w:val="single"/>
        </w:rPr>
        <w:t>Section 2.01(e)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Voluntary Termination or Reduction</w:t>
      </w:r>
      <w:r>
        <w:rPr>
          <w:rFonts w:ascii="Times New Roman" w:hAnsi="Times New Roman"/>
          <w:sz w:val="20"/>
        </w:rPr>
        <w:t xml:space="preserve">. GEO may at any time terminate, or from time to time reduce, the Commitments of any Class; </w:t>
      </w:r>
      <w:r>
        <w:rPr>
          <w:rFonts w:ascii="Times New Roman" w:hAnsi="Times New Roman"/>
          <w:sz w:val="20"/>
          <w:u w:val="single"/>
        </w:rPr>
        <w:t>provided</w:t>
      </w:r>
      <w:r>
        <w:rPr>
          <w:rFonts w:ascii="Times New Roman" w:hAnsi="Times New Roman"/>
          <w:sz w:val="20"/>
        </w:rPr>
        <w:t xml:space="preserve"> that (i) each partial reduction of the Commitments of any Class pursuant to this </w:t>
      </w:r>
      <w:r>
        <w:rPr>
          <w:rFonts w:ascii="Times New Roman" w:hAnsi="Times New Roman"/>
          <w:sz w:val="20"/>
          <w:u w:val="single"/>
        </w:rPr>
        <w:t>Section 2.08(b)</w:t>
      </w:r>
      <w:r>
        <w:rPr>
          <w:rFonts w:ascii="Times New Roman" w:hAnsi="Times New Roman"/>
          <w:sz w:val="20"/>
        </w:rPr>
        <w:t xml:space="preserve"> shall be in an amount that is $3,000,000 or a larger multiple of $1,000,000 and (ii) GEO shall not terminate or reduce the Revolving Credit Commitments if, after giving effect to any concurrent prepayment of the Revolving Credit Loans in accordance with </w:t>
      </w:r>
      <w:r>
        <w:rPr>
          <w:rFonts w:ascii="Times New Roman" w:hAnsi="Times New Roman"/>
          <w:sz w:val="20"/>
          <w:u w:val="single"/>
        </w:rPr>
        <w:t>Section 2.10</w:t>
      </w:r>
      <w:r>
        <w:rPr>
          <w:rFonts w:ascii="Times New Roman" w:hAnsi="Times New Roman"/>
          <w:sz w:val="20"/>
        </w:rPr>
        <w:t xml:space="preserve">, the sum of the Revolving Credit Exposures would exceed the total Revolving Credit Commitments.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Notice of Voluntary Termination or Reduction</w:t>
      </w:r>
      <w:r>
        <w:rPr>
          <w:rFonts w:ascii="Times New Roman" w:hAnsi="Times New Roman"/>
          <w:sz w:val="20"/>
        </w:rPr>
        <w:t xml:space="preserve">. GEO shall notify the Administrative Agent of any election to terminate or reduce the Commitments of any Class under </w:t>
      </w:r>
      <w:r>
        <w:rPr>
          <w:rFonts w:ascii="Times New Roman" w:hAnsi="Times New Roman"/>
          <w:sz w:val="20"/>
          <w:u w:val="single"/>
        </w:rPr>
        <w:t>Section 2.08(b)</w:t>
      </w:r>
      <w:r>
        <w:rPr>
          <w:rFonts w:ascii="Times New Roman" w:hAnsi="Times New Roman"/>
          <w:sz w:val="20"/>
        </w:rPr>
        <w:t xml:space="preserve"> at least three Business Days prior to the effective date of such termination or reduction, specifying such election and the effective date thereof. Promptly following receipt of any notice, the Administrative Agent shall advise the Lenders of the contents thereof. Each notice delivered by GEO pursuant to this Section shall be irrevocable; </w:t>
      </w:r>
      <w:r>
        <w:rPr>
          <w:rFonts w:ascii="Times New Roman" w:hAnsi="Times New Roman"/>
          <w:sz w:val="20"/>
          <w:u w:val="single"/>
        </w:rPr>
        <w:t>provided</w:t>
      </w:r>
      <w:r>
        <w:rPr>
          <w:rFonts w:ascii="Times New Roman" w:hAnsi="Times New Roman"/>
          <w:sz w:val="20"/>
        </w:rPr>
        <w:t xml:space="preserve"> that a notice of termination of the Commitments of any Class delivered by GEO may state that such notice is conditioned upon the receipt of funds under other credit facilities, the effectiveness of other credit facilities or pursuant to an Equity Issuance, or the consummation of any transaction that would otherwise require the consent of one or more Lenders hereunder, in which case such notice may be revoked by GEO (by notice to the Administrative Agent on or prior to the specified effective date) if such condition is not satisfied.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Effect of Termination or Reduction</w:t>
      </w:r>
      <w:r>
        <w:rPr>
          <w:rFonts w:ascii="Times New Roman" w:hAnsi="Times New Roman"/>
          <w:sz w:val="20"/>
        </w:rPr>
        <w:t xml:space="preserve">. Any termination or reduction of the Commitments of any Class shall be permanent. Each reduction of the Commitments of any Class shall be made ratably among the Lenders in accordance with their respective Commitments of such Class.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Increase of the Revolving Credit Commitments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Requests for Increase</w:t>
      </w:r>
      <w:r>
        <w:rPr>
          <w:rFonts w:ascii="Times New Roman" w:hAnsi="Times New Roman"/>
          <w:sz w:val="20"/>
        </w:rPr>
        <w:t>. GEO may, from time to time at any time prior to the Revolving Credit Commitment Termination Date, propose that the Revolving Credit Commitments be increased (each such proposed increase being a “</w:t>
      </w:r>
      <w:r>
        <w:rPr>
          <w:rFonts w:ascii="Times New Roman" w:hAnsi="Times New Roman"/>
          <w:sz w:val="20"/>
          <w:u w:val="single"/>
        </w:rPr>
        <w:t>Revolving Credit Commitment Increase</w:t>
      </w:r>
      <w:r>
        <w:rPr>
          <w:rFonts w:ascii="Times New Roman" w:hAnsi="Times New Roman"/>
          <w:sz w:val="20"/>
        </w:rPr>
        <w:t>”) in an aggregate principal amount not to exceed the Incremental Amount. Each such proposal shall be made by notice to the Administrative Agent, specifying each existing Lender (each an “</w:t>
      </w:r>
      <w:r>
        <w:rPr>
          <w:rFonts w:ascii="Times New Roman" w:hAnsi="Times New Roman"/>
          <w:sz w:val="20"/>
          <w:u w:val="single"/>
        </w:rPr>
        <w:t>Increasing Lender</w:t>
      </w:r>
      <w:r>
        <w:rPr>
          <w:rFonts w:ascii="Times New Roman" w:hAnsi="Times New Roman"/>
          <w:sz w:val="20"/>
        </w:rPr>
        <w:t>”) and/or each additional lender (each an “</w:t>
      </w:r>
      <w:r>
        <w:rPr>
          <w:rFonts w:ascii="Times New Roman" w:hAnsi="Times New Roman"/>
          <w:sz w:val="20"/>
          <w:u w:val="single"/>
        </w:rPr>
        <w:t>Assuming Lender</w:t>
      </w:r>
      <w:r>
        <w:rPr>
          <w:rFonts w:ascii="Times New Roman" w:hAnsi="Times New Roman"/>
          <w:sz w:val="20"/>
        </w:rPr>
        <w:t>”) that shall have agreed (in its sole discretion) to increase or to assume a Revolving Credit Commitment and the date on which such increase or assumption is to be effective (the “</w:t>
      </w:r>
      <w:r>
        <w:rPr>
          <w:rFonts w:ascii="Times New Roman" w:hAnsi="Times New Roman"/>
          <w:sz w:val="20"/>
          <w:u w:val="single"/>
        </w:rPr>
        <w:t>Commitment Increase Date</w:t>
      </w:r>
      <w:r>
        <w:rPr>
          <w:rFonts w:ascii="Times New Roman" w:hAnsi="Times New Roman"/>
          <w:sz w:val="20"/>
        </w:rPr>
        <w:t xml:space="preserve">”), which shall be a Business Day at least three Business Days after delivery of such notice and at least 30 days prior to the Revolving Credit Commitment Termination Date; </w:t>
      </w:r>
      <w:r>
        <w:rPr>
          <w:rFonts w:ascii="Times New Roman" w:hAnsi="Times New Roman"/>
          <w:sz w:val="20"/>
          <w:u w:val="single"/>
        </w:rPr>
        <w:t>provided</w:t>
      </w:r>
      <w:r>
        <w:rPr>
          <w:rFonts w:ascii="Times New Roman" w:hAnsi="Times New Roman"/>
          <w:sz w:val="20"/>
        </w:rPr>
        <w:t xml:space="preserve"> that: </w:t>
      </w:r>
    </w:p>
    <w:p>
      <w:pPr>
        <w:pStyle w:val="TextBody"/>
        <w:bidi w:val="0"/>
        <w:spacing w:before="120" w:after="0"/>
        <w:jc w:val="left"/>
        <w:rPr>
          <w:rFonts w:ascii="Times New Roman" w:hAnsi="Times New Roman"/>
          <w:sz w:val="20"/>
        </w:rPr>
      </w:pPr>
      <w:r>
        <w:rPr>
          <w:rFonts w:ascii="Times New Roman" w:hAnsi="Times New Roman"/>
          <w:sz w:val="20"/>
        </w:rPr>
        <w:t xml:space="preserve">(A) the Pro Forma First Lien Leverage Ratio (assuming the full amount of such Revolving Credit Commitment Increase is drawn and without netting cash proceeds thereof) shall not exceed 2.75:1.00; </w:t>
      </w:r>
    </w:p>
    <w:p>
      <w:pPr>
        <w:pStyle w:val="TextBody"/>
        <w:bidi w:val="0"/>
        <w:spacing w:before="120" w:after="0"/>
        <w:jc w:val="left"/>
        <w:rPr>
          <w:rFonts w:ascii="Times New Roman" w:hAnsi="Times New Roman"/>
          <w:sz w:val="20"/>
        </w:rPr>
      </w:pPr>
      <w:r>
        <w:rPr>
          <w:rFonts w:ascii="Times New Roman" w:hAnsi="Times New Roman"/>
          <w:sz w:val="20"/>
        </w:rPr>
        <w:t xml:space="preserve">(B) the minimum amount of any such increase shall be (1) $20,000,000 or a larger multiple of $1,000,000 or (2) any other amount consented to by the Administrative Agent, and the minimum amount of the Revolving Credit Commitment of any Assuming Lender, and the minimum amount of the increase of the Revolving Credit Commitment of any Increasing Lender, as part of such Revolving Credit Commitment Increase shall be $5,000,000 or a larger multiple of $1,000,000 in excess thereof; </w:t>
      </w:r>
    </w:p>
    <w:p>
      <w:pPr>
        <w:pStyle w:val="TextBody"/>
        <w:bidi w:val="0"/>
        <w:spacing w:before="120" w:after="0"/>
        <w:jc w:val="left"/>
        <w:rPr>
          <w:rFonts w:ascii="Times New Roman" w:hAnsi="Times New Roman"/>
          <w:sz w:val="20"/>
        </w:rPr>
      </w:pPr>
      <w:r>
        <w:rPr>
          <w:rFonts w:ascii="Times New Roman" w:hAnsi="Times New Roman"/>
          <w:sz w:val="20"/>
        </w:rPr>
        <w:t xml:space="preserve">(C) [reserved]; </w:t>
      </w:r>
    </w:p>
    <w:p>
      <w:pPr>
        <w:pStyle w:val="TextBody"/>
        <w:bidi w:val="0"/>
        <w:spacing w:before="120" w:after="0"/>
        <w:jc w:val="left"/>
        <w:rPr>
          <w:rFonts w:ascii="Times New Roman" w:hAnsi="Times New Roman"/>
          <w:sz w:val="20"/>
        </w:rPr>
      </w:pPr>
      <w:r>
        <w:rPr>
          <w:rFonts w:ascii="Times New Roman" w:hAnsi="Times New Roman"/>
          <w:sz w:val="20"/>
        </w:rPr>
        <w:t xml:space="preserve">(D) GEO shall have delivered to the Administrative Agent a certificate of GEO stating that, on and as of such Commitment Increase Date, (i) no Default has occurred and is continuing and (ii) the representations and warranties contained in this Agreement are true and correct in all material respects as if made on and as of such date (or, if any such representation or warranty is expressly stated to have been made as of a specific date, as of such specific date); </w:t>
      </w:r>
    </w:p>
    <w:p>
      <w:pPr>
        <w:pStyle w:val="TextBody"/>
        <w:bidi w:val="0"/>
        <w:spacing w:before="120" w:after="0"/>
        <w:jc w:val="left"/>
        <w:rPr>
          <w:rFonts w:ascii="Times New Roman" w:hAnsi="Times New Roman"/>
          <w:sz w:val="20"/>
        </w:rPr>
      </w:pPr>
      <w:r>
        <w:rPr>
          <w:rFonts w:ascii="Times New Roman" w:hAnsi="Times New Roman"/>
          <w:sz w:val="20"/>
        </w:rPr>
        <w:t xml:space="preserve">(E) each Assuming Lender shall be acceptable to the Administrative Agent, each Issuing Lender and the Swingline Lender in the reasonable exercise of their discretion; and </w:t>
      </w:r>
    </w:p>
    <w:p>
      <w:pPr>
        <w:pStyle w:val="TextBody"/>
        <w:bidi w:val="0"/>
        <w:spacing w:before="120" w:after="0"/>
        <w:jc w:val="left"/>
        <w:rPr>
          <w:rFonts w:ascii="Times New Roman" w:hAnsi="Times New Roman"/>
          <w:sz w:val="20"/>
        </w:rPr>
      </w:pPr>
      <w:r>
        <w:rPr>
          <w:rFonts w:ascii="Times New Roman" w:hAnsi="Times New Roman"/>
          <w:sz w:val="20"/>
        </w:rPr>
        <w:t xml:space="preserve">(F) GEO shall be in compliance with </w:t>
      </w:r>
      <w:r>
        <w:rPr>
          <w:rFonts w:ascii="Times New Roman" w:hAnsi="Times New Roman"/>
          <w:sz w:val="20"/>
          <w:u w:val="single"/>
        </w:rPr>
        <w:t>Section 5.11(c)</w:t>
      </w:r>
      <w:r>
        <w:rPr>
          <w:rFonts w:ascii="Times New Roman" w:hAnsi="Times New Roman"/>
          <w:sz w:val="20"/>
        </w:rPr>
        <w:t xml:space="preserve"> as of such Commitment Increase Date.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Effectiveness of Revolving Credit Commitment Increase</w:t>
      </w:r>
      <w:r>
        <w:rPr>
          <w:rFonts w:ascii="Times New Roman" w:hAnsi="Times New Roman"/>
          <w:sz w:val="20"/>
        </w:rPr>
        <w:t xml:space="preserve">. Each Assuming Lender, if any, shall become a Revolving Credit Lender hereunder as of such Commitment Increase Date and the Revolving Credit Commitment of any Increasing Lender and such Assuming Lender shall be increased as of such Commitment Increase Date; </w:t>
      </w:r>
      <w:r>
        <w:rPr>
          <w:rFonts w:ascii="Times New Roman" w:hAnsi="Times New Roman"/>
          <w:sz w:val="20"/>
          <w:u w:val="single"/>
        </w:rPr>
        <w:t>provided</w:t>
      </w:r>
      <w:r>
        <w:rPr>
          <w:rFonts w:ascii="Times New Roman" w:hAnsi="Times New Roman"/>
          <w:sz w:val="20"/>
        </w:rPr>
        <w:t xml:space="preserve"> that: </w:t>
      </w:r>
    </w:p>
    <w:p>
      <w:pPr>
        <w:pStyle w:val="TextBody"/>
        <w:bidi w:val="0"/>
        <w:spacing w:before="120" w:after="0"/>
        <w:jc w:val="left"/>
        <w:rPr>
          <w:rFonts w:ascii="Times New Roman" w:hAnsi="Times New Roman"/>
          <w:sz w:val="20"/>
        </w:rPr>
      </w:pPr>
      <w:r>
        <w:rPr>
          <w:rFonts w:ascii="Times New Roman" w:hAnsi="Times New Roman"/>
          <w:sz w:val="20"/>
        </w:rPr>
        <w:t>(A) each Assuming Lender or Increasing Lender shall have delivered to the Administrative Agent, on or prior to 11:00 a.m., New York City time on such Commitment Increase Date (or on or prior to a later time on such date, or on an earlier date, in each case specified by the Administrative Agent in its reasonable discretion), an agreement (a “</w:t>
      </w:r>
      <w:r>
        <w:rPr>
          <w:rFonts w:ascii="Times New Roman" w:hAnsi="Times New Roman"/>
          <w:sz w:val="20"/>
          <w:u w:val="single"/>
        </w:rPr>
        <w:t xml:space="preserve">Revolving Credit Commitment Increase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u w:val="single"/>
        </w:rPr>
        <w:t>Amendment</w:t>
      </w:r>
      <w:r>
        <w:rPr>
          <w:rFonts w:ascii="Times New Roman" w:hAnsi="Times New Roman"/>
          <w:sz w:val="20"/>
        </w:rPr>
        <w:t xml:space="preserve">”), in form and substance reasonably satisfactory to GEO and the Administrative Agent, pursuant to which such Lender shall, effective as of such Commitment Increase Date, undertake a Revolving Credit Commitment or an increase of Revolving Credit Commitment duly executed by such Assuming Lender or Increasing Lender and each Borrower and acknowledged by the Administrative Agent; and </w:t>
      </w:r>
    </w:p>
    <w:p>
      <w:pPr>
        <w:pStyle w:val="TextBody"/>
        <w:bidi w:val="0"/>
        <w:spacing w:before="120" w:after="0"/>
        <w:jc w:val="left"/>
        <w:rPr>
          <w:rFonts w:ascii="Times New Roman" w:hAnsi="Times New Roman"/>
          <w:sz w:val="20"/>
        </w:rPr>
      </w:pPr>
      <w:r>
        <w:rPr>
          <w:rFonts w:ascii="Times New Roman" w:hAnsi="Times New Roman"/>
          <w:sz w:val="20"/>
        </w:rPr>
        <w:t xml:space="preserve">(B) the Administrative Agent shall have received on or prior to 11:00 a.m., New York City time, on such Commitment Increase Date (or on or prior to a later time on such date, or on an earlier date, in each case specified by the Administrative Agent in its reasonable discretion) such proof of corporate action, opinions of counsel and other documents as is consistent with those delivered by the Borrowers pursuant to </w:t>
      </w:r>
      <w:r>
        <w:rPr>
          <w:rFonts w:ascii="Times New Roman" w:hAnsi="Times New Roman"/>
          <w:sz w:val="20"/>
          <w:u w:val="single"/>
        </w:rPr>
        <w:t>Section 4.01</w:t>
      </w:r>
      <w:r>
        <w:rPr>
          <w:rFonts w:ascii="Times New Roman" w:hAnsi="Times New Roman"/>
          <w:sz w:val="20"/>
        </w:rPr>
        <w:t xml:space="preserve"> and reasonably requested by the Administrative Agent, any Assuming Lender and/or any Increasing Lender in connection with such Revolving Credit Commitment Increase. </w:t>
      </w:r>
    </w:p>
    <w:p>
      <w:pPr>
        <w:pStyle w:val="TextBody"/>
        <w:bidi w:val="0"/>
        <w:spacing w:before="240" w:after="0"/>
        <w:jc w:val="left"/>
        <w:rPr>
          <w:rFonts w:ascii="Times New Roman" w:hAnsi="Times New Roman"/>
          <w:sz w:val="20"/>
        </w:rPr>
      </w:pPr>
      <w:r>
        <w:rPr>
          <w:rFonts w:ascii="Times New Roman" w:hAnsi="Times New Roman"/>
          <w:sz w:val="20"/>
        </w:rPr>
        <w:t xml:space="preserve">Promptly following satisfaction of such conditions, the Administrative Agent shall notify the Lenders (including any Assuming Lenders) thereof and of the occurrence of the Commitment Increase Date. </w:t>
      </w:r>
    </w:p>
    <w:p>
      <w:pPr>
        <w:pStyle w:val="TextBody"/>
        <w:bidi w:val="0"/>
        <w:spacing w:before="12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Recordation into Register</w:t>
      </w:r>
      <w:r>
        <w:rPr>
          <w:rFonts w:ascii="Times New Roman" w:hAnsi="Times New Roman"/>
          <w:sz w:val="20"/>
        </w:rPr>
        <w:t xml:space="preserve">. Upon its receipt of a Revolving Credit Commitment Increase Amendment (together with any applicable Lender Addendum) executed by an Assuming Lender or any Increasing Lender, together with the certificate referred to in </w:t>
      </w:r>
      <w:r>
        <w:rPr>
          <w:rFonts w:ascii="Times New Roman" w:hAnsi="Times New Roman"/>
          <w:sz w:val="20"/>
          <w:u w:val="single"/>
        </w:rPr>
        <w:t>clause (i)(D)</w:t>
      </w:r>
      <w:r>
        <w:rPr>
          <w:rFonts w:ascii="Times New Roman" w:hAnsi="Times New Roman"/>
          <w:sz w:val="20"/>
        </w:rPr>
        <w:t xml:space="preserve"> above and the satisfaction of the conditions referred to in </w:t>
      </w:r>
      <w:r>
        <w:rPr>
          <w:rFonts w:ascii="Times New Roman" w:hAnsi="Times New Roman"/>
          <w:sz w:val="20"/>
          <w:u w:val="single"/>
        </w:rPr>
        <w:t>clause (ii)(B)</w:t>
      </w:r>
      <w:r>
        <w:rPr>
          <w:rFonts w:ascii="Times New Roman" w:hAnsi="Times New Roman"/>
          <w:sz w:val="20"/>
        </w:rPr>
        <w:t xml:space="preserve"> above, the Administrative Agent shall, if such agreement (and any applicable Lender Addendum) has been completed, (x) accept such agreement (and any Lender Addenda thereto), (y) record the information contained therein in the Register and (z) give prompt notice thereof to GEO. </w:t>
      </w:r>
    </w:p>
    <w:p>
      <w:pPr>
        <w:pStyle w:val="TextBody"/>
        <w:bidi w:val="0"/>
        <w:spacing w:before="120" w:after="0"/>
        <w:jc w:val="left"/>
        <w:rPr>
          <w:rFonts w:ascii="Times New Roman" w:hAnsi="Times New Roman"/>
          <w:sz w:val="20"/>
        </w:rPr>
      </w:pPr>
      <w:r>
        <w:rPr>
          <w:rFonts w:ascii="Times New Roman" w:hAnsi="Times New Roman"/>
          <w:sz w:val="20"/>
        </w:rPr>
        <w:t xml:space="preserve">(iv) </w:t>
      </w:r>
      <w:r>
        <w:rPr>
          <w:rFonts w:ascii="Times New Roman" w:hAnsi="Times New Roman"/>
          <w:sz w:val="20"/>
          <w:u w:val="single"/>
        </w:rPr>
        <w:t>Adjustments of Borrowings</w:t>
      </w:r>
      <w:r>
        <w:rPr>
          <w:rFonts w:ascii="Times New Roman" w:hAnsi="Times New Roman"/>
          <w:sz w:val="20"/>
        </w:rPr>
        <w:t xml:space="preserve">. On the Commitment Increase Date, the Borrowers shall (A) prepay in full the outstanding Revolving Credit Loans (if any) made to them, (B) simultaneously borrow new Revolving Credit Loans hereunder in an amount equal to such prepayment and (C) pay to the Revolving Credit Lenders the amounts, if any, payable under </w:t>
      </w:r>
      <w:r>
        <w:rPr>
          <w:rFonts w:ascii="Times New Roman" w:hAnsi="Times New Roman"/>
          <w:sz w:val="20"/>
          <w:u w:val="single"/>
        </w:rPr>
        <w:t>Section 2.14</w:t>
      </w:r>
      <w:r>
        <w:rPr>
          <w:rFonts w:ascii="Times New Roman" w:hAnsi="Times New Roman"/>
          <w:sz w:val="20"/>
        </w:rPr>
        <w:t xml:space="preserve"> as a result of any such prepayment; </w:t>
      </w:r>
      <w:r>
        <w:rPr>
          <w:rFonts w:ascii="Times New Roman" w:hAnsi="Times New Roman"/>
          <w:sz w:val="20"/>
          <w:u w:val="single"/>
        </w:rPr>
        <w:t>provided</w:t>
      </w:r>
      <w:r>
        <w:rPr>
          <w:rFonts w:ascii="Times New Roman" w:hAnsi="Times New Roman"/>
          <w:sz w:val="20"/>
        </w:rPr>
        <w:t xml:space="preserve"> that with respect to </w:t>
      </w:r>
      <w:r>
        <w:rPr>
          <w:rFonts w:ascii="Times New Roman" w:hAnsi="Times New Roman"/>
          <w:sz w:val="20"/>
          <w:u w:val="single"/>
        </w:rPr>
        <w:t>subclauses (A)</w:t>
      </w:r>
      <w:r>
        <w:rPr>
          <w:rFonts w:ascii="Times New Roman" w:hAnsi="Times New Roman"/>
          <w:sz w:val="20"/>
        </w:rPr>
        <w:t xml:space="preserve"> and </w:t>
      </w:r>
      <w:r>
        <w:rPr>
          <w:rFonts w:ascii="Times New Roman" w:hAnsi="Times New Roman"/>
          <w:sz w:val="20"/>
          <w:u w:val="single"/>
        </w:rPr>
        <w:t>(B)</w:t>
      </w:r>
      <w:r>
        <w:rPr>
          <w:rFonts w:ascii="Times New Roman" w:hAnsi="Times New Roman"/>
          <w:sz w:val="20"/>
        </w:rPr>
        <w:t xml:space="preserve"> hereinabove, (x) the prepayment to, and borrowing from, any existing Lender shall be effected by book entry to the extent that any portion of the amount prepaid to such Lender will be subsequently borrowed from such Lender and (y) the existing Lenders, the Increasing Lenders and the Assuming Lenders shall make and receive payments among themselves, in a manner acceptable to the Administrative Agent, so that, after giving effect thereto, the Revolving Credit Borrowings are held ratably by the Revolving Credit Lenders in accordance with the respective Revolving Credit Commitments of the Revolving Credit Lenders (after giving effect to such Revolving Credit Commitment Increase). Concurrently therewith, the Revolving Credit Lenders shall be deemed to have adjusted their participation interests in any outstanding Letters of Credit and Swingline Loans so that such interests are held ratably in accordance with their Revolving Credit Commitments as so increased.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2.09 </w:t>
      </w:r>
      <w:r>
        <w:rPr>
          <w:rFonts w:ascii="Times New Roman" w:hAnsi="Times New Roman"/>
          <w:sz w:val="20"/>
          <w:u w:val="single"/>
        </w:rPr>
        <w:t>Repayment of Loans; Evidence of Debt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Term Loan Repayment</w:t>
      </w:r>
      <w:r>
        <w:rPr>
          <w:rFonts w:ascii="Times New Roman" w:hAnsi="Times New Roman"/>
          <w:sz w:val="20"/>
        </w:rPr>
        <w:t xml:space="preserve">. GEO hereby unconditionally promises to repay: </w:t>
      </w:r>
    </w:p>
    <w:p>
      <w:pPr>
        <w:pStyle w:val="TextBody"/>
        <w:bidi w:val="0"/>
        <w:spacing w:before="120" w:after="0"/>
        <w:jc w:val="left"/>
        <w:rPr>
          <w:rFonts w:ascii="Times New Roman" w:hAnsi="Times New Roman"/>
          <w:sz w:val="20"/>
        </w:rPr>
      </w:pPr>
      <w:r>
        <w:rPr>
          <w:rFonts w:ascii="Times New Roman" w:hAnsi="Times New Roman"/>
          <w:sz w:val="20"/>
        </w:rPr>
        <w:t xml:space="preserve">(i) [reserved]; </w:t>
      </w:r>
    </w:p>
    <w:p>
      <w:pPr>
        <w:pStyle w:val="TextBody"/>
        <w:bidi w:val="0"/>
        <w:spacing w:before="120" w:after="0"/>
        <w:jc w:val="left"/>
        <w:rPr>
          <w:rFonts w:ascii="Times New Roman" w:hAnsi="Times New Roman"/>
          <w:sz w:val="20"/>
        </w:rPr>
      </w:pPr>
      <w:r>
        <w:rPr>
          <w:rFonts w:ascii="Times New Roman" w:hAnsi="Times New Roman"/>
          <w:sz w:val="20"/>
        </w:rPr>
        <w:t xml:space="preserve">(ii) [reserved]; </w:t>
      </w:r>
    </w:p>
    <w:p>
      <w:pPr>
        <w:pStyle w:val="TextBody"/>
        <w:bidi w:val="0"/>
        <w:spacing w:before="120" w:after="0"/>
        <w:jc w:val="left"/>
        <w:rPr>
          <w:rFonts w:ascii="Times New Roman" w:hAnsi="Times New Roman"/>
          <w:sz w:val="20"/>
        </w:rPr>
      </w:pPr>
      <w:r>
        <w:rPr>
          <w:rFonts w:ascii="Times New Roman" w:hAnsi="Times New Roman"/>
          <w:sz w:val="20"/>
        </w:rPr>
        <w:t xml:space="preserve">(iii) [reserved]; and </w:t>
      </w:r>
    </w:p>
    <w:p>
      <w:pPr>
        <w:pStyle w:val="TextBody"/>
        <w:bidi w:val="0"/>
        <w:spacing w:before="120" w:after="0"/>
        <w:jc w:val="left"/>
        <w:rPr>
          <w:rFonts w:ascii="Times New Roman" w:hAnsi="Times New Roman"/>
          <w:sz w:val="20"/>
        </w:rPr>
      </w:pPr>
      <w:r>
        <w:rPr>
          <w:rFonts w:ascii="Times New Roman" w:hAnsi="Times New Roman"/>
          <w:sz w:val="20"/>
        </w:rPr>
        <w:t xml:space="preserve">(iv) any Incremental Term Loans to the Administrative Agent, for the account of each Incremental Lender of any Series, the principal of the Incremental Term Loans of such Series on the dates and in the amounts specified in the agreement establishing such Series pursuant to </w:t>
      </w:r>
      <w:r>
        <w:rPr>
          <w:rFonts w:ascii="Times New Roman" w:hAnsi="Times New Roman"/>
          <w:sz w:val="20"/>
          <w:u w:val="single"/>
        </w:rPr>
        <w:t>Section 2.01(e)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Revolving Credit Loans Repayment</w:t>
      </w:r>
      <w:r>
        <w:rPr>
          <w:rFonts w:ascii="Times New Roman" w:hAnsi="Times New Roman"/>
          <w:sz w:val="20"/>
        </w:rPr>
        <w:t xml:space="preserve">. The Borrowers hereby unconditionally promise to repay: </w:t>
      </w:r>
    </w:p>
    <w:p>
      <w:pPr>
        <w:pStyle w:val="TextBody"/>
        <w:bidi w:val="0"/>
        <w:spacing w:before="120" w:after="0"/>
        <w:jc w:val="left"/>
        <w:rPr>
          <w:rFonts w:ascii="Times New Roman" w:hAnsi="Times New Roman"/>
          <w:sz w:val="20"/>
        </w:rPr>
      </w:pPr>
      <w:r>
        <w:rPr>
          <w:rFonts w:ascii="Times New Roman" w:hAnsi="Times New Roman"/>
          <w:sz w:val="20"/>
        </w:rPr>
        <w:t xml:space="preserve">(i) to the Administrative Agent, for the account of the Revolving Credit Lenders, an amount equal to the aggregate principal amount of the Revolving Credit Loans outstanding on the Revolving Credit Commitment Termination Date; and </w:t>
      </w:r>
    </w:p>
    <w:p>
      <w:pPr>
        <w:pStyle w:val="TextBody"/>
        <w:bidi w:val="0"/>
        <w:spacing w:before="120" w:after="0"/>
        <w:jc w:val="left"/>
        <w:rPr>
          <w:rFonts w:ascii="Times New Roman" w:hAnsi="Times New Roman"/>
          <w:sz w:val="20"/>
        </w:rPr>
      </w:pPr>
      <w:r>
        <w:rPr>
          <w:rFonts w:ascii="Times New Roman" w:hAnsi="Times New Roman"/>
          <w:sz w:val="20"/>
        </w:rPr>
        <w:t xml:space="preserve">(ii) the then unpaid principal amount of each Swingline Loan made by the Swingline Lender to the Swingline Lender or, to the extent required by </w:t>
      </w:r>
      <w:r>
        <w:rPr>
          <w:rFonts w:ascii="Times New Roman" w:hAnsi="Times New Roman"/>
          <w:sz w:val="20"/>
          <w:u w:val="single"/>
        </w:rPr>
        <w:t>Section 2.04(c)</w:t>
      </w:r>
      <w:r>
        <w:rPr>
          <w:rFonts w:ascii="Times New Roman" w:hAnsi="Times New Roman"/>
          <w:sz w:val="20"/>
        </w:rPr>
        <w:t xml:space="preserve">, to the Administrative Agent, for the account of the Revolving Credit Lenders, on the earlier of the Revolving Credit Commitment Termination Date and the first date after such Swingline Loan is made that is the 15th or last day of a calendar month and is at least two Business Days after such Swingline Loan is made; </w:t>
      </w:r>
      <w:r>
        <w:rPr>
          <w:rFonts w:ascii="Times New Roman" w:hAnsi="Times New Roman"/>
          <w:sz w:val="20"/>
          <w:u w:val="single"/>
        </w:rPr>
        <w:t>provided</w:t>
      </w:r>
      <w:r>
        <w:rPr>
          <w:rFonts w:ascii="Times New Roman" w:hAnsi="Times New Roman"/>
          <w:sz w:val="20"/>
        </w:rPr>
        <w:t xml:space="preserve"> that on each date that a Revolving Credit Borrowing is made, the Borrowers shall repay all Swingline Loans then outstanding.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Adjustment of Amortization Schedule</w:t>
      </w:r>
      <w:r>
        <w:rPr>
          <w:rFonts w:ascii="Times New Roman" w:hAnsi="Times New Roman"/>
          <w:sz w:val="20"/>
        </w:rPr>
        <w:t xml:space="preserve">. Any prepayment of a Term Borrowing of any Class, shall be applied to reduce the subsequent scheduled repayments of the applicable Term Borrowings to be made pursuant to this </w:t>
      </w:r>
      <w:r>
        <w:rPr>
          <w:rFonts w:ascii="Times New Roman" w:hAnsi="Times New Roman"/>
          <w:sz w:val="20"/>
          <w:u w:val="single"/>
        </w:rPr>
        <w:t>Section 2.09</w:t>
      </w:r>
      <w:r>
        <w:rPr>
          <w:rFonts w:ascii="Times New Roman" w:hAnsi="Times New Roman"/>
          <w:sz w:val="20"/>
        </w:rPr>
        <w:t xml:space="preserve"> (i) in the case of any optional prepayment of Term Loans pursuant to </w:t>
      </w:r>
      <w:r>
        <w:rPr>
          <w:rFonts w:ascii="Times New Roman" w:hAnsi="Times New Roman"/>
          <w:sz w:val="20"/>
          <w:u w:val="single"/>
        </w:rPr>
        <w:t>Section 2.10(a)</w:t>
      </w:r>
      <w:r>
        <w:rPr>
          <w:rFonts w:ascii="Times New Roman" w:hAnsi="Times New Roman"/>
          <w:sz w:val="20"/>
        </w:rPr>
        <w:t xml:space="preserve">, as directed by GEO and (ii) in the case of any mandatory prepayment of Term Loans pursuant to </w:t>
      </w:r>
      <w:r>
        <w:rPr>
          <w:rFonts w:ascii="Times New Roman" w:hAnsi="Times New Roman"/>
          <w:sz w:val="20"/>
          <w:u w:val="single"/>
        </w:rPr>
        <w:t>Section 2.10(b)</w:t>
      </w:r>
      <w:r>
        <w:rPr>
          <w:rFonts w:ascii="Times New Roman" w:hAnsi="Times New Roman"/>
          <w:sz w:val="20"/>
        </w:rPr>
        <w:t xml:space="preserve">, in direct order of maturity.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Manner of Payment</w:t>
      </w:r>
      <w:r>
        <w:rPr>
          <w:rFonts w:ascii="Times New Roman" w:hAnsi="Times New Roman"/>
          <w:sz w:val="20"/>
        </w:rPr>
        <w:t xml:space="preserve">. Prior to any repayment or prepayment of any Borrowings of any Class hereunder, and subject (in the case of a prepayment) to any applicable provisions of </w:t>
      </w:r>
      <w:r>
        <w:rPr>
          <w:rFonts w:ascii="Times New Roman" w:hAnsi="Times New Roman"/>
          <w:sz w:val="20"/>
          <w:u w:val="single"/>
        </w:rPr>
        <w:t>Section 2.10</w:t>
      </w:r>
      <w:r>
        <w:rPr>
          <w:rFonts w:ascii="Times New Roman" w:hAnsi="Times New Roman"/>
          <w:sz w:val="20"/>
        </w:rPr>
        <w:t xml:space="preserve">, GEO shall select the Borrowing or Borrowings of the applicable Class to be paid and shall notify the Administrative Agent in writing of such selection not later than 1:00 p.m., New York City time, three Business Days before the scheduled date of such repayment; </w:t>
      </w:r>
      <w:r>
        <w:rPr>
          <w:rFonts w:ascii="Times New Roman" w:hAnsi="Times New Roman"/>
          <w:sz w:val="20"/>
          <w:u w:val="single"/>
        </w:rPr>
        <w:t>provided</w:t>
      </w:r>
      <w:r>
        <w:rPr>
          <w:rFonts w:ascii="Times New Roman" w:hAnsi="Times New Roman"/>
          <w:sz w:val="20"/>
        </w:rPr>
        <w:t xml:space="preserve"> that each repayment of Borrowings of any Class shall be applied to repay any outstanding ABR Borrowings of such Class before any other Borrowings of such Class. If GEO fails to make a timely selection of the Borrowing or Borrowings to be repaid or prepaid, such payment shall be applied, </w:t>
      </w:r>
      <w:r>
        <w:rPr>
          <w:rFonts w:ascii="Times New Roman" w:hAnsi="Times New Roman"/>
          <w:sz w:val="20"/>
          <w:u w:val="single"/>
        </w:rPr>
        <w:t>first</w:t>
      </w:r>
      <w:r>
        <w:rPr>
          <w:rFonts w:ascii="Times New Roman" w:hAnsi="Times New Roman"/>
          <w:sz w:val="20"/>
        </w:rPr>
        <w:t xml:space="preserve">, to pay any outstanding ABR Borrowings of the applicable Class and, </w:t>
      </w:r>
      <w:r>
        <w:rPr>
          <w:rFonts w:ascii="Times New Roman" w:hAnsi="Times New Roman"/>
          <w:sz w:val="20"/>
          <w:u w:val="single"/>
        </w:rPr>
        <w:t>second</w:t>
      </w:r>
      <w:r>
        <w:rPr>
          <w:rFonts w:ascii="Times New Roman" w:hAnsi="Times New Roman"/>
          <w:sz w:val="20"/>
        </w:rPr>
        <w:t xml:space="preserve">, to other Borrowings of such Class in the order of the remaining duration of their respective Interest Periods (the Borrowing with the shortest remaining Interest Period to be repaid first). Each payment of a Borrowing shall be applied ratably to the Loans included in such Borrowing.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Maintenance of Records by Lenders</w:t>
      </w:r>
      <w:r>
        <w:rPr>
          <w:rFonts w:ascii="Times New Roman" w:hAnsi="Times New Roman"/>
          <w:sz w:val="20"/>
        </w:rPr>
        <w:t xml:space="preserve">. Each Lender shall maintain in accordance with its usual practice records evidencing the indebtedness of the Borrowers to such Lender resulting from each Loan made by such Lender, including the amounts of principal and interest payable and paid to such Lender from time to time hereunder.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Maintenance of Records by the Administrative Agent</w:t>
      </w:r>
      <w:r>
        <w:rPr>
          <w:rFonts w:ascii="Times New Roman" w:hAnsi="Times New Roman"/>
          <w:sz w:val="20"/>
        </w:rPr>
        <w:t xml:space="preserve">. The Administrative Agent shall maintain records in which it shall record (i) the amount of each Loan made hereunder, the Class and Type thereof and each Interest Period therefor, (ii) the amount of any principal or interest due and payable or to become due and payable from the Borrowers to each Lender hereunder and (iii) the amount of any sum received by the Administrative Agent hereunder for the account of the Lenders and each Lender’s share thereof.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Effect of Entries</w:t>
      </w:r>
      <w:r>
        <w:rPr>
          <w:rFonts w:ascii="Times New Roman" w:hAnsi="Times New Roman"/>
          <w:sz w:val="20"/>
        </w:rPr>
        <w:t xml:space="preserve">. The entries made in the records maintained pursuant to </w:t>
      </w:r>
      <w:r>
        <w:rPr>
          <w:rFonts w:ascii="Times New Roman" w:hAnsi="Times New Roman"/>
          <w:sz w:val="20"/>
          <w:u w:val="single"/>
        </w:rPr>
        <w:t>Sections 2.09(e)</w:t>
      </w:r>
      <w:r>
        <w:rPr>
          <w:rFonts w:ascii="Times New Roman" w:hAnsi="Times New Roman"/>
          <w:sz w:val="20"/>
        </w:rPr>
        <w:t xml:space="preserve"> or </w:t>
      </w:r>
      <w:r>
        <w:rPr>
          <w:rFonts w:ascii="Times New Roman" w:hAnsi="Times New Roman"/>
          <w:sz w:val="20"/>
          <w:u w:val="single"/>
        </w:rPr>
        <w:t>(f)</w:t>
      </w:r>
      <w:r>
        <w:rPr>
          <w:rFonts w:ascii="Times New Roman" w:hAnsi="Times New Roman"/>
          <w:sz w:val="20"/>
        </w:rPr>
        <w:t xml:space="preserve"> shall be </w:t>
      </w:r>
      <w:r>
        <w:rPr>
          <w:rFonts w:ascii="Times New Roman" w:hAnsi="Times New Roman"/>
          <w:sz w:val="20"/>
          <w:u w:val="single"/>
        </w:rPr>
        <w:t>prima facie</w:t>
      </w:r>
      <w:r>
        <w:rPr>
          <w:rFonts w:ascii="Times New Roman" w:hAnsi="Times New Roman"/>
          <w:sz w:val="20"/>
        </w:rPr>
        <w:t xml:space="preserve"> evidence, absent manifest error, of the existence and amounts of the obligations recorded therein; </w:t>
      </w:r>
      <w:r>
        <w:rPr>
          <w:rFonts w:ascii="Times New Roman" w:hAnsi="Times New Roman"/>
          <w:sz w:val="20"/>
          <w:u w:val="single"/>
        </w:rPr>
        <w:t>provided</w:t>
      </w:r>
      <w:r>
        <w:rPr>
          <w:rFonts w:ascii="Times New Roman" w:hAnsi="Times New Roman"/>
          <w:sz w:val="20"/>
        </w:rPr>
        <w:t xml:space="preserve"> that the failure of any Lender or the Administrative Agent to maintain such records or any error therein shall not in any manner affect the obligation of the Borrowers to repay the Loans in accordance with the terms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Promissory Notes</w:t>
      </w:r>
      <w:r>
        <w:rPr>
          <w:rFonts w:ascii="Times New Roman" w:hAnsi="Times New Roman"/>
          <w:sz w:val="20"/>
        </w:rPr>
        <w:t xml:space="preserve">. Any Lender may request that Loans of any Class made by it be evidenced by a Note. In such event, GEO (in the case of any Term Loan Note) or the Borrowers (in the case of any Revolving Credit Loan Note), as applicable, shall prepare, execute and deliver to such Lender (with a copy to the Administrative Agent) a Note payable to such Lender and its registered assigns. </w:t>
      </w:r>
    </w:p>
    <w:p>
      <w:pPr>
        <w:pStyle w:val="TextBody"/>
        <w:bidi w:val="0"/>
        <w:spacing w:before="240" w:after="0"/>
        <w:jc w:val="left"/>
        <w:rPr>
          <w:rFonts w:ascii="Times New Roman" w:hAnsi="Times New Roman"/>
          <w:sz w:val="20"/>
        </w:rPr>
      </w:pPr>
      <w:r>
        <w:rPr>
          <w:rFonts w:ascii="Times New Roman" w:hAnsi="Times New Roman"/>
          <w:sz w:val="20"/>
        </w:rPr>
        <w:t xml:space="preserve">Section 2.10 </w:t>
      </w:r>
      <w:r>
        <w:rPr>
          <w:rFonts w:ascii="Times New Roman" w:hAnsi="Times New Roman"/>
          <w:sz w:val="20"/>
          <w:u w:val="single"/>
        </w:rPr>
        <w:t>Prepayment of Loans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Optional Prepayments</w:t>
      </w:r>
      <w:r>
        <w:rPr>
          <w:rFonts w:ascii="Times New Roman" w:hAnsi="Times New Roman"/>
          <w:sz w:val="20"/>
        </w:rPr>
        <w:t xml:space="preserve">. GEO or Corrections, as applicable, shall have the right at any time and from time to time to prepay any Borrowing in whole or in part, subject to the requirements of this Section and, if applicable, </w:t>
      </w:r>
      <w:r>
        <w:rPr>
          <w:rFonts w:ascii="Times New Roman" w:hAnsi="Times New Roman"/>
          <w:sz w:val="20"/>
          <w:u w:val="single"/>
        </w:rPr>
        <w:t>Section 2.22</w:t>
      </w:r>
      <w:r>
        <w:rPr>
          <w:rFonts w:ascii="Times New Roman" w:hAnsi="Times New Roman"/>
          <w:sz w:val="20"/>
        </w:rPr>
        <w:t xml:space="preserve">. In the event that all or any portion of the Term Loans are prepaid (including by conversion, extension or amendment with similar effect) pursuant to this </w:t>
      </w:r>
      <w:r>
        <w:rPr>
          <w:rFonts w:ascii="Times New Roman" w:hAnsi="Times New Roman"/>
          <w:sz w:val="20"/>
          <w:u w:val="single"/>
        </w:rPr>
        <w:t>Section 2.10(a)</w:t>
      </w:r>
      <w:r>
        <w:rPr>
          <w:rFonts w:ascii="Times New Roman" w:hAnsi="Times New Roman"/>
          <w:sz w:val="20"/>
        </w:rPr>
        <w:t xml:space="preserve">, GEO shall pay in cash to the Administrative Agent, for the ratable account of each of the Term Lenders, a Prepayment Premium pursuant to </w:t>
      </w:r>
      <w:r>
        <w:rPr>
          <w:rFonts w:ascii="Times New Roman" w:hAnsi="Times New Roman"/>
          <w:sz w:val="20"/>
          <w:u w:val="single"/>
        </w:rPr>
        <w:t xml:space="preserve">Section 2.10(d), </w:t>
      </w:r>
      <w:r>
        <w:rPr>
          <w:rFonts w:ascii="Times New Roman" w:hAnsi="Times New Roman"/>
          <w:sz w:val="20"/>
        </w:rPr>
        <w:t xml:space="preserve">if any. Each prepayment of Revolving Credit Loans pursuant to this </w:t>
      </w:r>
      <w:r>
        <w:rPr>
          <w:rFonts w:ascii="Times New Roman" w:hAnsi="Times New Roman"/>
          <w:sz w:val="20"/>
          <w:u w:val="single"/>
        </w:rPr>
        <w:t>Section 2.10(a)</w:t>
      </w:r>
      <w:r>
        <w:rPr>
          <w:rFonts w:ascii="Times New Roman" w:hAnsi="Times New Roman"/>
          <w:sz w:val="20"/>
        </w:rPr>
        <w:t xml:space="preserve"> shall be without a prepayment premium.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Mandatory Prepayments</w:t>
      </w:r>
      <w:r>
        <w:rPr>
          <w:rFonts w:ascii="Times New Roman" w:hAnsi="Times New Roman"/>
          <w:sz w:val="20"/>
        </w:rPr>
        <w:t xml:space="preserve">. GEO or Corrections, as applicable, will prepay the Loans as follows: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Casualty Events</w:t>
      </w:r>
      <w:r>
        <w:rPr>
          <w:rFonts w:ascii="Times New Roman" w:hAnsi="Times New Roman"/>
          <w:sz w:val="20"/>
        </w:rPr>
        <w:t xml:space="preserve">. Upon the date 270 days following the receipt by GEO or any of its Restricted Subsidiaries of the proceeds of insurance, condemnation award or other compensation in respect of any Casualty Event after the Effective Date affecting any property of GEO or any of its Restricted Subsidiaries (or upon such earlier date as GEO or such Restricted Subsidiary, as the case may be, shall have determined not to repair or replace the property affected by such Casualty Event), so long as the aggregate amount of Net Available Proceeds of such Casualty Event exceeds $5,000,000, GEO or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Borrowers, as applicable, shall prepay the Loans in an aggregate amount, if any, equal to 100% of the Net Available Proceeds of such Casualty Event not theretofore applied or committed to be applied (and if committed to be applied, not actually applied within 450 days following the receipt of such proceeds) to the repair or replacement of such property, such prepayment and/or reduction to be effected in each case in the manner and to the extent specified in </w:t>
      </w:r>
      <w:r>
        <w:rPr>
          <w:rFonts w:ascii="Times New Roman" w:hAnsi="Times New Roman"/>
          <w:sz w:val="20"/>
          <w:u w:val="single"/>
        </w:rPr>
        <w:t>Section 2.10(b)(v)</w:t>
      </w:r>
      <w:r>
        <w:rPr>
          <w:rFonts w:ascii="Times New Roman" w:hAnsi="Times New Roman"/>
          <w:sz w:val="20"/>
        </w:rPr>
        <w:t xml:space="preserve">. Notwithstanding anything in this Agreement or in any of the Security Documents to the contrary, neither GEO nor any of its Subsidiaries shall have any obligation to cause the payor of any proceeds of insurance or other compensation received in respect of any Casualty Event that is not a Condemnation Event to remit such proceeds an account in the name of the Administrative Agent; provided however, nothing in this </w:t>
      </w:r>
      <w:r>
        <w:rPr>
          <w:rFonts w:ascii="Times New Roman" w:hAnsi="Times New Roman"/>
          <w:sz w:val="20"/>
          <w:u w:val="single"/>
        </w:rPr>
        <w:t>clause (i)</w:t>
      </w:r>
      <w:r>
        <w:rPr>
          <w:rFonts w:ascii="Times New Roman" w:hAnsi="Times New Roman"/>
          <w:sz w:val="20"/>
        </w:rPr>
        <w:t xml:space="preserve"> shall be deemed to limit any obligation of GEO or any of its Restricted Subsidiaries pursuant to any of the Security Documents to remit to a collateral or similar account in which the Administrative Agent has a perfected security interest the proceeds of insurance, condemnation award or other compensation received in respect of any Casualty Event.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Sale of Assets</w:t>
      </w:r>
      <w:r>
        <w:rPr>
          <w:rFonts w:ascii="Times New Roman" w:hAnsi="Times New Roman"/>
          <w:sz w:val="20"/>
        </w:rPr>
        <w:t xml:space="preserve">. If (A)(x) the Net Available Proceeds of any individual Disposition received after the Effective Date exceed $5,000,000 and are equal to or less than $50,000,000 and (y) the Pro Forma Total Leverage Ratio (including after giving effect to such Disposition) exceeds 3.50:1.00 or (B) the Net Available Proceeds of any individual Disposition received after the Effective Date exceed $50,000,000, then, in each case, promptly upon the consummation of such Disposition (and in any event within 5 Business Days thereof), GEO or the Borrowers, as applicable, will prepay the Loans in an aggregate amount equal to 100% of the Net Available Proceeds of such Disposition, such prepayment and/or reduction to be effected in each case in the manner and to the extent specified in </w:t>
      </w:r>
      <w:r>
        <w:rPr>
          <w:rFonts w:ascii="Times New Roman" w:hAnsi="Times New Roman"/>
          <w:sz w:val="20"/>
          <w:u w:val="single"/>
        </w:rPr>
        <w:t>Section 2.10(b)(v)</w:t>
      </w:r>
      <w:r>
        <w:rPr>
          <w:rFonts w:ascii="Times New Roman" w:hAnsi="Times New Roman"/>
          <w:sz w:val="20"/>
        </w:rPr>
        <w:t xml:space="preserve">. Notwithstanding the foregoing, GEO or the Borrowers, as applicable, shall not be required to make a prepayment pursuant to this </w:t>
      </w:r>
      <w:r>
        <w:rPr>
          <w:rFonts w:ascii="Times New Roman" w:hAnsi="Times New Roman"/>
          <w:sz w:val="20"/>
          <w:u w:val="single"/>
        </w:rPr>
        <w:t>Section 2.10(b)(ii)</w:t>
      </w:r>
      <w:r>
        <w:rPr>
          <w:rFonts w:ascii="Times New Roman" w:hAnsi="Times New Roman"/>
          <w:sz w:val="20"/>
        </w:rPr>
        <w:t xml:space="preserve"> with respect to the Net Available Proceeds from any Disposition, if (x) no Default shall have occurred and be continuing on such date or during the Applicable Period (prior to the date the Net Available Proceeds are used or otherwise invested as provided in this sentence) and (y) such Net Available Proceeds are used for one or more acquisitions or otherwise reinvested in the Permitted Business of the Borrowers and the Restricted Subsidiaries within the Applicable Period (as defined below) for such Disposition (it being understood that Net Available Proceeds shall be deemed to be used in the same order in which the related Dispositions occurred); </w:t>
      </w:r>
      <w:r>
        <w:rPr>
          <w:rFonts w:ascii="Times New Roman" w:hAnsi="Times New Roman"/>
          <w:sz w:val="20"/>
          <w:u w:val="single"/>
        </w:rPr>
        <w:t>provided</w:t>
      </w:r>
      <w:r>
        <w:rPr>
          <w:rFonts w:ascii="Times New Roman" w:hAnsi="Times New Roman"/>
          <w:sz w:val="20"/>
        </w:rPr>
        <w:t xml:space="preserve"> that any such Net Available Proceeds not so used on or before the last day of the Applicable Period for such Disposition shall be forthwith applied as provided above. For purposes hereof, “</w:t>
      </w:r>
      <w:r>
        <w:rPr>
          <w:rFonts w:ascii="Times New Roman" w:hAnsi="Times New Roman"/>
          <w:sz w:val="20"/>
          <w:u w:val="single"/>
        </w:rPr>
        <w:t>Applicable Period</w:t>
      </w:r>
      <w:r>
        <w:rPr>
          <w:rFonts w:ascii="Times New Roman" w:hAnsi="Times New Roman"/>
          <w:sz w:val="20"/>
        </w:rPr>
        <w:t xml:space="preserve">” means, with respect to any Disposition, the period starting on the day such Disposition is consummated and ending on the date falling 360 days thereafter, except that if GEO or the applicable Restricted Subsidiary agrees in a legally binding commitment to reinvest the Net Available Proceeds from such Disposition (pursuant to the immediately preceding sentence) in the construction and equipping of one or more Facilities on or before such 360th day, the Applicable Period for such Disposition shall be extended automatically by 18 months. Prior to or substantially concurrently with the consummation of any Disposition, GEO shall deliver to the Administrative Agent (for further distribution to the Lenders) a statement, certified by a Financial Officer of GEO, in form and detail reasonably satisfactory to the Administrative Agent, of the amount of the Net Available Proceeds of such Disposition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(except that such statement shall not be required for any Disposition the Net Available Proceeds of which are less than or equal to $50,000,000); </w:t>
      </w:r>
      <w:r>
        <w:rPr>
          <w:rFonts w:ascii="Times New Roman" w:hAnsi="Times New Roman"/>
          <w:sz w:val="20"/>
          <w:u w:val="single"/>
        </w:rPr>
        <w:t>provided</w:t>
      </w:r>
      <w:r>
        <w:rPr>
          <w:rFonts w:ascii="Times New Roman" w:hAnsi="Times New Roman"/>
          <w:sz w:val="20"/>
        </w:rPr>
        <w:t xml:space="preserve"> that, for the avoidance of doubt, such certified statement may be supplemented or modified in writing by such Financial Officer solely as to such amount of Net Available Proceeds if and to the extent (and during such time as) a corresponding supplement or modification shall be delivered by such Financial Officer pursuant to the final proviso to the definition of “Net Available Proceeds” set forth in </w:t>
      </w:r>
      <w:r>
        <w:rPr>
          <w:rFonts w:ascii="Times New Roman" w:hAnsi="Times New Roman"/>
          <w:sz w:val="20"/>
          <w:u w:val="single"/>
        </w:rPr>
        <w:t>Section 1.01</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[Reserved]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(iv) </w:t>
      </w:r>
      <w:r>
        <w:rPr>
          <w:rFonts w:ascii="Times New Roman" w:hAnsi="Times New Roman"/>
          <w:sz w:val="20"/>
          <w:u w:val="single"/>
        </w:rPr>
        <w:t>[Reserved]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(v) </w:t>
      </w:r>
      <w:r>
        <w:rPr>
          <w:rFonts w:ascii="Times New Roman" w:hAnsi="Times New Roman"/>
          <w:sz w:val="20"/>
          <w:u w:val="single"/>
        </w:rPr>
        <w:t>Application</w:t>
      </w:r>
      <w:r>
        <w:rPr>
          <w:rFonts w:ascii="Times New Roman" w:hAnsi="Times New Roman"/>
          <w:sz w:val="20"/>
        </w:rPr>
        <w:t xml:space="preserve">. Subject to the terms of the Intercreditor Agreements, and except as otherwise provided in </w:t>
      </w:r>
      <w:r>
        <w:rPr>
          <w:rFonts w:ascii="Times New Roman" w:hAnsi="Times New Roman"/>
          <w:sz w:val="20"/>
          <w:u w:val="single"/>
        </w:rPr>
        <w:t>Section 7.02</w:t>
      </w:r>
      <w:r>
        <w:rPr>
          <w:rFonts w:ascii="Times New Roman" w:hAnsi="Times New Roman"/>
          <w:sz w:val="20"/>
        </w:rPr>
        <w:t xml:space="preserve">, prepayments shall be applied as follows: </w:t>
      </w:r>
    </w:p>
    <w:p>
      <w:pPr>
        <w:pStyle w:val="TextBody"/>
        <w:bidi w:val="0"/>
        <w:spacing w:before="120" w:after="0"/>
        <w:jc w:val="left"/>
        <w:rPr>
          <w:rFonts w:ascii="Times New Roman" w:hAnsi="Times New Roman"/>
          <w:sz w:val="20"/>
        </w:rPr>
      </w:pPr>
      <w:r>
        <w:rPr>
          <w:rFonts w:ascii="Times New Roman" w:hAnsi="Times New Roman"/>
          <w:sz w:val="20"/>
          <w:u w:val="single"/>
        </w:rPr>
        <w:t>first</w:t>
      </w:r>
      <w:r>
        <w:rPr>
          <w:rFonts w:ascii="Times New Roman" w:hAnsi="Times New Roman"/>
          <w:sz w:val="20"/>
        </w:rPr>
        <w:t xml:space="preserve">, ratably between the Term Loans and each Series of Incremental Term Loans (if any) in accordance with the respective sums at such time of the aggregate amount of such outstanding Term Loans and Incremental Term Loans (subject to the terms of any Incremental Term Loan Amendment providing for prepayment on a less than </w:t>
      </w:r>
      <w:r>
        <w:rPr>
          <w:rFonts w:ascii="Times New Roman" w:hAnsi="Times New Roman"/>
          <w:sz w:val="20"/>
          <w:u w:val="single"/>
        </w:rPr>
        <w:t>pro rata</w:t>
      </w:r>
      <w:r>
        <w:rPr>
          <w:rFonts w:ascii="Times New Roman" w:hAnsi="Times New Roman"/>
          <w:sz w:val="20"/>
        </w:rPr>
        <w:t xml:space="preserve"> basis); </w:t>
      </w:r>
    </w:p>
    <w:p>
      <w:pPr>
        <w:pStyle w:val="TextBody"/>
        <w:bidi w:val="0"/>
        <w:spacing w:before="120" w:after="0"/>
        <w:jc w:val="left"/>
        <w:rPr>
          <w:rFonts w:ascii="Times New Roman" w:hAnsi="Times New Roman"/>
          <w:sz w:val="20"/>
        </w:rPr>
      </w:pPr>
      <w:r>
        <w:rPr>
          <w:rFonts w:ascii="Times New Roman" w:hAnsi="Times New Roman"/>
          <w:sz w:val="20"/>
          <w:u w:val="single"/>
        </w:rPr>
        <w:t>second</w:t>
      </w:r>
      <w:r>
        <w:rPr>
          <w:rFonts w:ascii="Times New Roman" w:hAnsi="Times New Roman"/>
          <w:sz w:val="20"/>
        </w:rPr>
        <w:t xml:space="preserve">, to prepay Swingline Loans (with no corresponding permanent reduction of the Revolving Credit Commitments); </w:t>
      </w:r>
    </w:p>
    <w:p>
      <w:pPr>
        <w:pStyle w:val="TextBody"/>
        <w:bidi w:val="0"/>
        <w:spacing w:before="120" w:after="0"/>
        <w:jc w:val="left"/>
        <w:rPr>
          <w:rFonts w:ascii="Times New Roman" w:hAnsi="Times New Roman"/>
          <w:sz w:val="20"/>
        </w:rPr>
      </w:pPr>
      <w:r>
        <w:rPr>
          <w:rFonts w:ascii="Times New Roman" w:hAnsi="Times New Roman"/>
          <w:sz w:val="20"/>
          <w:u w:val="single"/>
        </w:rPr>
        <w:t>third</w:t>
      </w:r>
      <w:r>
        <w:rPr>
          <w:rFonts w:ascii="Times New Roman" w:hAnsi="Times New Roman"/>
          <w:sz w:val="20"/>
        </w:rPr>
        <w:t xml:space="preserve">, to pay unreimbursed LC Disbursements then due hereunder, ratably among the parties entitled thereto in accordance with the amounts of unreimbursed LC Disbursements then due to such parties; and </w:t>
      </w:r>
    </w:p>
    <w:p>
      <w:pPr>
        <w:pStyle w:val="TextBody"/>
        <w:bidi w:val="0"/>
        <w:spacing w:before="120" w:after="0"/>
        <w:jc w:val="left"/>
        <w:rPr>
          <w:rFonts w:ascii="Times New Roman" w:hAnsi="Times New Roman"/>
          <w:sz w:val="20"/>
        </w:rPr>
      </w:pPr>
      <w:r>
        <w:rPr>
          <w:rFonts w:ascii="Times New Roman" w:hAnsi="Times New Roman"/>
          <w:sz w:val="20"/>
          <w:u w:val="single"/>
        </w:rPr>
        <w:t>fourth</w:t>
      </w:r>
      <w:r>
        <w:rPr>
          <w:rFonts w:ascii="Times New Roman" w:hAnsi="Times New Roman"/>
          <w:sz w:val="20"/>
        </w:rPr>
        <w:t xml:space="preserve">, if a Default or Event of Default exists, to prepay Revolving Credit Loans (with no corresponding permanent reduction of the Revolving Credit Commitments).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no Lender may decline any such mandatory prepayment to which it is otherwise entitled.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to the extent (and only for so long as) the repatriation to the United States of cash that would otherwise constitute Net Available Proceeds that the applicable Borrower must apply to prepay the Loans pursuant to </w:t>
      </w:r>
      <w:r>
        <w:rPr>
          <w:rFonts w:ascii="Times New Roman" w:hAnsi="Times New Roman"/>
          <w:sz w:val="20"/>
          <w:u w:val="single"/>
        </w:rPr>
        <w:t>Section 2.10(b)(i)</w:t>
      </w:r>
      <w:r>
        <w:rPr>
          <w:rFonts w:ascii="Times New Roman" w:hAnsi="Times New Roman"/>
          <w:sz w:val="20"/>
        </w:rPr>
        <w:t xml:space="preserve"> or </w:t>
      </w:r>
      <w:r>
        <w:rPr>
          <w:rFonts w:ascii="Times New Roman" w:hAnsi="Times New Roman"/>
          <w:sz w:val="20"/>
          <w:u w:val="single"/>
        </w:rPr>
        <w:t>(ii)</w:t>
      </w:r>
      <w:r>
        <w:rPr>
          <w:rFonts w:ascii="Times New Roman" w:hAnsi="Times New Roman"/>
          <w:sz w:val="20"/>
        </w:rPr>
        <w:t xml:space="preserve">, as applicable, (x) is prohibited or delayed by applicable local Law or the terms of any Subsidiary’s or joint venture’s organizational documents or (y) would, in GEO’s reasonable good-faith determination (as made in consultation with the Administrative Agent), result in material adverse Tax consequences to GEO or its Restricted Subsidiaries, then after the Borrowers’ use of commercially reasonable efforts to eliminate such delay or Tax consequences, the applicable Borrower may exclude the affected portion of such Net Available Proceeds in calculating the amount of such Net Available Proceeds required to be applied to prepay the Loans. The Borrowers’ determinations pursuant to this paragraph shall be set forth in a reasonably detailed certificate of a Financial Officer of GEO delivered to the Administrative Agent prior to the date the prepayment would otherwise be due.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Mandatory Prepayments due to Changes in Exchange Rates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Determination of Amount Outstanding</w:t>
      </w:r>
      <w:r>
        <w:rPr>
          <w:rFonts w:ascii="Times New Roman" w:hAnsi="Times New Roman"/>
          <w:sz w:val="20"/>
        </w:rPr>
        <w:t xml:space="preserve">. On each Quarterly Date prior to the Revolving Credit Commitment Termination Date, on each date that GEO shall request a Revolving Credit Borrowing or Swingline Loan or the issuance, amendment, renewal or extension of a Letter of Credit and, in addition, promptly upon the receipt by the Administrative Agent of a Currency Valuation Notice (as defined below), the Administrative Agent shall determine the aggregate Revolving Credit Exposure. For the purpose of this determination, the outstanding face amount of any Letter of Credit that is denominated in any Foreign Currency shall be deemed to be the Dollar Equivalent of the amount in the Foreign Currency of such Letter of Credit, determined as of such Quarterly Date, date of such proposed Revolving Credit Borrowing, Swingline Loan, issuance, amendment, renewal or extension or, in the case of a Currency Valuation Notice received by the Administrative Agent prior to 11:00 a.m., New York City time, on a Business Day, on such Business Day or, in the case of a Currency Valuation Notice otherwise received, on the first Business Day after such Currency Valuation Notice is received. Upon making such determination, the Administrative Agent shall promptly notify the Revolving Credit Lenders and GEO thereof.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Prepayment and Cover</w:t>
      </w:r>
      <w:r>
        <w:rPr>
          <w:rFonts w:ascii="Times New Roman" w:hAnsi="Times New Roman"/>
          <w:sz w:val="20"/>
        </w:rPr>
        <w:t>. If, on the date of such determination (after giving effect to any prior or substantially concurrent deposit made by the Borrowers, at their option, to the Collateral Account) either (x) the sum of the Revolving Credit Exposures would exceed the aggregate Revolving Credit Commitments (such excess, an “</w:t>
      </w:r>
      <w:r>
        <w:rPr>
          <w:rFonts w:ascii="Times New Roman" w:hAnsi="Times New Roman"/>
          <w:sz w:val="20"/>
          <w:u w:val="single"/>
        </w:rPr>
        <w:t>RCF Excess</w:t>
      </w:r>
      <w:r>
        <w:rPr>
          <w:rFonts w:ascii="Times New Roman" w:hAnsi="Times New Roman"/>
          <w:sz w:val="20"/>
        </w:rPr>
        <w:t xml:space="preserve">”), the Borrowers shall, if requested by the Administrative Agent, within five Business Days following GEO’s receipt of such request: </w:t>
      </w:r>
    </w:p>
    <w:p>
      <w:pPr>
        <w:pStyle w:val="TextBody"/>
        <w:bidi w:val="0"/>
        <w:spacing w:before="120" w:after="0"/>
        <w:jc w:val="left"/>
        <w:rPr>
          <w:rFonts w:ascii="Times New Roman" w:hAnsi="Times New Roman"/>
          <w:sz w:val="20"/>
        </w:rPr>
      </w:pPr>
      <w:r>
        <w:rPr>
          <w:rFonts w:ascii="Times New Roman" w:hAnsi="Times New Roman"/>
          <w:sz w:val="20"/>
        </w:rPr>
        <w:t xml:space="preserve">(A) if any Swingline Loans or Revolving Credit Loans are outstanding, prepay all such Swingline Loans and Revolving Credit Loans or such portion thereof as is sufficient to eliminate the RCF Excess, and </w:t>
      </w:r>
    </w:p>
    <w:p>
      <w:pPr>
        <w:pStyle w:val="TextBody"/>
        <w:bidi w:val="0"/>
        <w:spacing w:before="120" w:after="0"/>
        <w:jc w:val="left"/>
        <w:rPr>
          <w:rFonts w:ascii="Times New Roman" w:hAnsi="Times New Roman"/>
          <w:sz w:val="20"/>
        </w:rPr>
      </w:pPr>
      <w:r>
        <w:rPr>
          <w:rFonts w:ascii="Times New Roman" w:hAnsi="Times New Roman"/>
          <w:sz w:val="20"/>
        </w:rPr>
        <w:t xml:space="preserve">(B) if such prepayment is not sufficient to eliminate the RCF Excess, provide cover for the LC Exposure pursuant to </w:t>
      </w:r>
      <w:r>
        <w:rPr>
          <w:rFonts w:ascii="Times New Roman" w:hAnsi="Times New Roman"/>
          <w:sz w:val="20"/>
          <w:u w:val="single"/>
        </w:rPr>
        <w:t>Section 2.05(k)</w:t>
      </w:r>
      <w:r>
        <w:rPr>
          <w:rFonts w:ascii="Times New Roman" w:hAnsi="Times New Roman"/>
          <w:sz w:val="20"/>
        </w:rPr>
        <w:t xml:space="preserve"> in an amount sufficient to eliminate the RCF Excess. </w:t>
      </w:r>
    </w:p>
    <w:p>
      <w:pPr>
        <w:pStyle w:val="TextBody"/>
        <w:bidi w:val="0"/>
        <w:spacing w:before="12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Release of Cover</w:t>
      </w:r>
      <w:r>
        <w:rPr>
          <w:rFonts w:ascii="Times New Roman" w:hAnsi="Times New Roman"/>
          <w:sz w:val="20"/>
        </w:rPr>
        <w:t xml:space="preserve">. If, on the date of such determination, the amount of the cover provided by the Borrowers pursuant to </w:t>
      </w:r>
      <w:r>
        <w:rPr>
          <w:rFonts w:ascii="Times New Roman" w:hAnsi="Times New Roman"/>
          <w:sz w:val="20"/>
          <w:u w:val="single"/>
        </w:rPr>
        <w:t>Section 2.10(c)(ii)(B)</w:t>
      </w:r>
      <w:r>
        <w:rPr>
          <w:rFonts w:ascii="Times New Roman" w:hAnsi="Times New Roman"/>
          <w:sz w:val="20"/>
        </w:rPr>
        <w:t xml:space="preserve"> and then held by the Administrative Agent exceeds the RCF Excess (such excess, a “</w:t>
      </w:r>
      <w:r>
        <w:rPr>
          <w:rFonts w:ascii="Times New Roman" w:hAnsi="Times New Roman"/>
          <w:sz w:val="20"/>
          <w:u w:val="single"/>
        </w:rPr>
        <w:t>Refundable Excess</w:t>
      </w:r>
      <w:r>
        <w:rPr>
          <w:rFonts w:ascii="Times New Roman" w:hAnsi="Times New Roman"/>
          <w:sz w:val="20"/>
        </w:rPr>
        <w:t xml:space="preserve">”) on such date (or if such RCF Excess is less than or equal to zero), and no Default has occurred and is continuing, the Administrative Agent shall, if requested by GEO, within three Business Days following the Administrative Agent’s receipt of such request, return to the Borrowers the amount of the Refundable Excess (or, if the RCF Excess is less than or equal to zero, the full amount of such cover). </w:t>
      </w:r>
    </w:p>
    <w:p>
      <w:pPr>
        <w:pStyle w:val="TextBody"/>
        <w:bidi w:val="0"/>
        <w:spacing w:before="240" w:after="0"/>
        <w:jc w:val="left"/>
        <w:rPr>
          <w:rFonts w:ascii="Times New Roman" w:hAnsi="Times New Roman"/>
          <w:sz w:val="20"/>
        </w:rPr>
      </w:pPr>
      <w:r>
        <w:rPr>
          <w:rFonts w:ascii="Times New Roman" w:hAnsi="Times New Roman"/>
          <w:sz w:val="20"/>
        </w:rPr>
        <w:t>For purposes hereof, “</w:t>
      </w:r>
      <w:r>
        <w:rPr>
          <w:rFonts w:ascii="Times New Roman" w:hAnsi="Times New Roman"/>
          <w:sz w:val="20"/>
          <w:u w:val="single"/>
        </w:rPr>
        <w:t>Currency Valuation Notice</w:t>
      </w:r>
      <w:r>
        <w:rPr>
          <w:rFonts w:ascii="Times New Roman" w:hAnsi="Times New Roman"/>
          <w:sz w:val="20"/>
        </w:rPr>
        <w:t xml:space="preserve">” means a notice given by the Required Revolving Credit Lenders or any Issuing Lender to the Administrative Agent stating that such notice is a “Currency Valuation Notice” and requesting that the Administrative Agent determine the aggregate Revolving Credit Exposure.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prepayment pursuant to </w:t>
      </w:r>
      <w:r>
        <w:rPr>
          <w:rFonts w:ascii="Times New Roman" w:hAnsi="Times New Roman"/>
          <w:sz w:val="20"/>
          <w:u w:val="single"/>
        </w:rPr>
        <w:t>Section 2.10(c)(ii)(A)</w:t>
      </w:r>
      <w:r>
        <w:rPr>
          <w:rFonts w:ascii="Times New Roman" w:hAnsi="Times New Roman"/>
          <w:sz w:val="20"/>
        </w:rPr>
        <w:t xml:space="preserve"> shall be applied, </w:t>
      </w:r>
      <w:r>
        <w:rPr>
          <w:rFonts w:ascii="Times New Roman" w:hAnsi="Times New Roman"/>
          <w:sz w:val="20"/>
          <w:u w:val="single"/>
        </w:rPr>
        <w:t>first</w:t>
      </w:r>
      <w:r>
        <w:rPr>
          <w:rFonts w:ascii="Times New Roman" w:hAnsi="Times New Roman"/>
          <w:sz w:val="20"/>
        </w:rPr>
        <w:t xml:space="preserve">, to Swingline Loans outstanding and </w:t>
      </w:r>
      <w:r>
        <w:rPr>
          <w:rFonts w:ascii="Times New Roman" w:hAnsi="Times New Roman"/>
          <w:sz w:val="20"/>
          <w:u w:val="single"/>
        </w:rPr>
        <w:t>second</w:t>
      </w:r>
      <w:r>
        <w:rPr>
          <w:rFonts w:ascii="Times New Roman" w:hAnsi="Times New Roman"/>
          <w:sz w:val="20"/>
        </w:rPr>
        <w:t xml:space="preserve">, to Revolving Credit Loans outstanding.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Prepayment Premium</w:t>
      </w:r>
      <w:r>
        <w:rPr>
          <w:rFonts w:ascii="Times New Roman" w:hAnsi="Times New Roman"/>
          <w:sz w:val="20"/>
        </w:rPr>
        <w:t xml:space="preserve">. [Reserved.]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Notices, Etc</w:t>
      </w:r>
      <w:r>
        <w:rPr>
          <w:rFonts w:ascii="Times New Roman" w:hAnsi="Times New Roman"/>
          <w:sz w:val="20"/>
        </w:rPr>
        <w:t xml:space="preserve">. GEO shall notify the Administrative Agent (and, in the case of prepayment of a Swingline Loan, the Swingline Lender) in writing of any prepayment hereunder not later than 1:00 p.m., New York City time, five (5) U.S. Government Securities Business Days before the date of such prepayment. Each such notice shall be irrevocable and shall specify the prepayment date, the principal amount of each Borrowing or portion thereof to be prepaid, any other information required to be in such notice pursuant to </w:t>
      </w:r>
      <w:r>
        <w:rPr>
          <w:rFonts w:ascii="Times New Roman" w:hAnsi="Times New Roman"/>
          <w:sz w:val="20"/>
          <w:u w:val="single"/>
        </w:rPr>
        <w:t>Section 2.09(d)</w:t>
      </w:r>
      <w:r>
        <w:rPr>
          <w:rFonts w:ascii="Times New Roman" w:hAnsi="Times New Roman"/>
          <w:sz w:val="20"/>
        </w:rPr>
        <w:t xml:space="preserve"> and, in the case of a mandatory prepayment, a reasonably detailed calculation of the amount of such prepayment; </w:t>
      </w:r>
      <w:r>
        <w:rPr>
          <w:rFonts w:ascii="Times New Roman" w:hAnsi="Times New Roman"/>
          <w:sz w:val="20"/>
          <w:u w:val="single"/>
        </w:rPr>
        <w:t>provided</w:t>
      </w:r>
      <w:r>
        <w:rPr>
          <w:rFonts w:ascii="Times New Roman" w:hAnsi="Times New Roman"/>
          <w:sz w:val="20"/>
        </w:rPr>
        <w:t xml:space="preserve"> that, if a notice of prepayment is given in connection with a conditional notice of termination of any Term Loan Commitments, the Incremental Term Loan Commitments or the Revolving Credit Commitments as contemplated by </w:t>
      </w:r>
      <w:r>
        <w:rPr>
          <w:rFonts w:ascii="Times New Roman" w:hAnsi="Times New Roman"/>
          <w:sz w:val="20"/>
          <w:u w:val="single"/>
        </w:rPr>
        <w:t>Section 2.08</w:t>
      </w:r>
      <w:r>
        <w:rPr>
          <w:rFonts w:ascii="Times New Roman" w:hAnsi="Times New Roman"/>
          <w:sz w:val="20"/>
        </w:rPr>
        <w:t xml:space="preserve">, then such notice of prepayment may be revoked if such notice of termination is revoked in accordance with </w:t>
      </w:r>
      <w:r>
        <w:rPr>
          <w:rFonts w:ascii="Times New Roman" w:hAnsi="Times New Roman"/>
          <w:sz w:val="20"/>
          <w:u w:val="single"/>
        </w:rPr>
        <w:t>Section 2.08</w:t>
      </w:r>
      <w:r>
        <w:rPr>
          <w:rFonts w:ascii="Times New Roman" w:hAnsi="Times New Roman"/>
          <w:sz w:val="20"/>
        </w:rPr>
        <w:t xml:space="preserve"> or if a notice of prepayment of any Term Loans is conditioned upon the receipt of funds under other credit facilities, the effectiveness of other credit facilities or pursuant to an Equity Issuance, or the consummation of any transaction that would otherwise require the consent of one or more Lenders hereunder, then such notice of prepayment may be revoked by GEO (by notice to the Administrative Agent on or prior to the specified effective date) if such condition is not satisfied. Promptly following receipt of any such notice relating to a Borrowing, the Administrative Agent shall advise the relevant Lenders of the contents thereof. Each partial prepayment of any Borrowing shall be in an amount that would be permitted in the case of a Borrowing of the same Type as provided in </w:t>
      </w:r>
      <w:r>
        <w:rPr>
          <w:rFonts w:ascii="Times New Roman" w:hAnsi="Times New Roman"/>
          <w:sz w:val="20"/>
          <w:u w:val="single"/>
        </w:rPr>
        <w:t>Section 2.02</w:t>
      </w:r>
      <w:r>
        <w:rPr>
          <w:rFonts w:ascii="Times New Roman" w:hAnsi="Times New Roman"/>
          <w:sz w:val="20"/>
        </w:rPr>
        <w:t xml:space="preserve">, except as necessary to apply fully the required amount of a mandatory prepayment. Each prepayment of a Borrowing shall be applied ratably to the Loans included in the prepaid Borrowing, except to the extent otherwise expressly provided herein. Prepayments shall be accompanied by accrued interest to the extent required by </w:t>
      </w:r>
      <w:r>
        <w:rPr>
          <w:rFonts w:ascii="Times New Roman" w:hAnsi="Times New Roman"/>
          <w:sz w:val="20"/>
          <w:u w:val="single"/>
        </w:rPr>
        <w:t>Section 2.12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2.11 </w:t>
      </w:r>
      <w:r>
        <w:rPr>
          <w:rFonts w:ascii="Times New Roman" w:hAnsi="Times New Roman"/>
          <w:sz w:val="20"/>
          <w:u w:val="single"/>
        </w:rPr>
        <w:t>Fees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Commitment Fees</w:t>
      </w:r>
      <w:r>
        <w:rPr>
          <w:rFonts w:ascii="Times New Roman" w:hAnsi="Times New Roman"/>
          <w:sz w:val="20"/>
        </w:rPr>
        <w:t xml:space="preserve">. The Borrowers agree to pay to the Administrative Agent for the account of each Revolving Credit Lender (to be allocated ratably among such Lenders in accordance with the amounts of such fees then due to such Lenders) a commitment fee, which shall accrue at the Applicable Rate on the average daily unused amount of the Revolving Credit Commitment of such Lender during the period from and including the Effective Date to but excluding the date such Commitment terminates. Accrued commitment fees shall be payable in arrears on each Quarterly Date and on the date the relevant Commitment terminates, commencing on the first such date to occur after the Effective Date. All commitment fees shall be computed on the basis of a year of 360 days and shall be payable for the actual number of days elapsed (including the first day but excluding the last day). For purposes of computing commitment fees with respect to the Revolving Credit Commitments, the Revolving Credit Commitment of a Lender shall be deemed to be used to the extent of the outstanding Revolving Credit Loans and outstanding LC Exposure of such Lender (and the Swingline Exposure of such Lender shall be disregarded for such purpose).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Letter of Credit Fees</w:t>
      </w:r>
      <w:r>
        <w:rPr>
          <w:rFonts w:ascii="Times New Roman" w:hAnsi="Times New Roman"/>
          <w:sz w:val="20"/>
        </w:rPr>
        <w:t xml:space="preserve">. The Borrowers agree to pay (i) to the Administrative Agent for the account of each Revolving Credit Lender (to be allocated ratably among such Lenders in accordance with the amounts of such fees then due to such Lenders) a participation fee with respect to its participations in Letters of Credit, which shall accrue at a rate per annum equal to the Applicable Rate applicable to interest on Revolving Credit SOFR Loans on the average daily amount of such Lender’s LC Exposure (excluding any portion thereof attributable to unreimbursed LC Disbursements) in respect of performance Letters of Credit or other Letters of Credit, as applicable, during the period from and including the Effective Date to but excluding the date on which such Lender ceases to have any LC Exposure, and (ii) to each Issuing Lender a fronting fee, which shall accrue at the rate or rates per annum separately agreed upon between GEO and such Issuing Lender on the average daily amount of the LC Exposure (excluding any portion thereof attributable to unreimbursed LC Disbursements) in respect of each Letter of Credit issued by such Issuing Lender during the period from and including the Effective Date to but excluding the date on which there ceases to be any LC Exposure in respect of any such Letter of Credit, as well as such Issuing Lender’s standard fees with respect to the issuance, amendment, renewal or extension of any Letter of Credit or processing of drawings thereunder. Participation fees and fronting fees accrued through and including each Quarterly Date shall be payable on the third Business Day following such Quarterly Date, commencing on the first such date to occur after the Effective Date; </w:t>
      </w:r>
      <w:r>
        <w:rPr>
          <w:rFonts w:ascii="Times New Roman" w:hAnsi="Times New Roman"/>
          <w:sz w:val="20"/>
          <w:u w:val="single"/>
        </w:rPr>
        <w:t>provided</w:t>
      </w:r>
      <w:r>
        <w:rPr>
          <w:rFonts w:ascii="Times New Roman" w:hAnsi="Times New Roman"/>
          <w:sz w:val="20"/>
        </w:rPr>
        <w:t xml:space="preserve"> that all such fees shall be payable on the date on which the Revolving Credit Commitments terminate and any such fees accruing after the date on which the Revolving Credit Commitments terminate shall be payable on demand. Any other fees payable to any Issuing Lender pursuant to this </w:t>
      </w:r>
      <w:r>
        <w:rPr>
          <w:rFonts w:ascii="Times New Roman" w:hAnsi="Times New Roman"/>
          <w:sz w:val="20"/>
          <w:u w:val="single"/>
        </w:rPr>
        <w:t>Section 2.11(b)</w:t>
      </w:r>
      <w:r>
        <w:rPr>
          <w:rFonts w:ascii="Times New Roman" w:hAnsi="Times New Roman"/>
          <w:sz w:val="20"/>
        </w:rPr>
        <w:t xml:space="preserve"> shall be payable within 10 days after demand. All such participation fees and fronting fees shall be computed on the basis of a year of 360 days and shall be payable for the actual number of days elapsed (including the first day but excluding the last day).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Administrative Agent Fees</w:t>
      </w:r>
      <w:r>
        <w:rPr>
          <w:rFonts w:ascii="Times New Roman" w:hAnsi="Times New Roman"/>
          <w:sz w:val="20"/>
        </w:rPr>
        <w:t xml:space="preserve">. The Borrowers agree to pay to the Administrative Agent, for its own account, fees payable in the amounts and at the times set forth in the Fee Letter.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Payment of Fees</w:t>
      </w:r>
      <w:r>
        <w:rPr>
          <w:rFonts w:ascii="Times New Roman" w:hAnsi="Times New Roman"/>
          <w:sz w:val="20"/>
        </w:rPr>
        <w:t xml:space="preserve">. All fees payable hereunder shall be paid on the dates due, in immediately available funds, to the Administrative Agent (or to the respective Issuing Lender in the case of fees payable to it) for distribution, in the case of commitment fees, participation fees and closing fees, to the Lenders entitled thereto. Fees paid shall not be refundable under any circumstances. </w:t>
      </w:r>
    </w:p>
    <w:p>
      <w:pPr>
        <w:pStyle w:val="TextBody"/>
        <w:bidi w:val="0"/>
        <w:spacing w:before="240" w:after="0"/>
        <w:jc w:val="left"/>
        <w:rPr>
          <w:rFonts w:ascii="Times New Roman" w:hAnsi="Times New Roman"/>
          <w:sz w:val="20"/>
        </w:rPr>
      </w:pPr>
      <w:r>
        <w:rPr>
          <w:rFonts w:ascii="Times New Roman" w:hAnsi="Times New Roman"/>
          <w:sz w:val="20"/>
        </w:rPr>
        <w:t xml:space="preserve">Section 2.12 </w:t>
      </w:r>
      <w:r>
        <w:rPr>
          <w:rFonts w:ascii="Times New Roman" w:hAnsi="Times New Roman"/>
          <w:sz w:val="20"/>
          <w:u w:val="single"/>
        </w:rPr>
        <w:t>Interest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ABR Loans</w:t>
      </w:r>
      <w:r>
        <w:rPr>
          <w:rFonts w:ascii="Times New Roman" w:hAnsi="Times New Roman"/>
          <w:sz w:val="20"/>
        </w:rPr>
        <w:t xml:space="preserve">. The Loans comprising each ABR Borrowing (including each Swingline Loan) shall bear interest at a rate per annum equal to the Alternate Base Rate </w:t>
      </w:r>
      <w:r>
        <w:rPr>
          <w:rFonts w:ascii="Times New Roman" w:hAnsi="Times New Roman"/>
          <w:sz w:val="20"/>
          <w:u w:val="single"/>
        </w:rPr>
        <w:t>plus</w:t>
      </w:r>
      <w:r>
        <w:rPr>
          <w:rFonts w:ascii="Times New Roman" w:hAnsi="Times New Roman"/>
          <w:sz w:val="20"/>
        </w:rPr>
        <w:t xml:space="preserve"> the Applicable Rate.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SOFR Loans</w:t>
      </w:r>
      <w:r>
        <w:rPr>
          <w:rFonts w:ascii="Times New Roman" w:hAnsi="Times New Roman"/>
          <w:sz w:val="20"/>
        </w:rPr>
        <w:t xml:space="preserve">. The Loans comprising each SOFR Borrowing shall bear interest at a rate per annum equal to Term SOFR for the Interest Period for such Borrowing </w:t>
      </w:r>
      <w:r>
        <w:rPr>
          <w:rFonts w:ascii="Times New Roman" w:hAnsi="Times New Roman"/>
          <w:sz w:val="20"/>
          <w:u w:val="single"/>
        </w:rPr>
        <w:t>plus</w:t>
      </w:r>
      <w:r>
        <w:rPr>
          <w:rFonts w:ascii="Times New Roman" w:hAnsi="Times New Roman"/>
          <w:sz w:val="20"/>
        </w:rPr>
        <w:t xml:space="preserve"> the Applicable Rate.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Default Interest</w:t>
      </w:r>
      <w:r>
        <w:rPr>
          <w:rFonts w:ascii="Times New Roman" w:hAnsi="Times New Roman"/>
          <w:sz w:val="20"/>
        </w:rPr>
        <w:t xml:space="preserve">. Notwithstanding the foregoing, if any Event of Default under </w:t>
      </w:r>
      <w:r>
        <w:rPr>
          <w:rFonts w:ascii="Times New Roman" w:hAnsi="Times New Roman"/>
          <w:sz w:val="20"/>
          <w:u w:val="single"/>
        </w:rPr>
        <w:t>Section 7.01(a)</w:t>
      </w:r>
      <w:r>
        <w:rPr>
          <w:rFonts w:ascii="Times New Roman" w:hAnsi="Times New Roman"/>
          <w:sz w:val="20"/>
        </w:rPr>
        <w:t xml:space="preserve">, </w:t>
      </w:r>
      <w:r>
        <w:rPr>
          <w:rFonts w:ascii="Times New Roman" w:hAnsi="Times New Roman"/>
          <w:sz w:val="20"/>
          <w:u w:val="single"/>
        </w:rPr>
        <w:t>(b)</w:t>
      </w:r>
      <w:r>
        <w:rPr>
          <w:rFonts w:ascii="Times New Roman" w:hAnsi="Times New Roman"/>
          <w:sz w:val="20"/>
        </w:rPr>
        <w:t xml:space="preserve">, </w:t>
      </w:r>
      <w:r>
        <w:rPr>
          <w:rFonts w:ascii="Times New Roman" w:hAnsi="Times New Roman"/>
          <w:sz w:val="20"/>
          <w:u w:val="single"/>
        </w:rPr>
        <w:t>(h),</w:t>
      </w:r>
      <w:r>
        <w:rPr>
          <w:rFonts w:ascii="Times New Roman" w:hAnsi="Times New Roman"/>
          <w:sz w:val="20"/>
        </w:rPr>
        <w:t xml:space="preserve"> </w:t>
      </w:r>
      <w:r>
        <w:rPr>
          <w:rFonts w:ascii="Times New Roman" w:hAnsi="Times New Roman"/>
          <w:sz w:val="20"/>
          <w:u w:val="single"/>
        </w:rPr>
        <w:t>(i)</w:t>
      </w:r>
      <w:r>
        <w:rPr>
          <w:rFonts w:ascii="Times New Roman" w:hAnsi="Times New Roman"/>
          <w:sz w:val="20"/>
        </w:rPr>
        <w:t xml:space="preserve"> or </w:t>
      </w:r>
      <w:r>
        <w:rPr>
          <w:rFonts w:ascii="Times New Roman" w:hAnsi="Times New Roman"/>
          <w:sz w:val="20"/>
          <w:u w:val="single"/>
        </w:rPr>
        <w:t>(p)</w:t>
      </w:r>
      <w:r>
        <w:rPr>
          <w:rFonts w:ascii="Times New Roman" w:hAnsi="Times New Roman"/>
          <w:sz w:val="20"/>
        </w:rPr>
        <w:t xml:space="preserve"> shall have occurred and be continuing: </w:t>
      </w:r>
    </w:p>
    <w:p>
      <w:pPr>
        <w:pStyle w:val="TextBody"/>
        <w:bidi w:val="0"/>
        <w:spacing w:before="120" w:after="0"/>
        <w:jc w:val="left"/>
        <w:rPr>
          <w:rFonts w:ascii="Times New Roman" w:hAnsi="Times New Roman"/>
          <w:sz w:val="20"/>
        </w:rPr>
      </w:pPr>
      <w:r>
        <w:rPr>
          <w:rFonts w:ascii="Times New Roman" w:hAnsi="Times New Roman"/>
          <w:sz w:val="20"/>
        </w:rPr>
        <w:t xml:space="preserve">(i) all interest, fees and other amounts payable by the Borrowers hereunder (other than any such amounts solely in respect of any SOFR Borrowing) not paid when due, whether at stated maturity, upon acceleration, by mandatory prepayment or otherwise, shall bear interest, after as well as before judgment, at a rate per annum equal to 2% </w:t>
      </w:r>
      <w:r>
        <w:rPr>
          <w:rFonts w:ascii="Times New Roman" w:hAnsi="Times New Roman"/>
          <w:sz w:val="20"/>
          <w:u w:val="single"/>
        </w:rPr>
        <w:t>plus</w:t>
      </w:r>
      <w:r>
        <w:rPr>
          <w:rFonts w:ascii="Times New Roman" w:hAnsi="Times New Roman"/>
          <w:sz w:val="20"/>
        </w:rPr>
        <w:t xml:space="preserve"> the rate applicable to Revolving Credit ABR Loans as provided in </w:t>
      </w:r>
      <w:r>
        <w:rPr>
          <w:rFonts w:ascii="Times New Roman" w:hAnsi="Times New Roman"/>
          <w:sz w:val="20"/>
          <w:u w:val="single"/>
        </w:rPr>
        <w:t>Section 2.12(a)</w:t>
      </w:r>
      <w:r>
        <w:rPr>
          <w:rFonts w:ascii="Times New Roman" w:hAnsi="Times New Roman"/>
          <w:sz w:val="20"/>
        </w:rPr>
        <w:t xml:space="preserve">; and </w:t>
      </w:r>
    </w:p>
    <w:p>
      <w:pPr>
        <w:pStyle w:val="TextBody"/>
        <w:bidi w:val="0"/>
        <w:spacing w:before="120" w:after="0"/>
        <w:jc w:val="left"/>
        <w:rPr>
          <w:rFonts w:ascii="Times New Roman" w:hAnsi="Times New Roman"/>
          <w:sz w:val="20"/>
        </w:rPr>
      </w:pPr>
      <w:r>
        <w:rPr>
          <w:rFonts w:ascii="Times New Roman" w:hAnsi="Times New Roman"/>
          <w:sz w:val="20"/>
        </w:rPr>
        <w:t xml:space="preserve">(ii) all interest, fees and other amounts payable by the Borrowers hereunder solely in respect of a SOFR Borrowing not paid when due, whether at stated maturity, upon acceleration, by mandatory prepayment or otherwise, shall bear interest, after as well as before judgment, at a rate per annum equal to 2% </w:t>
      </w:r>
      <w:r>
        <w:rPr>
          <w:rFonts w:ascii="Times New Roman" w:hAnsi="Times New Roman"/>
          <w:sz w:val="20"/>
          <w:u w:val="single"/>
        </w:rPr>
        <w:t>plus</w:t>
      </w:r>
      <w:r>
        <w:rPr>
          <w:rFonts w:ascii="Times New Roman" w:hAnsi="Times New Roman"/>
          <w:sz w:val="20"/>
        </w:rPr>
        <w:t xml:space="preserve"> (x) until the end of the then current Interest Period applicable to such SOFR Borrowing, the rate otherwise applicable to such Loan as provided in </w:t>
      </w:r>
      <w:r>
        <w:rPr>
          <w:rFonts w:ascii="Times New Roman" w:hAnsi="Times New Roman"/>
          <w:sz w:val="20"/>
          <w:u w:val="single"/>
        </w:rPr>
        <w:t>Section 2.12(b)</w:t>
      </w:r>
      <w:r>
        <w:rPr>
          <w:rFonts w:ascii="Times New Roman" w:hAnsi="Times New Roman"/>
          <w:sz w:val="20"/>
        </w:rPr>
        <w:t xml:space="preserve">, or (y) from and after the end of the then current Interest Period applicable to such SOFR Borrowing, the rate applicable to Revolving Credit ABR Loans as provided in </w:t>
      </w:r>
      <w:r>
        <w:rPr>
          <w:rFonts w:ascii="Times New Roman" w:hAnsi="Times New Roman"/>
          <w:sz w:val="20"/>
          <w:u w:val="single"/>
        </w:rPr>
        <w:t>Section 2.12(a)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Payment of Interest</w:t>
      </w:r>
      <w:r>
        <w:rPr>
          <w:rFonts w:ascii="Times New Roman" w:hAnsi="Times New Roman"/>
          <w:sz w:val="20"/>
        </w:rPr>
        <w:t xml:space="preserve">. Accrued interest on each Loan shall be payable by the Borrowers in arrears on each Interest Payment Date for such Loan and, in the case of Revolving Credit Loans, upon termination of the Revolving Credit Commitments; </w:t>
      </w:r>
      <w:r>
        <w:rPr>
          <w:rFonts w:ascii="Times New Roman" w:hAnsi="Times New Roman"/>
          <w:sz w:val="20"/>
          <w:u w:val="single"/>
        </w:rPr>
        <w:t>provided</w:t>
      </w:r>
      <w:r>
        <w:rPr>
          <w:rFonts w:ascii="Times New Roman" w:hAnsi="Times New Roman"/>
          <w:sz w:val="20"/>
        </w:rPr>
        <w:t xml:space="preserve"> that (i) interest accrued pursuant to </w:t>
      </w:r>
      <w:r>
        <w:rPr>
          <w:rFonts w:ascii="Times New Roman" w:hAnsi="Times New Roman"/>
          <w:sz w:val="20"/>
          <w:u w:val="single"/>
        </w:rPr>
        <w:t>Section 2.12(c)</w:t>
      </w:r>
      <w:r>
        <w:rPr>
          <w:rFonts w:ascii="Times New Roman" w:hAnsi="Times New Roman"/>
          <w:sz w:val="20"/>
        </w:rPr>
        <w:t xml:space="preserve"> shall be payable on demand, (ii) in the event of any repayment or prepayment of any Loan (other than a prepayment of a Revolving Credit ABR Loan prior to the Revolving Credit Commitment Termination Date), accrued interest on the principal amount repaid or prepaid shall be payable on the date of such repayment or prepayment and (iii) in the event of any conversion of any SOFR Borrowing prior to the end of the Interest Period therefor, accrued interest on such Borrowing shall be payable on the effective date of such conversion.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Computation</w:t>
      </w:r>
      <w:r>
        <w:rPr>
          <w:rFonts w:ascii="Times New Roman" w:hAnsi="Times New Roman"/>
          <w:sz w:val="20"/>
        </w:rPr>
        <w:t xml:space="preserve">. All interest hereunder shall be computed on the basis of a year of 360 days, except that interest computed by reference to the Alternate Base Rate at times when the Alternate Base Rate is based on the Prime Rate shall be computed on the basis of a year of 365 days (or 366 days in a leap year), and shall be payable for the actual number of days elapsed (including the first day but excluding the last day). The applicable Alternate Base Rate or Term SOFR shall be determined by the Administrative Agent, and such determination shall be conclusive absent manifest error.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Retroactive Adjustments of Applicable Rate</w:t>
      </w:r>
      <w:r>
        <w:rPr>
          <w:rFonts w:ascii="Times New Roman" w:hAnsi="Times New Roman"/>
          <w:sz w:val="20"/>
        </w:rPr>
        <w:t xml:space="preserve">. If, as a result of any restatement of or other adjustment to the financial statements of GEO or for any other reason, GEO, the Administrative Agent or the Lenders determine that (i) the Total Leverage Ratio or the First Lien Leverage Ratio as calculated by GEO as of any applicable date was inaccurate and (ii) a proper calculation of the Total Leverage Ratio or the First Lien Leverage Ratio would have resulted in higher pricing for such period, GEO or the Borrowers, as applicable, shall immediately and retroactively be obligated to pay to the Administrative Agent for the account of the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Lenders, promptly on demand by the Administrative Agent (or, after the occurrence of an actual or deemed entry of an order for relief with respect to any Borrower under the Bankruptcy Code of the United States, automatically and without further action by the Administrative Agent, any Lender, any Issuing Lender or the Swingline Lender), an amount equal to the excess of the amount of interest and fees that should have been paid for such period over the amount of interest and fees actually paid for such period. This </w:t>
      </w:r>
      <w:r>
        <w:rPr>
          <w:rFonts w:ascii="Times New Roman" w:hAnsi="Times New Roman"/>
          <w:sz w:val="20"/>
          <w:u w:val="single"/>
        </w:rPr>
        <w:t>Section 2.12(f)</w:t>
      </w:r>
      <w:r>
        <w:rPr>
          <w:rFonts w:ascii="Times New Roman" w:hAnsi="Times New Roman"/>
          <w:sz w:val="20"/>
        </w:rPr>
        <w:t xml:space="preserve"> shall not limit the rights of the Administrative Agent, any Lender, any Issuing Lender or the Swingline Lender, as the case may be, under </w:t>
      </w:r>
      <w:r>
        <w:rPr>
          <w:rFonts w:ascii="Times New Roman" w:hAnsi="Times New Roman"/>
          <w:sz w:val="20"/>
          <w:u w:val="single"/>
        </w:rPr>
        <w:t>Section 2.05(i)</w:t>
      </w:r>
      <w:r>
        <w:rPr>
          <w:rFonts w:ascii="Times New Roman" w:hAnsi="Times New Roman"/>
          <w:sz w:val="20"/>
        </w:rPr>
        <w:t xml:space="preserve">, </w:t>
      </w:r>
      <w:r>
        <w:rPr>
          <w:rFonts w:ascii="Times New Roman" w:hAnsi="Times New Roman"/>
          <w:sz w:val="20"/>
          <w:u w:val="single"/>
        </w:rPr>
        <w:t>2.11(a)</w:t>
      </w:r>
      <w:r>
        <w:rPr>
          <w:rFonts w:ascii="Times New Roman" w:hAnsi="Times New Roman"/>
          <w:sz w:val="20"/>
        </w:rPr>
        <w:t xml:space="preserve">, </w:t>
      </w:r>
      <w:r>
        <w:rPr>
          <w:rFonts w:ascii="Times New Roman" w:hAnsi="Times New Roman"/>
          <w:sz w:val="20"/>
          <w:u w:val="single"/>
        </w:rPr>
        <w:t>2.11(b)</w:t>
      </w:r>
      <w:r>
        <w:rPr>
          <w:rFonts w:ascii="Times New Roman" w:hAnsi="Times New Roman"/>
          <w:sz w:val="20"/>
        </w:rPr>
        <w:t xml:space="preserve"> or </w:t>
      </w:r>
      <w:r>
        <w:rPr>
          <w:rFonts w:ascii="Times New Roman" w:hAnsi="Times New Roman"/>
          <w:sz w:val="20"/>
          <w:u w:val="single"/>
        </w:rPr>
        <w:t>2.12(c)</w:t>
      </w:r>
      <w:r>
        <w:rPr>
          <w:rFonts w:ascii="Times New Roman" w:hAnsi="Times New Roman"/>
          <w:sz w:val="20"/>
        </w:rPr>
        <w:t xml:space="preserve"> or under </w:t>
      </w:r>
      <w:r>
        <w:rPr>
          <w:rFonts w:ascii="Times New Roman" w:hAnsi="Times New Roman"/>
          <w:sz w:val="20"/>
          <w:u w:val="single"/>
        </w:rPr>
        <w:t>Article VII</w:t>
      </w:r>
      <w:r>
        <w:rPr>
          <w:rFonts w:ascii="Times New Roman" w:hAnsi="Times New Roman"/>
          <w:sz w:val="20"/>
        </w:rPr>
        <w:t xml:space="preserve">. GEO’s or the Borrowers’ respective obligations under this </w:t>
      </w:r>
      <w:r>
        <w:rPr>
          <w:rFonts w:ascii="Times New Roman" w:hAnsi="Times New Roman"/>
          <w:sz w:val="20"/>
          <w:u w:val="single"/>
        </w:rPr>
        <w:t>Section 2.12(f)</w:t>
      </w:r>
      <w:r>
        <w:rPr>
          <w:rFonts w:ascii="Times New Roman" w:hAnsi="Times New Roman"/>
          <w:sz w:val="20"/>
        </w:rPr>
        <w:t xml:space="preserve"> shall not terminate until the payment by GEO or the Borrowers, as applicable, of the principal of and interest on the applicable Loans and all other outstanding obligations owing by them under the Loan Documents, the expiration or termination of all Letters of Credit and the expiration or termination of the Commitments if at such time no demand shall have been made for payment (and no amount shall have become automatically due) under this </w:t>
      </w:r>
      <w:r>
        <w:rPr>
          <w:rFonts w:ascii="Times New Roman" w:hAnsi="Times New Roman"/>
          <w:sz w:val="20"/>
          <w:u w:val="single"/>
        </w:rPr>
        <w:t>Section 2.12(f)</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Alternate Rate of Interest</w:t>
      </w:r>
      <w:r>
        <w:rPr>
          <w:rFonts w:ascii="Times New Roman" w:hAnsi="Times New Roman"/>
          <w:sz w:val="20"/>
        </w:rPr>
        <w:t xml:space="preserve">. Subject to </w:t>
      </w:r>
      <w:r>
        <w:rPr>
          <w:rFonts w:ascii="Times New Roman" w:hAnsi="Times New Roman"/>
          <w:sz w:val="20"/>
          <w:u w:val="single"/>
        </w:rPr>
        <w:t>Section 2.24</w:t>
      </w:r>
      <w:r>
        <w:rPr>
          <w:rFonts w:ascii="Times New Roman" w:hAnsi="Times New Roman"/>
          <w:sz w:val="20"/>
        </w:rPr>
        <w:t xml:space="preserve">, if prior to the commencement of the Interest Period for any SOFR Borrowing: </w:t>
      </w:r>
    </w:p>
    <w:p>
      <w:pPr>
        <w:pStyle w:val="TextBody"/>
        <w:bidi w:val="0"/>
        <w:spacing w:before="120" w:after="0"/>
        <w:jc w:val="left"/>
        <w:rPr>
          <w:rFonts w:ascii="Times New Roman" w:hAnsi="Times New Roman"/>
          <w:sz w:val="20"/>
        </w:rPr>
      </w:pPr>
      <w:r>
        <w:rPr>
          <w:rFonts w:ascii="Times New Roman" w:hAnsi="Times New Roman"/>
          <w:sz w:val="20"/>
        </w:rPr>
        <w:t xml:space="preserve">(i) the Administrative Agent determines (which determination shall be conclusive absent manifest error) that adequate and reasonable means do not exist for ascertaining Term SOFR for such Interest Period; or </w:t>
      </w:r>
    </w:p>
    <w:p>
      <w:pPr>
        <w:pStyle w:val="TextBody"/>
        <w:bidi w:val="0"/>
        <w:spacing w:before="120" w:after="0"/>
        <w:jc w:val="left"/>
        <w:rPr>
          <w:rFonts w:ascii="Times New Roman" w:hAnsi="Times New Roman"/>
          <w:sz w:val="20"/>
        </w:rPr>
      </w:pPr>
      <w:r>
        <w:rPr>
          <w:rFonts w:ascii="Times New Roman" w:hAnsi="Times New Roman"/>
          <w:sz w:val="20"/>
        </w:rPr>
        <w:t xml:space="preserve">(ii) the Administrative Agent is advised by the Required Lenders of the relevant Class that Term SOFR for such Interest Period will not adequately and fairly reflect the cost to such Lenders of making or maintaining their respective Loans included in such Borrowing for such Interest Period; </w:t>
      </w:r>
    </w:p>
    <w:p>
      <w:pPr>
        <w:pStyle w:val="TextBody"/>
        <w:bidi w:val="0"/>
        <w:spacing w:before="240" w:after="0"/>
        <w:jc w:val="left"/>
        <w:rPr>
          <w:rFonts w:ascii="Times New Roman" w:hAnsi="Times New Roman"/>
          <w:sz w:val="20"/>
        </w:rPr>
      </w:pPr>
      <w:r>
        <w:rPr>
          <w:rFonts w:ascii="Times New Roman" w:hAnsi="Times New Roman"/>
          <w:sz w:val="20"/>
        </w:rPr>
        <w:t xml:space="preserve">then the Administrative Agent shall give notice thereof to GEO and the Lenders by telephone or in writing as promptly as practicable thereafter and, until the Administrative Agent notifies GEO and the Lenders that the circumstances giving rise to such notice no longer exist, (i) any Interest Election Request that requests the conversion of any Borrowing to, or the continuation of any Borrowing as, a SOFR Borrowing shall be ineffective and such Borrowing (unless prepaid) shall be continued as, or converted to, an ABR Borrowing, and (ii) if any Borrowing Request requests a SOFR Borrowing, such Borrowing shall be made as an ABR Borrowing.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Term SOFR Conforming Changes</w:t>
      </w:r>
      <w:r>
        <w:rPr>
          <w:rFonts w:ascii="Times New Roman" w:hAnsi="Times New Roman"/>
          <w:sz w:val="20"/>
        </w:rPr>
        <w:t xml:space="preserve">. In connection with the use or administration of Term SOFR,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The Administrative Agent will promptly notify the Borrowers and the Lenders of the effectiveness of any Conforming Changes in connection with the use or administration of Term SOFR.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2.13 </w:t>
      </w:r>
      <w:r>
        <w:rPr>
          <w:rFonts w:ascii="Times New Roman" w:hAnsi="Times New Roman"/>
          <w:sz w:val="20"/>
          <w:u w:val="single"/>
        </w:rPr>
        <w:t>Increased Costs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Increased Costs Generally</w:t>
      </w:r>
      <w:r>
        <w:rPr>
          <w:rFonts w:ascii="Times New Roman" w:hAnsi="Times New Roman"/>
          <w:sz w:val="20"/>
        </w:rPr>
        <w:t xml:space="preserve">. If any Change in Law shall: </w:t>
      </w:r>
    </w:p>
    <w:p>
      <w:pPr>
        <w:pStyle w:val="TextBody"/>
        <w:bidi w:val="0"/>
        <w:spacing w:before="120" w:after="0"/>
        <w:jc w:val="left"/>
        <w:rPr>
          <w:rFonts w:ascii="Times New Roman" w:hAnsi="Times New Roman"/>
          <w:sz w:val="20"/>
        </w:rPr>
      </w:pPr>
      <w:r>
        <w:rPr>
          <w:rFonts w:ascii="Times New Roman" w:hAnsi="Times New Roman"/>
          <w:sz w:val="20"/>
        </w:rPr>
        <w:t xml:space="preserve">(i) impose, modify or deem applicable any reserve, special deposit, compulsory loan, insurance charge or similar requirement against assets of, deposits with or for the account of, or credit extended or participated in by, any Lender or any Issuing Lender; </w:t>
      </w:r>
    </w:p>
    <w:p>
      <w:pPr>
        <w:pStyle w:val="TextBody"/>
        <w:bidi w:val="0"/>
        <w:spacing w:before="120" w:after="0"/>
        <w:jc w:val="left"/>
        <w:rPr>
          <w:rFonts w:ascii="Times New Roman" w:hAnsi="Times New Roman"/>
          <w:sz w:val="20"/>
        </w:rPr>
      </w:pPr>
      <w:r>
        <w:rPr>
          <w:rFonts w:ascii="Times New Roman" w:hAnsi="Times New Roman"/>
          <w:sz w:val="20"/>
        </w:rPr>
        <w:t xml:space="preserve">(ii) subject any Lender or any Issuing Lender to any tax of any kind whatsoever with respect to this Agreement, any Letter of Credit, any participation in a Letter of Credit or any SOFR Loan made by it, or change the basis of taxation of payments to such Lender or such Issuing Lender in respect thereof (except for (A) Indemnified Taxes and (B) Taxes described in clauses (c) through (e) of the definition of Excluded Taxes); or </w:t>
      </w:r>
    </w:p>
    <w:p>
      <w:pPr>
        <w:pStyle w:val="TextBody"/>
        <w:bidi w:val="0"/>
        <w:spacing w:before="120" w:after="0"/>
        <w:jc w:val="left"/>
        <w:rPr>
          <w:rFonts w:ascii="Times New Roman" w:hAnsi="Times New Roman"/>
          <w:sz w:val="20"/>
        </w:rPr>
      </w:pPr>
      <w:r>
        <w:rPr>
          <w:rFonts w:ascii="Times New Roman" w:hAnsi="Times New Roman"/>
          <w:sz w:val="20"/>
        </w:rPr>
        <w:t xml:space="preserve">(iii) impose on any Lender or any Issuing Lender any other condition, cost or expense affecting this Agreement or SOFR Loans made by such Lender or any Letter of Credit or any participation in such Loan or Letter of Credit; </w:t>
      </w:r>
    </w:p>
    <w:p>
      <w:pPr>
        <w:pStyle w:val="TextBody"/>
        <w:bidi w:val="0"/>
        <w:spacing w:before="240" w:after="0"/>
        <w:jc w:val="left"/>
        <w:rPr>
          <w:rFonts w:ascii="Times New Roman" w:hAnsi="Times New Roman"/>
          <w:sz w:val="20"/>
        </w:rPr>
      </w:pPr>
      <w:r>
        <w:rPr>
          <w:rFonts w:ascii="Times New Roman" w:hAnsi="Times New Roman"/>
          <w:sz w:val="20"/>
        </w:rPr>
        <w:t xml:space="preserve">and the result of any of the foregoing shall be to increase the cost to such Lender of making or maintaining any SOFR Loan (or of maintaining its obligation to make any such Loan) or to increase the cost to such Lender or such Issuing Lender of participating in, issuing or maintaining any Letter of Credit (or of maintaining its obligation to participate in or to issue any Letter of Credit), or to reduce the amount of any sum received or receivable by such Lender or such Issuing Lender hereunder (whether of principal, interest or any other amount) then, upon request of such Lender or such Issuing Lender, GEO or the Borrowers, as applicable, will pay to such Lender or such Issuing Lender, as the case may be, such additional amount or amounts as will compensate such Lender or such Issuing Lender, as the case may be, for such additional costs incurred or reduction suffered.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Capital Requirements</w:t>
      </w:r>
      <w:r>
        <w:rPr>
          <w:rFonts w:ascii="Times New Roman" w:hAnsi="Times New Roman"/>
          <w:sz w:val="20"/>
        </w:rPr>
        <w:t xml:space="preserve">. If any Lender or any Issuing Lender determines that any Change in Law affecting such Lender or such Issuing Lender or any lending office of such Lender or such Lender’s or such Issuing Lender’s holding company, if any, regarding capital or liquidity requirements has or would have the effect of reducing the rate of return on such Lender’s or such Issuing Lender’s capital or on the capital of such Lender’s or such Issuing Lender’s holding company, if any, as a consequence of this Agreement, the Commitments of such Lender or the Loans made by, or participations in Letters of Credit held by, such Lender, or the Letters of Credit issued by such Issuing Lender, to a level below that which such Lender or such Issuing Lender or such Lender’s or such Issuing Lender’s holding company could have achieved but for such Change in Law (taking into consideration such Lender’s or such Issuing Lender’s policies and the policies of such Lender’s or such Issuing Lender’s holding company with respect to capital adequacy and liquidity), then from time to time GEO will pay to such Lender or such Issuing Lender, as the case may be, such additional amount or amounts as will compensate such Lender or such Issuing Lender or such Lender’s or such Issuing Lender’s holding company for any such reduction suffered.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Certificates for Reimbursement</w:t>
      </w:r>
      <w:r>
        <w:rPr>
          <w:rFonts w:ascii="Times New Roman" w:hAnsi="Times New Roman"/>
          <w:sz w:val="20"/>
        </w:rPr>
        <w:t xml:space="preserve">. A certificate of a Lender or an Issuing Lender setting forth, in reasonable detail, the basis for determining such amount or amounts necessary to compensate such Lender or such Issuing Lender or its holding company, as the case may be, as specified in </w:t>
      </w:r>
      <w:r>
        <w:rPr>
          <w:rFonts w:ascii="Times New Roman" w:hAnsi="Times New Roman"/>
          <w:sz w:val="20"/>
          <w:u w:val="single"/>
        </w:rPr>
        <w:t>Sections 2.13(a)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and delivered to GEO shall be conclusive absent manifest error. GEO or the Borrowers, as applicable, shall pay such Lender or such Issuing Lender, as the case may be, the amount shown as due on any such certificate within 10 days after receipt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Delay in Requests</w:t>
      </w:r>
      <w:r>
        <w:rPr>
          <w:rFonts w:ascii="Times New Roman" w:hAnsi="Times New Roman"/>
          <w:sz w:val="20"/>
        </w:rPr>
        <w:t xml:space="preserve">. Failure or delay on the part of any Lender or any Issuing Lender to demand compensation pursuant to this </w:t>
      </w:r>
      <w:r>
        <w:rPr>
          <w:rFonts w:ascii="Times New Roman" w:hAnsi="Times New Roman"/>
          <w:sz w:val="20"/>
          <w:u w:val="single"/>
        </w:rPr>
        <w:t>Section 2.13</w:t>
      </w:r>
      <w:r>
        <w:rPr>
          <w:rFonts w:ascii="Times New Roman" w:hAnsi="Times New Roman"/>
          <w:sz w:val="20"/>
        </w:rPr>
        <w:t xml:space="preserve"> shall not constitute a waiver of such Lender’s or such Issuing Lender’s right to demand such compensation; </w:t>
      </w:r>
      <w:r>
        <w:rPr>
          <w:rFonts w:ascii="Times New Roman" w:hAnsi="Times New Roman"/>
          <w:sz w:val="20"/>
          <w:u w:val="single"/>
        </w:rPr>
        <w:t>provided</w:t>
      </w:r>
      <w:r>
        <w:rPr>
          <w:rFonts w:ascii="Times New Roman" w:hAnsi="Times New Roman"/>
          <w:sz w:val="20"/>
        </w:rPr>
        <w:t xml:space="preserve"> that GEO or the Borrowers, as applicable, shall not be required to compensate a Lender or an Issuing Lender pursuant to this </w:t>
      </w:r>
      <w:r>
        <w:rPr>
          <w:rFonts w:ascii="Times New Roman" w:hAnsi="Times New Roman"/>
          <w:sz w:val="20"/>
          <w:u w:val="single"/>
        </w:rPr>
        <w:t xml:space="preserve">Section 2.13 </w:t>
      </w:r>
      <w:r>
        <w:rPr>
          <w:rFonts w:ascii="Times New Roman" w:hAnsi="Times New Roman"/>
          <w:sz w:val="20"/>
        </w:rPr>
        <w:t xml:space="preserve">for any increased costs incurred or reductions suffered more than six months prior to the date that such Lender or such Issuing Lender, as the case may be, notifies GEO of the Change in Law giving rise to such increased costs or reductions and of such Lender’s or such Issuing Lender’s intention to claim compensation therefor (except that, if the Change in Law giving rise to such increased costs or reductions is retroactive, then the six-month period referred to above shall be extended to include the period of retroactive effect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2.14 </w:t>
      </w:r>
      <w:r>
        <w:rPr>
          <w:rFonts w:ascii="Times New Roman" w:hAnsi="Times New Roman"/>
          <w:sz w:val="20"/>
          <w:u w:val="single"/>
        </w:rPr>
        <w:t>Break Funding Payments</w:t>
      </w:r>
      <w:r>
        <w:rPr>
          <w:rFonts w:ascii="Times New Roman" w:hAnsi="Times New Roman"/>
          <w:sz w:val="20"/>
        </w:rPr>
        <w:t xml:space="preserve">. In the event of (a) the payment of any principal of any SOFR Loan other than on the last day of the Interest Period therefor (including as a result of an Event of Default), (b) the conversion of any SOFR Loan other than on the last day of the Interest Period therefor, (c) the failure to borrow, convert, continue or prepay any Loan on the date specified in any notice delivered pursuant hereto (regardless of whether such notice is permitted to be revocable under </w:t>
      </w:r>
      <w:r>
        <w:rPr>
          <w:rFonts w:ascii="Times New Roman" w:hAnsi="Times New Roman"/>
          <w:sz w:val="20"/>
          <w:u w:val="single"/>
        </w:rPr>
        <w:t>Section 2.10(c)</w:t>
      </w:r>
      <w:r>
        <w:rPr>
          <w:rFonts w:ascii="Times New Roman" w:hAnsi="Times New Roman"/>
          <w:sz w:val="20"/>
        </w:rPr>
        <w:t xml:space="preserve"> and is revoked in accordance herewith), or (d) the assignment as a result of a request by GEO pursuant to </w:t>
      </w:r>
      <w:r>
        <w:rPr>
          <w:rFonts w:ascii="Times New Roman" w:hAnsi="Times New Roman"/>
          <w:sz w:val="20"/>
          <w:u w:val="single"/>
        </w:rPr>
        <w:t>Section 2.17(b)</w:t>
      </w:r>
      <w:r>
        <w:rPr>
          <w:rFonts w:ascii="Times New Roman" w:hAnsi="Times New Roman"/>
          <w:sz w:val="20"/>
        </w:rPr>
        <w:t xml:space="preserve"> of any SOFR Loan other than on the last day of the Interest Period therefor, then, in any such event, GEO (with respect to any such Term Borrowing) or the Borrowers (with respect to any such Revolving Credit Borrowing), as applicable, shall compensate each Lender for the loss, cost and expense attributable to such event. A certificate of any Lender setting forth, in reasonable detail, the basis for determining such amount or amounts that such Lender is entitled to receive pursuant to this </w:t>
      </w:r>
      <w:r>
        <w:rPr>
          <w:rFonts w:ascii="Times New Roman" w:hAnsi="Times New Roman"/>
          <w:sz w:val="20"/>
          <w:u w:val="single"/>
        </w:rPr>
        <w:t>Section 2.14</w:t>
      </w:r>
      <w:r>
        <w:rPr>
          <w:rFonts w:ascii="Times New Roman" w:hAnsi="Times New Roman"/>
          <w:sz w:val="20"/>
        </w:rPr>
        <w:t xml:space="preserve"> shall be delivered to GEO and shall be conclusive absent manifest error. GEO or the Borrowers, as applicable, shall pay such Lender the amount shown as due on any such certificate within 10 days after receipt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2.15 </w:t>
      </w:r>
      <w:r>
        <w:rPr>
          <w:rFonts w:ascii="Times New Roman" w:hAnsi="Times New Roman"/>
          <w:sz w:val="20"/>
          <w:u w:val="single"/>
        </w:rPr>
        <w:t>Taxes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Defined Terms</w:t>
      </w:r>
      <w:r>
        <w:rPr>
          <w:rFonts w:ascii="Times New Roman" w:hAnsi="Times New Roman"/>
          <w:sz w:val="20"/>
        </w:rPr>
        <w:t xml:space="preserve">. For purposes of this Section, the term “Lender” includes any Issuing Lender and the term “applicable Law” includes FATCA.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Payments Free of Taxes</w:t>
      </w:r>
      <w:r>
        <w:rPr>
          <w:rFonts w:ascii="Times New Roman" w:hAnsi="Times New Roman"/>
          <w:sz w:val="20"/>
        </w:rPr>
        <w:t xml:space="preserve">. Any and all payments by or on account of any obligation of any Borrower hereunder or under any other Loan Document shall be made free and clear of and without deduction or withholding for any Taxes; </w:t>
      </w:r>
      <w:r>
        <w:rPr>
          <w:rFonts w:ascii="Times New Roman" w:hAnsi="Times New Roman"/>
          <w:sz w:val="20"/>
          <w:u w:val="single"/>
        </w:rPr>
        <w:t>provided</w:t>
      </w:r>
      <w:r>
        <w:rPr>
          <w:rFonts w:ascii="Times New Roman" w:hAnsi="Times New Roman"/>
          <w:sz w:val="20"/>
        </w:rPr>
        <w:t xml:space="preserve"> that if any Borrower or the Administrative Agent, as applicable, shall be required by applicable Law to deduct or withhold any Taxes (including any Other Taxes) from such payments, then (i) solely to the extent such Taxes constitute Indemnified Taxes, the sum payable by the relevant Borrower shall be increased as necessary so that after such deduction or withholding has been made (including deductions and withholdings applicable to additional sums payable under this Section) the Administrative Agent or Lender, as the case may be, receives an amount equal to the sum it would have received had no such deduction or withholding been made, (ii) the relevant Borrower or the Administrative Agent, as applicable, shall make such deductions and (iii) the relevant Borrower or the Administrative Agent, as applicable, shall timely pay the full amount deducted to the relevant Governmental Authority in accordance with applicable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Payment of Other Taxes by the Borrowers</w:t>
      </w:r>
      <w:r>
        <w:rPr>
          <w:rFonts w:ascii="Times New Roman" w:hAnsi="Times New Roman"/>
          <w:sz w:val="20"/>
        </w:rPr>
        <w:t xml:space="preserve">. Without limiting the provisions of </w:t>
      </w:r>
      <w:r>
        <w:rPr>
          <w:rFonts w:ascii="Times New Roman" w:hAnsi="Times New Roman"/>
          <w:sz w:val="20"/>
          <w:u w:val="single"/>
        </w:rPr>
        <w:t>Section 2.15(b)</w:t>
      </w:r>
      <w:r>
        <w:rPr>
          <w:rFonts w:ascii="Times New Roman" w:hAnsi="Times New Roman"/>
          <w:sz w:val="20"/>
        </w:rPr>
        <w:t xml:space="preserve">, the Borrowers shall timely pay (or cause to be paid), or at the option of the Administrative Agent timely reimburse it for the payment of, any Other Taxes to the relevant Governmental Authority in accordance with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Indemnification by the Borrowers</w:t>
      </w:r>
      <w:r>
        <w:rPr>
          <w:rFonts w:ascii="Times New Roman" w:hAnsi="Times New Roman"/>
          <w:sz w:val="20"/>
        </w:rPr>
        <w:t xml:space="preserve">. The Borrowers shall indemnify each Payee, within 10 days after demand therefor, for the full amount of any Indemnified Taxes or Other Taxes (including Indemnified Taxes or Other Taxes imposed or asserted on or attributable to amounts payable under this Section) payable or paid by any Payee or required to be withheld or deducted from a payment to any such Payee and any penalties, interest and reasonable expenses arising therefrom or with respect thereto, whether or not such Indemnified Taxes or Other Taxes were correctly or legally imposed or asserted by the relevant Governmental Authority. A certificate as to the amount of such payment or liability delivered to GEO by a Lender (with a copy to the Administrative Agent), or by the Administrative Agent on its own behalf or on behalf of a Lender, shall be conclusive absent manifest error.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Evidence of Payments</w:t>
      </w:r>
      <w:r>
        <w:rPr>
          <w:rFonts w:ascii="Times New Roman" w:hAnsi="Times New Roman"/>
          <w:sz w:val="20"/>
        </w:rPr>
        <w:t xml:space="preserve">. As soon as practicable after any payment of Taxes by the Borrowers to a Governmental Authority, GEO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Status of Payees</w:t>
      </w:r>
      <w:r>
        <w:rPr>
          <w:rFonts w:ascii="Times New Roman" w:hAnsi="Times New Roman"/>
          <w:sz w:val="20"/>
        </w:rPr>
        <w:t xml:space="preserve">. Each Payee that is entitled to an exemption from or reduction of withholding Tax with respect to payments made under any Loan Document shall deliver to GEO and the Administrative Agent, at the time or times reasonably requested by GEO or the Administrative Agent, such properly completed and executed documentation reasonably requested by GEO or the Administrative Agent as will permit such payments to be made without withholding or at a reduced rate of withholding. In addition, any Payee, if reasonably requested by GEO or the Administrative Agent, shall deliver such other documentation prescribed by applicable Law or reasonably requested by GEO or the Administrative Agent as will enable GEO or the Administrative Agent to determine whether or not such Payee is subject to backup withholding or information reporting requirements. Notwithstanding anything to the contrary in the preceding two sentences, the completion, execution and submission of such documentation (other than such documentation set forth in paragraphs (A), (B) and (D) of Section 2.15(f)(ii)) shall not be required if in the Payee’s reasonable judgment such completion, execution or submission would subject such Payee to any material unreimbursed cost or expense or would materially prejudice the legal or commercial position of such Payee. </w:t>
      </w:r>
    </w:p>
    <w:p>
      <w:pPr>
        <w:pStyle w:val="TextBody"/>
        <w:bidi w:val="0"/>
        <w:spacing w:before="120" w:after="0"/>
        <w:jc w:val="left"/>
        <w:rPr>
          <w:rFonts w:ascii="Times New Roman" w:hAnsi="Times New Roman"/>
          <w:sz w:val="20"/>
        </w:rPr>
      </w:pPr>
      <w:r>
        <w:rPr>
          <w:rFonts w:ascii="Times New Roman" w:hAnsi="Times New Roman"/>
          <w:sz w:val="20"/>
        </w:rPr>
        <w:t xml:space="preserve">(i) Without limiting the generality of the foregoing, in the event that the Borrowers are each U.S. Borrowers, </w:t>
      </w:r>
    </w:p>
    <w:p>
      <w:pPr>
        <w:pStyle w:val="TextBody"/>
        <w:bidi w:val="0"/>
        <w:spacing w:before="120" w:after="0"/>
        <w:jc w:val="left"/>
        <w:rPr>
          <w:rFonts w:ascii="Times New Roman" w:hAnsi="Times New Roman"/>
          <w:sz w:val="20"/>
        </w:rPr>
      </w:pPr>
      <w:r>
        <w:rPr>
          <w:rFonts w:ascii="Times New Roman" w:hAnsi="Times New Roman"/>
          <w:sz w:val="20"/>
        </w:rPr>
        <w:t xml:space="preserve">(A) any Payee that is a U.S. Person shall deliver to GEO and the Administrative Agent on or before the date on which such Payee becomes a Payee under this Agreement (and from time to time thereafter upon the reasonable request of GEO or the Administrative Agent), executed copies of IRS Form W-9 certifying that such Payee is exempt from U.S. federal backup withholding tax;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any Foreign Payee shall, to the extent it is legally entitled to do so, deliver to GEO and the Administrative Agent (in such number of copies as shall be requested by the recipient) on or about the date on which such Foreign Payee becomes a Payee under this Agreement (and from time to time thereafter upon the reasonable request of GEO or the Administrative Agent), whichever of the following is applicable: </w:t>
      </w:r>
    </w:p>
    <w:p>
      <w:pPr>
        <w:pStyle w:val="TextBody"/>
        <w:bidi w:val="0"/>
        <w:spacing w:before="120" w:after="0"/>
        <w:jc w:val="left"/>
        <w:rPr>
          <w:rFonts w:ascii="Times New Roman" w:hAnsi="Times New Roman"/>
          <w:sz w:val="20"/>
        </w:rPr>
      </w:pPr>
      <w:r>
        <w:rPr>
          <w:rFonts w:ascii="Times New Roman" w:hAnsi="Times New Roman"/>
          <w:sz w:val="20"/>
        </w:rPr>
        <w:t xml:space="preserve">(1) in the case of a Foreign Payee claiming the benefits of an income tax treaty to which the United States is a party (x) with respect to payments of interest under any Loan Document, executed copies of IRS Form W-8BEN or IRS Form W-8BEN-E establishing an exemption from, or reduction of, U.S. federal withholding Tax pursuant to the “interest” article of such tax treaty and (y) with respect to any other applicable payments under any Loan Document, IRS Form W-8BEN or IRS Form W-8BEN-E establishing an exemption from, or reduction of, U.S. federal withholding Tax pursuant to the “business profits” or “other income” article of such tax treaty; </w:t>
      </w:r>
    </w:p>
    <w:p>
      <w:pPr>
        <w:pStyle w:val="TextBody"/>
        <w:bidi w:val="0"/>
        <w:spacing w:before="120" w:after="0"/>
        <w:jc w:val="left"/>
        <w:rPr>
          <w:rFonts w:ascii="Times New Roman" w:hAnsi="Times New Roman"/>
          <w:sz w:val="20"/>
        </w:rPr>
      </w:pPr>
      <w:r>
        <w:rPr>
          <w:rFonts w:ascii="Times New Roman" w:hAnsi="Times New Roman"/>
          <w:sz w:val="20"/>
        </w:rPr>
        <w:t xml:space="preserve">(2) executed copies of IRS Form W-8ECI; </w:t>
      </w:r>
    </w:p>
    <w:p>
      <w:pPr>
        <w:pStyle w:val="TextBody"/>
        <w:bidi w:val="0"/>
        <w:spacing w:before="120" w:after="0"/>
        <w:jc w:val="left"/>
        <w:rPr>
          <w:rFonts w:ascii="Times New Roman" w:hAnsi="Times New Roman"/>
          <w:sz w:val="20"/>
        </w:rPr>
      </w:pPr>
      <w:r>
        <w:rPr>
          <w:rFonts w:ascii="Times New Roman" w:hAnsi="Times New Roman"/>
          <w:sz w:val="20"/>
        </w:rPr>
        <w:t>(3) in the case of a Foreign Payee claiming the benefits of the exemption for portfolio interest under Section 881(c) of the Code, (x) a certificate substantially in the form of Exhibit G-1 to the effect that such Foreign Payee is not a “bank” within the meaning of Section 881(c)(3)(A) of the Code, a “10-percent shareholder” of any Borrower within the meaning of Section 871(h)(3)(B) of the Code, or a “controlled foreign corporation” related to any Borrower as described in Section 881(c)(3)(C) of the Code (a “</w:t>
      </w:r>
      <w:r>
        <w:rPr>
          <w:rFonts w:ascii="Times New Roman" w:hAnsi="Times New Roman"/>
          <w:sz w:val="20"/>
          <w:u w:val="single"/>
        </w:rPr>
        <w:t>U.S. Tax Compliance Certificate</w:t>
      </w:r>
      <w:r>
        <w:rPr>
          <w:rFonts w:ascii="Times New Roman" w:hAnsi="Times New Roman"/>
          <w:sz w:val="20"/>
        </w:rPr>
        <w:t xml:space="preserve">”) and (y) executed copies of IRS Form W-8BEN or IRS Form W-8BEN-E; or </w:t>
      </w:r>
    </w:p>
    <w:p>
      <w:pPr>
        <w:pStyle w:val="TextBody"/>
        <w:bidi w:val="0"/>
        <w:spacing w:before="120" w:after="0"/>
        <w:jc w:val="left"/>
        <w:rPr>
          <w:rFonts w:ascii="Times New Roman" w:hAnsi="Times New Roman"/>
          <w:sz w:val="20"/>
        </w:rPr>
      </w:pPr>
      <w:r>
        <w:rPr>
          <w:rFonts w:ascii="Times New Roman" w:hAnsi="Times New Roman"/>
          <w:sz w:val="20"/>
        </w:rPr>
        <w:t xml:space="preserve">(4) to the extent a Foreign Payee is not the beneficial owner, executed copies of IRS Form W-8IMY, accompanied by IRS Form W-8ECI, IRS Form W-8BEN, IRS Form W-8BEN-E, a U.S. Tax Compliance Certificate substantially in the form of Exhibit G-2 or Exhibit G-3, IRS Form W-9, or other certification documents from each beneficial owner, as applicable; </w:t>
      </w:r>
      <w:r>
        <w:rPr>
          <w:rFonts w:ascii="Times New Roman" w:hAnsi="Times New Roman"/>
          <w:sz w:val="20"/>
          <w:u w:val="single"/>
        </w:rPr>
        <w:t>provided</w:t>
      </w:r>
      <w:r>
        <w:rPr>
          <w:rFonts w:ascii="Times New Roman" w:hAnsi="Times New Roman"/>
          <w:sz w:val="20"/>
        </w:rPr>
        <w:t xml:space="preserve"> that if the Foreign Payee is a partnership and one or more direct or indirect partners of such Foreign Payee are claiming the portfolio interest exemption, such Foreign Payee may provide a U.S. Tax Compliance Certificate substantially in the form of Exhibit G-4 on behalf of each such direct and indirect partner; </w:t>
      </w:r>
    </w:p>
    <w:p>
      <w:pPr>
        <w:pStyle w:val="TextBody"/>
        <w:bidi w:val="0"/>
        <w:spacing w:before="120" w:after="0"/>
        <w:jc w:val="left"/>
        <w:rPr>
          <w:rFonts w:ascii="Times New Roman" w:hAnsi="Times New Roman"/>
          <w:sz w:val="20"/>
        </w:rPr>
      </w:pPr>
      <w:r>
        <w:rPr>
          <w:rFonts w:ascii="Times New Roman" w:hAnsi="Times New Roman"/>
          <w:sz w:val="20"/>
        </w:rPr>
        <w:t xml:space="preserve">(C) any Foreign Lender shall, to the extent it is legally entitled to do so, deliver to GEO and the Administrative Agent (in such number of copies as shall be requested by the recipient) on or prior to the date on which such Foreign Lender becomes a Lender under this Agreement (and from time to time thereafter upon the reasonable request of GEO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GEO or the Administrative Agent to determine the withholding or deduction required to be made;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if a payment made to a Payee under any Loan Document would be subject to U.S. federal withholding Tax imposed by FATCA if such Payee were to fail to comply with the applicable reporting requirements of FATCA (including those contained in Section 1471(b) or 1472(b) of the Code, as applicable), such Payee shall deliver to GEO and the Administrative Agent at the time or times prescribed by Law and at such time or times reasonably requested by GEO or the Administrative Agent such documentation prescribed by applicable Law (including as prescribed by Section 1471(b)(3)(C)(i) of the Code) and such additional documentation reasonably requested by GEO or the Administrative Agent as may be necessary for either Borrower and the Administrative Agent to comply with their obligations under FATCA and to determine that such Payee has complied with such Payee’s obligations under FATCA or to determine the amount to deduct and withhold from such payment. Solely for purposes of this </w:t>
      </w:r>
      <w:r>
        <w:rPr>
          <w:rFonts w:ascii="Times New Roman" w:hAnsi="Times New Roman"/>
          <w:sz w:val="20"/>
          <w:u w:val="single"/>
        </w:rPr>
        <w:t>Section 2.15(f)</w:t>
      </w:r>
      <w:r>
        <w:rPr>
          <w:rFonts w:ascii="Times New Roman" w:hAnsi="Times New Roman"/>
          <w:sz w:val="20"/>
        </w:rPr>
        <w:t xml:space="preserve">, “FATCA” shall include any amendments made to FATCA after the Effective Date. </w:t>
      </w:r>
    </w:p>
    <w:p>
      <w:pPr>
        <w:pStyle w:val="TextBody"/>
        <w:bidi w:val="0"/>
        <w:spacing w:before="240" w:after="0"/>
        <w:jc w:val="left"/>
        <w:rPr>
          <w:rFonts w:ascii="Times New Roman" w:hAnsi="Times New Roman"/>
          <w:sz w:val="20"/>
        </w:rPr>
      </w:pPr>
      <w:r>
        <w:rPr>
          <w:rFonts w:ascii="Times New Roman" w:hAnsi="Times New Roman"/>
          <w:sz w:val="20"/>
        </w:rPr>
        <w:t xml:space="preserve">Each Payee agrees that if any form or certification it previously delivered expires or becomes obsolete or inaccurate in any respect, it shall update such form or certification or promptly notify GEO and the Administrative Agent in writing of its legal inability to do so.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Treatment of Certain Refunds</w:t>
      </w:r>
      <w:r>
        <w:rPr>
          <w:rFonts w:ascii="Times New Roman" w:hAnsi="Times New Roman"/>
          <w:sz w:val="20"/>
        </w:rPr>
        <w:t xml:space="preserve">. If the Administrative Agent or any Payee determines, in its sole discretion, that it has received a refund of any Taxes as to which it has been indemnified by a Borrower or with respect to which any Borrower has paid additional amounts pursuant to this Section, it shall pay to GEO an amount equal to such refund (but only to the extent of indemnity payments made, or additional amounts paid, by such Borrower under this Section with respect to the Taxes giving rise to such refund), net of all out-of-pocket expenses (including Taxes) of the Administrative Agent or such Payee, as the case may be, and without interest (other than any interest paid by the relevant Governmental Authority with respect to such refund); </w:t>
      </w:r>
      <w:r>
        <w:rPr>
          <w:rFonts w:ascii="Times New Roman" w:hAnsi="Times New Roman"/>
          <w:sz w:val="20"/>
          <w:u w:val="single"/>
        </w:rPr>
        <w:t>provided</w:t>
      </w:r>
      <w:r>
        <w:rPr>
          <w:rFonts w:ascii="Times New Roman" w:hAnsi="Times New Roman"/>
          <w:sz w:val="20"/>
        </w:rPr>
        <w:t xml:space="preserve"> that, GEO, upon the request of the Administrative Agent or such Payee, agrees to repay the amount paid over to GEO pursuant to this </w:t>
      </w:r>
      <w:r>
        <w:rPr>
          <w:rFonts w:ascii="Times New Roman" w:hAnsi="Times New Roman"/>
          <w:sz w:val="20"/>
          <w:u w:val="single"/>
        </w:rPr>
        <w:t>Section 2.15(g)</w:t>
      </w:r>
      <w:r>
        <w:rPr>
          <w:rFonts w:ascii="Times New Roman" w:hAnsi="Times New Roman"/>
          <w:sz w:val="20"/>
        </w:rPr>
        <w:t xml:space="preserve"> (plus any penalties, interest or other charges imposed by the relevant Governmental Authority) to the Administrative Agent or such Payee in the event the Administrative Agent or such Payee is required to repay such refund to such Governmental Authority. Notwithstanding anything to the contrary in this </w:t>
      </w:r>
      <w:r>
        <w:rPr>
          <w:rFonts w:ascii="Times New Roman" w:hAnsi="Times New Roman"/>
          <w:sz w:val="20"/>
          <w:u w:val="single"/>
        </w:rPr>
        <w:t>Section 2.15(g)</w:t>
      </w:r>
      <w:r>
        <w:rPr>
          <w:rFonts w:ascii="Times New Roman" w:hAnsi="Times New Roman"/>
          <w:sz w:val="20"/>
        </w:rPr>
        <w:t xml:space="preserve">, in no event will the Administrative Agent or Payee, as applicable, be required to pay any amount to GEO pursuant to this </w:t>
      </w:r>
      <w:r>
        <w:rPr>
          <w:rFonts w:ascii="Times New Roman" w:hAnsi="Times New Roman"/>
          <w:sz w:val="20"/>
          <w:u w:val="single"/>
        </w:rPr>
        <w:t>Section 2.15(g)</w:t>
      </w:r>
      <w:r>
        <w:rPr>
          <w:rFonts w:ascii="Times New Roman" w:hAnsi="Times New Roman"/>
          <w:sz w:val="20"/>
        </w:rPr>
        <w:t xml:space="preserve"> the payment of which would place the Administrative Agent or Payee, as applicable, in a less favorable net after-Tax position than the Administrative Agent or Payee, as applicable, would have been in if the Tax subject to indemnification and giving rise to such refund had not been deducted, withheld or otherwise imposed and the indemnification payments or additional amounts with respect to such Tax had never been paid. This </w:t>
      </w:r>
      <w:r>
        <w:rPr>
          <w:rFonts w:ascii="Times New Roman" w:hAnsi="Times New Roman"/>
          <w:sz w:val="20"/>
          <w:u w:val="single"/>
        </w:rPr>
        <w:t>Section 2.15(g)</w:t>
      </w:r>
      <w:r>
        <w:rPr>
          <w:rFonts w:ascii="Times New Roman" w:hAnsi="Times New Roman"/>
          <w:sz w:val="20"/>
        </w:rPr>
        <w:t xml:space="preserve"> shall not be construed to require the Administrative Agent or any Payee to make available its tax returns (or any other information relating to its Taxes that it deems confidential) to GEO or any other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Indemnification by the Lenders</w:t>
      </w:r>
      <w:r>
        <w:rPr>
          <w:rFonts w:ascii="Times New Roman" w:hAnsi="Times New Roman"/>
          <w:sz w:val="20"/>
        </w:rPr>
        <w:t xml:space="preserve">. Each Lender shall indemnify the Administrative Agent, within 10 days after demand therefor, for (i) any Indemnified Taxes attributable to such Lender (but only to the extent that the relevant Borrower has not already indemnified the Administrative Agent for such Indemnified Taxes and without limiting any obligation of any relevant Borrower to do so), (ii) any Taxes attributable to such Lender’s failure to comply with the provisions of </w:t>
      </w:r>
      <w:r>
        <w:rPr>
          <w:rFonts w:ascii="Times New Roman" w:hAnsi="Times New Roman"/>
          <w:sz w:val="20"/>
          <w:u w:val="single"/>
        </w:rPr>
        <w:t>Section 9.04</w:t>
      </w:r>
      <w:r>
        <w:rPr>
          <w:rFonts w:ascii="Times New Roman" w:hAnsi="Times New Roman"/>
          <w:sz w:val="20"/>
        </w:rPr>
        <w:t xml:space="preserve"> relating to the maintenance of a Participant Register and (iii) for the full amount of any Excluded Taxes attributable to such Lender or any Participant of such Lender (or, in the case of a Lender that is treated as a partnership for U.S. federal income tax purposes, any direct or indirect beneficial owner of such Lender) that are payable or paid by the Administrative Agent in connection with any Loan Document, and reasonable expenses arising therefrom or with respect thereto, whether or not such Excluded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set-off and apply any and all amounts at any time owing to such Lender under any Loan Document or otherwise payable by the Administrative Agent to the Lender from any other source against any amount due to the Administrative Agent under this </w:t>
      </w:r>
      <w:r>
        <w:rPr>
          <w:rFonts w:ascii="Times New Roman" w:hAnsi="Times New Roman"/>
          <w:sz w:val="20"/>
          <w:u w:val="single"/>
        </w:rPr>
        <w:t>Section 2.15(h)</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Survival</w:t>
      </w:r>
      <w:r>
        <w:rPr>
          <w:rFonts w:ascii="Times New Roman" w:hAnsi="Times New Roman"/>
          <w:sz w:val="20"/>
        </w:rPr>
        <w:t xml:space="preserve">. Each party’s obligations under this </w:t>
      </w:r>
      <w:r>
        <w:rPr>
          <w:rFonts w:ascii="Times New Roman" w:hAnsi="Times New Roman"/>
          <w:sz w:val="20"/>
          <w:u w:val="single"/>
        </w:rPr>
        <w:t>Section 2.15</w:t>
      </w:r>
      <w:r>
        <w:rPr>
          <w:rFonts w:ascii="Times New Roman" w:hAnsi="Times New Roman"/>
          <w:sz w:val="20"/>
        </w:rPr>
        <w:t xml:space="preserve"> shall survive the resignation or replacement of the Administrative Agent or any assignment of rights by, or the replacement of, a Lender, the termination of the Commitment and the repayment, satisfaction or discharge of all obligations under any Loan Documents. </w:t>
      </w:r>
    </w:p>
    <w:p>
      <w:pPr>
        <w:pStyle w:val="TextBody"/>
        <w:bidi w:val="0"/>
        <w:spacing w:before="240" w:after="0"/>
        <w:jc w:val="left"/>
        <w:rPr>
          <w:rFonts w:ascii="Times New Roman" w:hAnsi="Times New Roman"/>
          <w:sz w:val="20"/>
        </w:rPr>
      </w:pPr>
      <w:r>
        <w:rPr>
          <w:rFonts w:ascii="Times New Roman" w:hAnsi="Times New Roman"/>
          <w:sz w:val="20"/>
        </w:rPr>
        <w:t xml:space="preserve">Section 2.16 </w:t>
      </w:r>
      <w:r>
        <w:rPr>
          <w:rFonts w:ascii="Times New Roman" w:hAnsi="Times New Roman"/>
          <w:sz w:val="20"/>
          <w:u w:val="single"/>
        </w:rPr>
        <w:t>Payments Generally; Pro Rata Treatment; Sharing of Setoffs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Payments by the Borrowers</w:t>
      </w:r>
      <w:r>
        <w:rPr>
          <w:rFonts w:ascii="Times New Roman" w:hAnsi="Times New Roman"/>
          <w:sz w:val="20"/>
        </w:rPr>
        <w:t xml:space="preserve">. The Borrowers shall make each payment required to be made by them hereunder (whether of principal, interest, fees or reimbursement of LC Disbursements, or of amounts payable under </w:t>
      </w:r>
      <w:r>
        <w:rPr>
          <w:rFonts w:ascii="Times New Roman" w:hAnsi="Times New Roman"/>
          <w:sz w:val="20"/>
          <w:u w:val="single"/>
        </w:rPr>
        <w:t>Section 2.13</w:t>
      </w:r>
      <w:r>
        <w:rPr>
          <w:rFonts w:ascii="Times New Roman" w:hAnsi="Times New Roman"/>
          <w:sz w:val="20"/>
        </w:rPr>
        <w:t>,</w:t>
      </w:r>
      <w:r>
        <w:rPr>
          <w:rFonts w:ascii="Times New Roman" w:hAnsi="Times New Roman"/>
          <w:sz w:val="20"/>
          <w:u w:val="single"/>
        </w:rPr>
        <w:t xml:space="preserve"> Section 2.14</w:t>
      </w:r>
      <w:r>
        <w:rPr>
          <w:rFonts w:ascii="Times New Roman" w:hAnsi="Times New Roman"/>
          <w:sz w:val="20"/>
        </w:rPr>
        <w:t xml:space="preserve"> or </w:t>
      </w:r>
      <w:r>
        <w:rPr>
          <w:rFonts w:ascii="Times New Roman" w:hAnsi="Times New Roman"/>
          <w:sz w:val="20"/>
          <w:u w:val="single"/>
        </w:rPr>
        <w:t>Section 2.15</w:t>
      </w:r>
      <w:r>
        <w:rPr>
          <w:rFonts w:ascii="Times New Roman" w:hAnsi="Times New Roman"/>
          <w:sz w:val="20"/>
        </w:rPr>
        <w:t xml:space="preserve">, or otherwise), or under any other Loan Document (except to the extent otherwise provided therein), prior to 2:00 p.m., New York City time, on the date when due, in immediately available funds, without setoff or counterclaim. Any amounts received after such time on any date may, in the discretion of the Administrative Agent, be deemed to have been received on the next succeeding Business Day for purposes of calculating interest thereon. All such payments shall be made to the Administrative Agent, except as otherwise expressly provided in the relevant Loan Document and except payments to be made directly to an Issuing Lender or the Swingline Lender as expressly provided herein and payments pursuant to </w:t>
      </w:r>
      <w:r>
        <w:rPr>
          <w:rFonts w:ascii="Times New Roman" w:hAnsi="Times New Roman"/>
          <w:sz w:val="20"/>
          <w:u w:val="single"/>
        </w:rPr>
        <w:t>Section 2.13</w:t>
      </w:r>
      <w:r>
        <w:rPr>
          <w:rFonts w:ascii="Times New Roman" w:hAnsi="Times New Roman"/>
          <w:sz w:val="20"/>
        </w:rPr>
        <w:t xml:space="preserve">, </w:t>
      </w:r>
      <w:r>
        <w:rPr>
          <w:rFonts w:ascii="Times New Roman" w:hAnsi="Times New Roman"/>
          <w:sz w:val="20"/>
          <w:u w:val="single"/>
        </w:rPr>
        <w:t>Section 2.14</w:t>
      </w:r>
      <w:r>
        <w:rPr>
          <w:rFonts w:ascii="Times New Roman" w:hAnsi="Times New Roman"/>
          <w:sz w:val="20"/>
        </w:rPr>
        <w:t xml:space="preserve">, </w:t>
      </w:r>
      <w:r>
        <w:rPr>
          <w:rFonts w:ascii="Times New Roman" w:hAnsi="Times New Roman"/>
          <w:sz w:val="20"/>
          <w:u w:val="single"/>
        </w:rPr>
        <w:t>Section 2.15</w:t>
      </w:r>
      <w:r>
        <w:rPr>
          <w:rFonts w:ascii="Times New Roman" w:hAnsi="Times New Roman"/>
          <w:sz w:val="20"/>
        </w:rPr>
        <w:t xml:space="preserve"> and </w:t>
      </w:r>
      <w:r>
        <w:rPr>
          <w:rFonts w:ascii="Times New Roman" w:hAnsi="Times New Roman"/>
          <w:sz w:val="20"/>
          <w:u w:val="single"/>
        </w:rPr>
        <w:t>Section 9.03</w:t>
      </w:r>
      <w:r>
        <w:rPr>
          <w:rFonts w:ascii="Times New Roman" w:hAnsi="Times New Roman"/>
          <w:sz w:val="20"/>
        </w:rPr>
        <w:t xml:space="preserve">, which shall be made directly to the Persons entitled thereto. The Administrative Agent shall distribute any such payments received by it for the account of any other Person to the appropriate recipient promptly following receipt thereof. If any payment hereunder (other than a payment of principal or interest on any Loan or the Prepayment Premium, if any) shall be due on a day that is not a Business Day, the date for payment shall be the next preceding Business Day. All amounts owing hereunder or under any other Loan Document (except to the extent otherwise provided herein or therein) shall be payable in Dollars.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Application of Insufficient Payments</w:t>
      </w:r>
      <w:r>
        <w:rPr>
          <w:rFonts w:ascii="Times New Roman" w:hAnsi="Times New Roman"/>
          <w:sz w:val="20"/>
        </w:rPr>
        <w:t>. If at any time insufficient funds are received by and available to the Administrative Agent to pay fully all amounts of principal, unreimbursed LC Disbursements, interest and fees then due hereunder, such funds shall be applied (i)</w:t>
      </w:r>
      <w:r>
        <w:rPr>
          <w:rFonts w:ascii="Times New Roman" w:hAnsi="Times New Roman"/>
          <w:sz w:val="20"/>
          <w:u w:val="single"/>
        </w:rPr>
        <w:t> first</w:t>
      </w:r>
      <w:r>
        <w:rPr>
          <w:rFonts w:ascii="Times New Roman" w:hAnsi="Times New Roman"/>
          <w:sz w:val="20"/>
        </w:rPr>
        <w:t>, to pay interest and fees then due hereunder, ratably among the parties entitled thereto in accordance with the amounts of interest and fees then due to such parties, and (ii)</w:t>
      </w:r>
      <w:r>
        <w:rPr>
          <w:rFonts w:ascii="Times New Roman" w:hAnsi="Times New Roman"/>
          <w:sz w:val="20"/>
          <w:u w:val="single"/>
        </w:rPr>
        <w:t> second</w:t>
      </w:r>
      <w:r>
        <w:rPr>
          <w:rFonts w:ascii="Times New Roman" w:hAnsi="Times New Roman"/>
          <w:sz w:val="20"/>
        </w:rPr>
        <w:t xml:space="preserve">, to pay principal and unreimbursed LC Disbursements then due hereunder, ratably among the parties entitled thereto in accordance with the amounts of principal and unreimbursed LC Disbursements then due to such parties.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Pro Rata Treatment</w:t>
      </w:r>
      <w:r>
        <w:rPr>
          <w:rFonts w:ascii="Times New Roman" w:hAnsi="Times New Roman"/>
          <w:sz w:val="20"/>
        </w:rPr>
        <w:t xml:space="preserve">. Except to the extent otherwise provided herein: (i) each termination or reduction of the amount of the Commitments of a particular Class under </w:t>
      </w:r>
      <w:r>
        <w:rPr>
          <w:rFonts w:ascii="Times New Roman" w:hAnsi="Times New Roman"/>
          <w:sz w:val="20"/>
          <w:u w:val="single"/>
        </w:rPr>
        <w:t>Section 2.08</w:t>
      </w:r>
      <w:r>
        <w:rPr>
          <w:rFonts w:ascii="Times New Roman" w:hAnsi="Times New Roman"/>
          <w:sz w:val="20"/>
        </w:rPr>
        <w:t xml:space="preserve"> shall be applied to the respective Commitments of such Class of the relevant Lenders, </w:t>
      </w:r>
      <w:r>
        <w:rPr>
          <w:rFonts w:ascii="Times New Roman" w:hAnsi="Times New Roman"/>
          <w:i/>
          <w:sz w:val="20"/>
        </w:rPr>
        <w:t>pro rata</w:t>
      </w:r>
      <w:r>
        <w:rPr>
          <w:rFonts w:ascii="Times New Roman" w:hAnsi="Times New Roman"/>
          <w:sz w:val="20"/>
        </w:rPr>
        <w:t xml:space="preserve"> according to the amounts of their respective Commitments of such Class; (ii) each Borrowing of any Class shall be allocated </w:t>
      </w:r>
      <w:r>
        <w:rPr>
          <w:rFonts w:ascii="Times New Roman" w:hAnsi="Times New Roman"/>
          <w:i/>
          <w:sz w:val="20"/>
        </w:rPr>
        <w:t>pro rata</w:t>
      </w:r>
      <w:r>
        <w:rPr>
          <w:rFonts w:ascii="Times New Roman" w:hAnsi="Times New Roman"/>
          <w:sz w:val="20"/>
        </w:rPr>
        <w:t xml:space="preserve"> among the relevant Lenders according to the amounts of their respective Commitments (or, in the case of any Borrowing of Revolving Credit Loans, their respective Available Revolving Credit Commitments) of such Class (in the case of the making of Loans) or their respective Loans of such Class that are to be included in such Borrowing (in the case of conversions and continuations of Loans); (iii) each payment or prepayment of principal of Revolving Credit Loans, Term Loans and Incremental Term Loans by a Borrower shall be made for the account of the relevant Lenders </w:t>
      </w:r>
      <w:r>
        <w:rPr>
          <w:rFonts w:ascii="Times New Roman" w:hAnsi="Times New Roman"/>
          <w:i/>
          <w:sz w:val="20"/>
        </w:rPr>
        <w:t>pro rata</w:t>
      </w:r>
      <w:r>
        <w:rPr>
          <w:rFonts w:ascii="Times New Roman" w:hAnsi="Times New Roman"/>
          <w:sz w:val="20"/>
        </w:rPr>
        <w:t xml:space="preserve"> in accordance with the respective unpaid principal amounts of the Loans of such Class held by them; and (iv) each payment of interest on Revolving Credit Loans, Term Loans and Incremental Term Loans by a Borrower shall be made for the account of the relevant Lenders </w:t>
      </w:r>
      <w:r>
        <w:rPr>
          <w:rFonts w:ascii="Times New Roman" w:hAnsi="Times New Roman"/>
          <w:i/>
          <w:sz w:val="20"/>
        </w:rPr>
        <w:t>pro rata</w:t>
      </w:r>
      <w:r>
        <w:rPr>
          <w:rFonts w:ascii="Times New Roman" w:hAnsi="Times New Roman"/>
          <w:sz w:val="20"/>
        </w:rPr>
        <w:t xml:space="preserve"> in accordance with the amounts of interest on such Loans then due and payable to the respective Lenders.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Sharing of Payments by Lenders</w:t>
      </w:r>
      <w:r>
        <w:rPr>
          <w:rFonts w:ascii="Times New Roman" w:hAnsi="Times New Roman"/>
          <w:sz w:val="20"/>
        </w:rPr>
        <w:t xml:space="preserve">. If any Lender shall, by exercising any right of setoff or counterclaim or otherwise, obtain payment in respect of any principal of or interest on any of its Loans or other obligations hereunder resulting in such Lender’s receiving payment of a proportion of the aggregate amount of its Loans and accrued interest thereon or other such obligations greater than its </w:t>
      </w:r>
      <w:r>
        <w:rPr>
          <w:rFonts w:ascii="Times New Roman" w:hAnsi="Times New Roman"/>
          <w:i/>
          <w:sz w:val="20"/>
        </w:rPr>
        <w:t>pro rata</w:t>
      </w:r>
      <w:r>
        <w:rPr>
          <w:rFonts w:ascii="Times New Roman" w:hAnsi="Times New Roman"/>
          <w:sz w:val="20"/>
        </w:rPr>
        <w:t xml:space="preserve"> share thereof as provided herein, then the Lender receiving such greater proportion shall (A) notify the Administrative Agent of such fact, and (B) purchase (for cash at face value) participations in the Loans and such other obligations of the other Lenders, or make such other adjustments as shall be equitable, so that the benefit of all such payments shall be shared by the Lenders ratably in accordance with the aggregate amount of principal of and accrued interest on their respective Loans and other amounts owing them; </w:t>
      </w:r>
      <w:r>
        <w:rPr>
          <w:rFonts w:ascii="Times New Roman" w:hAnsi="Times New Roman"/>
          <w:sz w:val="20"/>
          <w:u w:val="single"/>
        </w:rPr>
        <w:t>provided</w:t>
      </w:r>
      <w:r>
        <w:rPr>
          <w:rFonts w:ascii="Times New Roman" w:hAnsi="Times New Roman"/>
          <w:sz w:val="20"/>
        </w:rPr>
        <w:t xml:space="preserve"> that: </w:t>
      </w:r>
    </w:p>
    <w:p>
      <w:pPr>
        <w:pStyle w:val="TextBody"/>
        <w:bidi w:val="0"/>
        <w:spacing w:before="120" w:after="0"/>
        <w:jc w:val="left"/>
        <w:rPr>
          <w:rFonts w:ascii="Times New Roman" w:hAnsi="Times New Roman"/>
          <w:sz w:val="20"/>
        </w:rPr>
      </w:pPr>
      <w:r>
        <w:rPr>
          <w:rFonts w:ascii="Times New Roman" w:hAnsi="Times New Roman"/>
          <w:sz w:val="20"/>
        </w:rPr>
        <w:t xml:space="preserve">(i) if any such participations are purchased and all or any portion of the payment giving rise thereto is recovered, such participations shall be rescinded and the purchase price restored to the extent of such recovery, without interest; and </w:t>
      </w:r>
    </w:p>
    <w:p>
      <w:pPr>
        <w:pStyle w:val="TextBody"/>
        <w:bidi w:val="0"/>
        <w:spacing w:before="120" w:after="0"/>
        <w:jc w:val="left"/>
        <w:rPr>
          <w:rFonts w:ascii="Times New Roman" w:hAnsi="Times New Roman"/>
          <w:sz w:val="20"/>
        </w:rPr>
      </w:pPr>
      <w:r>
        <w:rPr>
          <w:rFonts w:ascii="Times New Roman" w:hAnsi="Times New Roman"/>
          <w:sz w:val="20"/>
        </w:rPr>
        <w:t xml:space="preserve">(ii) the provisions of this </w:t>
      </w:r>
      <w:r>
        <w:rPr>
          <w:rFonts w:ascii="Times New Roman" w:hAnsi="Times New Roman"/>
          <w:sz w:val="20"/>
          <w:u w:val="single"/>
        </w:rPr>
        <w:t>Section 2.16(d)</w:t>
      </w:r>
      <w:r>
        <w:rPr>
          <w:rFonts w:ascii="Times New Roman" w:hAnsi="Times New Roman"/>
          <w:sz w:val="20"/>
        </w:rPr>
        <w:t xml:space="preserve"> shall not be construed to apply to (x) any payment made by a Borrower pursuant to and in accordance with the express terms of this Agreement (including the application of funds arising from the existence of a Defaulting Lender) or (y) any payment obtained by a Lender as consideration for the assignment of or sale of a participation in any of its Loans or participations in LC Disbursements to any assignee or participant. </w:t>
      </w:r>
    </w:p>
    <w:p>
      <w:pPr>
        <w:pStyle w:val="TextBody"/>
        <w:bidi w:val="0"/>
        <w:spacing w:before="240" w:after="0"/>
        <w:jc w:val="left"/>
        <w:rPr>
          <w:rFonts w:ascii="Times New Roman" w:hAnsi="Times New Roman"/>
          <w:sz w:val="20"/>
        </w:rPr>
      </w:pPr>
      <w:r>
        <w:rPr>
          <w:rFonts w:ascii="Times New Roman" w:hAnsi="Times New Roman"/>
          <w:sz w:val="20"/>
        </w:rPr>
        <w:t xml:space="preserve">The Borrowers consent to the foregoing and agree, to the extent they may effectively do so under applicable law, that any Lender acquiring a participation pursuant to the foregoing arrangements may exercise against the Borrowers rights of setoff and counterclaim with respect to such participation as fully as if such Lender were a direct creditor of the Borrowers in the amount of such participation.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Payments by the Borrowers; Presumptions by the Administrative Agent</w:t>
      </w:r>
      <w:r>
        <w:rPr>
          <w:rFonts w:ascii="Times New Roman" w:hAnsi="Times New Roman"/>
          <w:sz w:val="20"/>
        </w:rPr>
        <w:t xml:space="preserve">. Unless the Administrative Agent shall have received notice from GEO prior to the date on which any payment is due to the Administrative Agent for the account of the Lenders or an Issuing Lender hereunder that GEO or the Borrowers, as applicable, will not make such payment, the Administrative Agent may assume that GEO or the Borrowers, as applicable, have made such payment on such date in accordance herewith and may, in reliance upon such assumption, distribute to the Lenders or such Issuing Lender, as the case may be, the amount due. In such event, if GEO or the Borrowers, as applicable, have not in fact made such payment, then each of the Lenders and each Issuing Lender severally agrees to repay to the Administrative Agent forthwith on demand the amount so distributed to such Lender or such Issuing Lender with interest thereon, for each day from and including the date such amount is distributed to it to but excluding the date of payment to the Administrative Agent, at the greater of (x) the Federal Funds Rate and (y) a rate determined by the Administrative Agent in accordance with banking industry rules on interbank compensation.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Certain Deductions by the Administrative Agent</w:t>
      </w:r>
      <w:r>
        <w:rPr>
          <w:rFonts w:ascii="Times New Roman" w:hAnsi="Times New Roman"/>
          <w:sz w:val="20"/>
        </w:rPr>
        <w:t xml:space="preserve">. If any Lender shall fail to make any payment required to be made by it pursuant to </w:t>
      </w:r>
      <w:r>
        <w:rPr>
          <w:rFonts w:ascii="Times New Roman" w:hAnsi="Times New Roman"/>
          <w:sz w:val="20"/>
          <w:u w:val="single"/>
        </w:rPr>
        <w:t>Section 2.04(c)</w:t>
      </w:r>
      <w:r>
        <w:rPr>
          <w:rFonts w:ascii="Times New Roman" w:hAnsi="Times New Roman"/>
          <w:sz w:val="20"/>
        </w:rPr>
        <w:t>,</w:t>
      </w:r>
      <w:r>
        <w:rPr>
          <w:rFonts w:ascii="Times New Roman" w:hAnsi="Times New Roman"/>
          <w:sz w:val="20"/>
          <w:u w:val="single"/>
        </w:rPr>
        <w:t xml:space="preserve"> Section 2.05(e)</w:t>
      </w:r>
      <w:r>
        <w:rPr>
          <w:rFonts w:ascii="Times New Roman" w:hAnsi="Times New Roman"/>
          <w:sz w:val="20"/>
        </w:rPr>
        <w:t xml:space="preserve">, </w:t>
      </w:r>
      <w:r>
        <w:rPr>
          <w:rFonts w:ascii="Times New Roman" w:hAnsi="Times New Roman"/>
          <w:sz w:val="20"/>
          <w:u w:val="single"/>
        </w:rPr>
        <w:t>Section 2.06(b)</w:t>
      </w:r>
      <w:r>
        <w:rPr>
          <w:rFonts w:ascii="Times New Roman" w:hAnsi="Times New Roman"/>
          <w:sz w:val="20"/>
        </w:rPr>
        <w:t xml:space="preserve"> or </w:t>
      </w:r>
      <w:r>
        <w:rPr>
          <w:rFonts w:ascii="Times New Roman" w:hAnsi="Times New Roman"/>
          <w:sz w:val="20"/>
          <w:u w:val="single"/>
        </w:rPr>
        <w:t>Section 2.16(e)</w:t>
      </w:r>
      <w:r>
        <w:rPr>
          <w:rFonts w:ascii="Times New Roman" w:hAnsi="Times New Roman"/>
          <w:sz w:val="20"/>
        </w:rPr>
        <w:t xml:space="preserve">, then the Administrative Agent may, in its discretion (notwithstanding any contrary provision hereof), (i) apply any amounts thereafter received by the Administrative Agent for the account of such Lender for the benefit of the Administrative Agent, the Swingline Lender or any Issuing Lender to satisfy such Lender’s obligations to it under such Sections until all such unsatisfied obligations are fully paid, and/or (ii) hold any such amounts in a segregated account as cash collateral for, and application to, any future funding obligations of such Lender under any such Section, in the case of each of clauses (i) and (ii) of this sentence, in any order as determined by the Administrative Agent in its discretion. </w:t>
      </w:r>
    </w:p>
    <w:p>
      <w:pPr>
        <w:pStyle w:val="TextBody"/>
        <w:bidi w:val="0"/>
        <w:spacing w:before="240" w:after="0"/>
        <w:jc w:val="left"/>
        <w:rPr>
          <w:rFonts w:ascii="Times New Roman" w:hAnsi="Times New Roman"/>
          <w:sz w:val="20"/>
        </w:rPr>
      </w:pPr>
      <w:r>
        <w:rPr>
          <w:rFonts w:ascii="Times New Roman" w:hAnsi="Times New Roman"/>
          <w:sz w:val="20"/>
        </w:rPr>
        <w:t xml:space="preserve">Section 2.17 </w:t>
      </w:r>
      <w:r>
        <w:rPr>
          <w:rFonts w:ascii="Times New Roman" w:hAnsi="Times New Roman"/>
          <w:sz w:val="20"/>
          <w:u w:val="single"/>
        </w:rPr>
        <w:t>Mitigation Obligations; Replacement of Lenders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Designation of a Different Lending Office</w:t>
      </w:r>
      <w:r>
        <w:rPr>
          <w:rFonts w:ascii="Times New Roman" w:hAnsi="Times New Roman"/>
          <w:sz w:val="20"/>
        </w:rPr>
        <w:t xml:space="preserve">. If any Lender requests compensation under </w:t>
      </w:r>
      <w:r>
        <w:rPr>
          <w:rFonts w:ascii="Times New Roman" w:hAnsi="Times New Roman"/>
          <w:sz w:val="20"/>
          <w:u w:val="single"/>
        </w:rPr>
        <w:t>Section 2.13</w:t>
      </w:r>
      <w:r>
        <w:rPr>
          <w:rFonts w:ascii="Times New Roman" w:hAnsi="Times New Roman"/>
          <w:sz w:val="20"/>
        </w:rPr>
        <w:t xml:space="preserve">, or if a Borrower is required to pay any additional amount to any Lender or any Governmental Authority for the account of any Lender pursuant to </w:t>
      </w:r>
      <w:r>
        <w:rPr>
          <w:rFonts w:ascii="Times New Roman" w:hAnsi="Times New Roman"/>
          <w:sz w:val="20"/>
          <w:u w:val="single"/>
        </w:rPr>
        <w:t>Section 2.15</w:t>
      </w:r>
      <w:r>
        <w:rPr>
          <w:rFonts w:ascii="Times New Roman" w:hAnsi="Times New Roman"/>
          <w:sz w:val="20"/>
        </w:rPr>
        <w:t xml:space="preserve">,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w:t>
      </w:r>
      <w:r>
        <w:rPr>
          <w:rFonts w:ascii="Times New Roman" w:hAnsi="Times New Roman"/>
          <w:sz w:val="20"/>
          <w:u w:val="single"/>
        </w:rPr>
        <w:t>Section 2.13</w:t>
      </w:r>
      <w:r>
        <w:rPr>
          <w:rFonts w:ascii="Times New Roman" w:hAnsi="Times New Roman"/>
          <w:sz w:val="20"/>
        </w:rPr>
        <w:t xml:space="preserve"> or </w:t>
      </w:r>
      <w:r>
        <w:rPr>
          <w:rFonts w:ascii="Times New Roman" w:hAnsi="Times New Roman"/>
          <w:sz w:val="20"/>
          <w:u w:val="single"/>
        </w:rPr>
        <w:t>Section 2.15</w:t>
      </w:r>
      <w:r>
        <w:rPr>
          <w:rFonts w:ascii="Times New Roman" w:hAnsi="Times New Roman"/>
          <w:sz w:val="20"/>
        </w:rPr>
        <w:t xml:space="preserve"> in the future, and (ii) would not subject such Lender to any unreimbursed cost or expense and would not otherwise be disadvantageous to such Lender. The Borrowers hereby agree to pay all reasonable costs and expenses incurred by any Lender in connection with any such designation or assignment.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Replacement of Lenders</w:t>
      </w:r>
      <w:r>
        <w:rPr>
          <w:rFonts w:ascii="Times New Roman" w:hAnsi="Times New Roman"/>
          <w:sz w:val="20"/>
        </w:rPr>
        <w:t xml:space="preserve">. If (1) any Lender requests compensation under </w:t>
      </w:r>
      <w:r>
        <w:rPr>
          <w:rFonts w:ascii="Times New Roman" w:hAnsi="Times New Roman"/>
          <w:sz w:val="20"/>
          <w:u w:val="single"/>
        </w:rPr>
        <w:t>Section 2.13</w:t>
      </w:r>
      <w:r>
        <w:rPr>
          <w:rFonts w:ascii="Times New Roman" w:hAnsi="Times New Roman"/>
          <w:sz w:val="20"/>
        </w:rPr>
        <w:t xml:space="preserve">, or if a Borrower is required to pay any additional amount to any Lender or any Governmental Authority for the account of any Lender pursuant to </w:t>
      </w:r>
      <w:r>
        <w:rPr>
          <w:rFonts w:ascii="Times New Roman" w:hAnsi="Times New Roman"/>
          <w:sz w:val="20"/>
          <w:u w:val="single"/>
        </w:rPr>
        <w:t>Section 2.15</w:t>
      </w:r>
      <w:r>
        <w:rPr>
          <w:rFonts w:ascii="Times New Roman" w:hAnsi="Times New Roman"/>
          <w:sz w:val="20"/>
        </w:rPr>
        <w:t xml:space="preserve">, (2) any Lender becomes a Defaulting Lender, or (3) any Lender does not consent to a proposed amendment, modification or waiver of this Agreement or any other Loan Document requested by GEO which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has been approved by (a) if, at such time, the Term Loan Exposure exceeds 35% of the Aggregate Credit Facilities Amount, the Required Term Lenders and the Required Revolving Credit Lenders, or (b) if, at such time, the Term Loan Exposure does not exceed 35% of the Aggregate Credit Facilities Amount, the Required Lenders but, in each case, which requires the consent of such Lender (or such Lender and other Lenders) to become effective, then, in each case GEO may, at its sole expense (and without any obligation on the Administrative Agent or any Lender to cooperate or assist in any way in locating an assignee), upon notice to such Lender and the Administrative Agent, (x) require such Lender to assign, without recourse (except as provided below in this </w:t>
      </w:r>
      <w:r>
        <w:rPr>
          <w:rFonts w:ascii="Times New Roman" w:hAnsi="Times New Roman"/>
          <w:sz w:val="20"/>
          <w:u w:val="single"/>
        </w:rPr>
        <w:t>Section 2.17(b)</w:t>
      </w:r>
      <w:r>
        <w:rPr>
          <w:rFonts w:ascii="Times New Roman" w:hAnsi="Times New Roman"/>
          <w:sz w:val="20"/>
        </w:rPr>
        <w:t xml:space="preserve">, in accordance with and subject to the restrictions contained in, and consents required by, </w:t>
      </w:r>
      <w:r>
        <w:rPr>
          <w:rFonts w:ascii="Times New Roman" w:hAnsi="Times New Roman"/>
          <w:sz w:val="20"/>
          <w:u w:val="single"/>
        </w:rPr>
        <w:t>Section 9.04</w:t>
      </w:r>
      <w:r>
        <w:rPr>
          <w:rFonts w:ascii="Times New Roman" w:hAnsi="Times New Roman"/>
          <w:sz w:val="20"/>
        </w:rPr>
        <w:t xml:space="preserve">), all of its interests, rights and obligations under this Agreement and the related Loan Documents to an assignee that shall assume such obligations (which assignee may be another Lender, if a Lender accepts such assignment) or (y) in the case of any Lender that does not consent to a proposed amendment, modification or waiver of this Agreement or any other Loan Document as aforesaid, terminate the Commitments of such Lender and pay to such Lender an amount equal to the outstanding principal of its Loans and participations in LC Disbursements and Swingline Loans, accrued interest thereon, accrued fees and all other amounts payable to it hereunder and under the other Loan Documents (including any amounts under </w:t>
      </w:r>
      <w:r>
        <w:rPr>
          <w:rFonts w:ascii="Times New Roman" w:hAnsi="Times New Roman"/>
          <w:sz w:val="20"/>
          <w:u w:val="single"/>
        </w:rPr>
        <w:t>Section 2.14</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w:t>
      </w:r>
    </w:p>
    <w:p>
      <w:pPr>
        <w:pStyle w:val="TextBody"/>
        <w:bidi w:val="0"/>
        <w:spacing w:before="120" w:after="0"/>
        <w:jc w:val="left"/>
        <w:rPr>
          <w:rFonts w:ascii="Times New Roman" w:hAnsi="Times New Roman"/>
          <w:sz w:val="20"/>
        </w:rPr>
      </w:pPr>
      <w:r>
        <w:rPr>
          <w:rFonts w:ascii="Times New Roman" w:hAnsi="Times New Roman"/>
          <w:sz w:val="20"/>
        </w:rPr>
        <w:t xml:space="preserve">(i) if a Revolving Credit Commitment is being assigned, GEO shall have received the prior written consent of the Administrative Agent and each Issuing Lender; </w:t>
      </w:r>
    </w:p>
    <w:p>
      <w:pPr>
        <w:pStyle w:val="TextBody"/>
        <w:bidi w:val="0"/>
        <w:spacing w:before="120" w:after="0"/>
        <w:jc w:val="left"/>
        <w:rPr>
          <w:rFonts w:ascii="Times New Roman" w:hAnsi="Times New Roman"/>
          <w:sz w:val="20"/>
        </w:rPr>
      </w:pPr>
      <w:r>
        <w:rPr>
          <w:rFonts w:ascii="Times New Roman" w:hAnsi="Times New Roman"/>
          <w:sz w:val="20"/>
        </w:rPr>
        <w:t xml:space="preserve">(ii) such Lender shall have received payment of an amount equal to the outstanding principal of its Loans and participations in LC Disbursements and Swingline Loans, accrued interest thereon, accrued fees and all other amounts payable to it hereunder and under the other Loan Documents (including any amounts under </w:t>
      </w:r>
      <w:r>
        <w:rPr>
          <w:rFonts w:ascii="Times New Roman" w:hAnsi="Times New Roman"/>
          <w:sz w:val="20"/>
          <w:u w:val="single"/>
        </w:rPr>
        <w:t>Section 2.14</w:t>
      </w:r>
      <w:r>
        <w:rPr>
          <w:rFonts w:ascii="Times New Roman" w:hAnsi="Times New Roman"/>
          <w:sz w:val="20"/>
        </w:rPr>
        <w:t xml:space="preserve">) from the assignee (to the extent of such outstanding principal and accrued interest and fees) or GEO or the Borrowers, as applicable, (in the case of all other amounts); </w:t>
      </w:r>
    </w:p>
    <w:p>
      <w:pPr>
        <w:pStyle w:val="TextBody"/>
        <w:bidi w:val="0"/>
        <w:spacing w:before="120" w:after="0"/>
        <w:jc w:val="left"/>
        <w:rPr>
          <w:rFonts w:ascii="Times New Roman" w:hAnsi="Times New Roman"/>
          <w:sz w:val="20"/>
        </w:rPr>
      </w:pPr>
      <w:r>
        <w:rPr>
          <w:rFonts w:ascii="Times New Roman" w:hAnsi="Times New Roman"/>
          <w:sz w:val="20"/>
        </w:rPr>
        <w:t xml:space="preserve">(iii) in the case of any such assignment resulting from a claim for compensation under </w:t>
      </w:r>
      <w:r>
        <w:rPr>
          <w:rFonts w:ascii="Times New Roman" w:hAnsi="Times New Roman"/>
          <w:sz w:val="20"/>
          <w:u w:val="single"/>
        </w:rPr>
        <w:t>Section 2.13</w:t>
      </w:r>
      <w:r>
        <w:rPr>
          <w:rFonts w:ascii="Times New Roman" w:hAnsi="Times New Roman"/>
          <w:sz w:val="20"/>
        </w:rPr>
        <w:t xml:space="preserve"> or payments required to be made pursuant to </w:t>
      </w:r>
      <w:r>
        <w:rPr>
          <w:rFonts w:ascii="Times New Roman" w:hAnsi="Times New Roman"/>
          <w:sz w:val="20"/>
          <w:u w:val="single"/>
        </w:rPr>
        <w:t>Section 2.15</w:t>
      </w:r>
      <w:r>
        <w:rPr>
          <w:rFonts w:ascii="Times New Roman" w:hAnsi="Times New Roman"/>
          <w:sz w:val="20"/>
        </w:rPr>
        <w:t xml:space="preserve">, such assignment will result in a reduction in such compensation or payments thereafter; and </w:t>
      </w:r>
    </w:p>
    <w:p>
      <w:pPr>
        <w:pStyle w:val="TextBody"/>
        <w:bidi w:val="0"/>
        <w:spacing w:before="120" w:after="0"/>
        <w:jc w:val="left"/>
        <w:rPr>
          <w:rFonts w:ascii="Times New Roman" w:hAnsi="Times New Roman"/>
          <w:sz w:val="20"/>
        </w:rPr>
      </w:pPr>
      <w:r>
        <w:rPr>
          <w:rFonts w:ascii="Times New Roman" w:hAnsi="Times New Roman"/>
          <w:sz w:val="20"/>
        </w:rPr>
        <w:t xml:space="preserve">(iv) in the case of any such replacement due to the replaced Lender not consenting to a proposed amendment, modification or waiver of this Agreement or any other Loan Document as aforesaid, each replacement Lender shall consent (and by accepting such assignment shall be deemed to have consented), at the time of such assignment, to each matter in respect of which such replaced Lender shall not have consented.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any such replacement, if the replaced Lender does not execute and deliver to the Administrative Agent a duly completed Assignment and Assumption reflecting such replacement prior to or concurrently with the execution and delivery of such Assignment and Assumption by the replacement Lender, the Administrative Agent may (and the replaced Lender hereby unconditionally and irrevocably authorizes and directs the Administrative Agent to, in the name of and on behalf of the replaced Lender) execute such Assignment and Assumption and other documentation on behalf of the replaced Lender and, in such event (notwithstanding anything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contrary in </w:t>
      </w:r>
      <w:r>
        <w:rPr>
          <w:rFonts w:ascii="Times New Roman" w:hAnsi="Times New Roman"/>
          <w:sz w:val="20"/>
          <w:u w:val="single"/>
        </w:rPr>
        <w:t>Section 9.04</w:t>
      </w:r>
      <w:r>
        <w:rPr>
          <w:rFonts w:ascii="Times New Roman" w:hAnsi="Times New Roman"/>
          <w:sz w:val="20"/>
        </w:rPr>
        <w:t xml:space="preserve">), such replaced Lender shall be deemed to have duly executed and delivered such Assignment and Assumption and other documentation to the Administrative Agent and the replacement Lender. A Lender shall not be required to make any such assignment and delegation if, prior thereto, as a result of a waiver by such Lender or otherwise, the circumstances entitling GEO to require such assignment and delegation cease to apply. </w:t>
      </w:r>
    </w:p>
    <w:p>
      <w:pPr>
        <w:pStyle w:val="TextBody"/>
        <w:bidi w:val="0"/>
        <w:spacing w:before="240" w:after="0"/>
        <w:jc w:val="left"/>
        <w:rPr>
          <w:rFonts w:ascii="Times New Roman" w:hAnsi="Times New Roman"/>
          <w:sz w:val="20"/>
        </w:rPr>
      </w:pPr>
      <w:r>
        <w:rPr>
          <w:rFonts w:ascii="Times New Roman" w:hAnsi="Times New Roman"/>
          <w:sz w:val="20"/>
        </w:rPr>
        <w:t xml:space="preserve">Section 2.18 </w:t>
      </w:r>
      <w:r>
        <w:rPr>
          <w:rFonts w:ascii="Times New Roman" w:hAnsi="Times New Roman"/>
          <w:sz w:val="20"/>
          <w:u w:val="single"/>
        </w:rPr>
        <w:t>Defaulting Lenders</w:t>
      </w:r>
      <w:r>
        <w:rPr>
          <w:rFonts w:ascii="Times New Roman" w:hAnsi="Times New Roman"/>
          <w:sz w:val="20"/>
        </w:rPr>
        <w:t xml:space="preserve">. Notwithstanding any provision of this Agreement to the contrary, if any Lender becomes a Defaulting Lender, then the following provisions shall apply on the date such Lender becomes a Defaulting Lender and for so long as such Lender is a Defaulting Lender: </w:t>
      </w:r>
    </w:p>
    <w:p>
      <w:pPr>
        <w:pStyle w:val="TextBody"/>
        <w:bidi w:val="0"/>
        <w:spacing w:before="120" w:after="0"/>
        <w:jc w:val="left"/>
        <w:rPr>
          <w:rFonts w:ascii="Times New Roman" w:hAnsi="Times New Roman"/>
          <w:sz w:val="20"/>
        </w:rPr>
      </w:pPr>
      <w:r>
        <w:rPr>
          <w:rFonts w:ascii="Times New Roman" w:hAnsi="Times New Roman"/>
          <w:sz w:val="20"/>
        </w:rPr>
        <w:t xml:space="preserve">(a) fees shall cease to accrue on the unfunded portion of the Revolving Credit Commitment of such Defaulting Lender pursuant to </w:t>
      </w:r>
      <w:r>
        <w:rPr>
          <w:rFonts w:ascii="Times New Roman" w:hAnsi="Times New Roman"/>
          <w:sz w:val="20"/>
          <w:u w:val="single"/>
        </w:rPr>
        <w:t>Section 2.11(a)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the Revolving Credit Commitment and Revolving Credit Exposure of such Defaulting Lender shall not be included in determining whether the Required Lenders or Required Revolving Credit Lenders have taken or may take any action hereunder (including any consent to any amendment, waiver or other modification pursuant to </w:t>
      </w:r>
      <w:r>
        <w:rPr>
          <w:rFonts w:ascii="Times New Roman" w:hAnsi="Times New Roman"/>
          <w:sz w:val="20"/>
          <w:u w:val="single"/>
        </w:rPr>
        <w:t>Section 9.02</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this </w:t>
      </w:r>
      <w:r>
        <w:rPr>
          <w:rFonts w:ascii="Times New Roman" w:hAnsi="Times New Roman"/>
          <w:sz w:val="20"/>
          <w:u w:val="single"/>
        </w:rPr>
        <w:t>clause (b)</w:t>
      </w:r>
      <w:r>
        <w:rPr>
          <w:rFonts w:ascii="Times New Roman" w:hAnsi="Times New Roman"/>
          <w:sz w:val="20"/>
        </w:rPr>
        <w:t xml:space="preserve"> shall not apply to the vote of a Defaulting Lender in the case of an amendment, waiver or other modification requiring the consent of such Lender or each Lender affected or directly affected thereby; </w:t>
      </w:r>
    </w:p>
    <w:p>
      <w:pPr>
        <w:pStyle w:val="TextBody"/>
        <w:bidi w:val="0"/>
        <w:spacing w:before="240" w:after="0"/>
        <w:jc w:val="left"/>
        <w:rPr>
          <w:rFonts w:ascii="Times New Roman" w:hAnsi="Times New Roman"/>
          <w:sz w:val="20"/>
        </w:rPr>
      </w:pPr>
      <w:r>
        <w:rPr>
          <w:rFonts w:ascii="Times New Roman" w:hAnsi="Times New Roman"/>
          <w:sz w:val="20"/>
        </w:rPr>
        <w:t xml:space="preserve">(c) if any Swingline Exposure or LC Exposure exists at the time such Lender becomes a Defaulting Lender then: </w:t>
      </w:r>
    </w:p>
    <w:p>
      <w:pPr>
        <w:pStyle w:val="TextBody"/>
        <w:bidi w:val="0"/>
        <w:spacing w:before="120" w:after="0"/>
        <w:jc w:val="left"/>
        <w:rPr>
          <w:rFonts w:ascii="Times New Roman" w:hAnsi="Times New Roman"/>
          <w:sz w:val="20"/>
        </w:rPr>
      </w:pPr>
      <w:r>
        <w:rPr>
          <w:rFonts w:ascii="Times New Roman" w:hAnsi="Times New Roman"/>
          <w:sz w:val="20"/>
        </w:rPr>
        <w:t xml:space="preserve">(i) all or any part of the Swingline Exposure or LC Exposure of such Defaulting Lender shall be reallocated among the non-Defaulting Revolving Credit Lenders in accordance with their respective Applicable Percentages but only to the extent (A) the sum of all non-Defaulting Revolving Credit Lenders’ Revolving Credit Exposures </w:t>
      </w:r>
      <w:r>
        <w:rPr>
          <w:rFonts w:ascii="Times New Roman" w:hAnsi="Times New Roman"/>
          <w:sz w:val="20"/>
          <w:u w:val="single"/>
        </w:rPr>
        <w:t>plus</w:t>
      </w:r>
      <w:r>
        <w:rPr>
          <w:rFonts w:ascii="Times New Roman" w:hAnsi="Times New Roman"/>
          <w:sz w:val="20"/>
        </w:rPr>
        <w:t xml:space="preserve"> such Defaulting Lender’s Swingline Exposure or LC Exposure does not exceed the total of all non-Defaulting Revolving Credit Lenders’ Revolving Credit Commitments and (B) such reallocation does not cause the aggregate Revolving Credit Exposure of any non-Defaulting Lender to exceed such non-Defaulting Lender’s Revolving Credit Commitment; </w:t>
      </w:r>
    </w:p>
    <w:p>
      <w:pPr>
        <w:pStyle w:val="TextBody"/>
        <w:bidi w:val="0"/>
        <w:spacing w:before="120" w:after="0"/>
        <w:jc w:val="left"/>
        <w:rPr>
          <w:rFonts w:ascii="Times New Roman" w:hAnsi="Times New Roman"/>
          <w:sz w:val="20"/>
        </w:rPr>
      </w:pPr>
      <w:r>
        <w:rPr>
          <w:rFonts w:ascii="Times New Roman" w:hAnsi="Times New Roman"/>
          <w:sz w:val="20"/>
        </w:rPr>
        <w:t xml:space="preserve">(ii) if the reallocation described in </w:t>
      </w:r>
      <w:r>
        <w:rPr>
          <w:rFonts w:ascii="Times New Roman" w:hAnsi="Times New Roman"/>
          <w:sz w:val="20"/>
          <w:u w:val="single"/>
        </w:rPr>
        <w:t>Section 2.18(c)(i)</w:t>
      </w:r>
      <w:r>
        <w:rPr>
          <w:rFonts w:ascii="Times New Roman" w:hAnsi="Times New Roman"/>
          <w:sz w:val="20"/>
        </w:rPr>
        <w:t xml:space="preserve"> above cannot, or can only partially, be effected, GEO shall within one Business Day following notice by the Administrative Agent, (x)</w:t>
      </w:r>
      <w:r>
        <w:rPr>
          <w:rFonts w:ascii="Times New Roman" w:hAnsi="Times New Roman"/>
          <w:sz w:val="20"/>
          <w:u w:val="single"/>
        </w:rPr>
        <w:t> first</w:t>
      </w:r>
      <w:r>
        <w:rPr>
          <w:rFonts w:ascii="Times New Roman" w:hAnsi="Times New Roman"/>
          <w:sz w:val="20"/>
        </w:rPr>
        <w:t>, prepay such Swingline Exposure and (y)</w:t>
      </w:r>
      <w:r>
        <w:rPr>
          <w:rFonts w:ascii="Times New Roman" w:hAnsi="Times New Roman"/>
          <w:sz w:val="20"/>
          <w:u w:val="single"/>
        </w:rPr>
        <w:t> second</w:t>
      </w:r>
      <w:r>
        <w:rPr>
          <w:rFonts w:ascii="Times New Roman" w:hAnsi="Times New Roman"/>
          <w:sz w:val="20"/>
        </w:rPr>
        <w:t xml:space="preserve">, cash collateralize, on a </w:t>
      </w:r>
      <w:r>
        <w:rPr>
          <w:rFonts w:ascii="Times New Roman" w:hAnsi="Times New Roman"/>
          <w:i/>
          <w:sz w:val="20"/>
        </w:rPr>
        <w:t>pro rata</w:t>
      </w:r>
      <w:r>
        <w:rPr>
          <w:rFonts w:ascii="Times New Roman" w:hAnsi="Times New Roman"/>
          <w:sz w:val="20"/>
        </w:rPr>
        <w:t xml:space="preserve"> basis, for the benefit of the Issuing Lenders, the Borrowers’ obligations corresponding to such Defaulting Lender’s LC Exposure (after giving effect to any partial reallocation pursuant to </w:t>
      </w:r>
      <w:r>
        <w:rPr>
          <w:rFonts w:ascii="Times New Roman" w:hAnsi="Times New Roman"/>
          <w:sz w:val="20"/>
          <w:u w:val="single"/>
        </w:rPr>
        <w:t>Section 2.18(c)(i)</w:t>
      </w:r>
      <w:r>
        <w:rPr>
          <w:rFonts w:ascii="Times New Roman" w:hAnsi="Times New Roman"/>
          <w:sz w:val="20"/>
        </w:rPr>
        <w:t xml:space="preserve">) in accordance with the procedures set forth in </w:t>
      </w:r>
      <w:r>
        <w:rPr>
          <w:rFonts w:ascii="Times New Roman" w:hAnsi="Times New Roman"/>
          <w:sz w:val="20"/>
          <w:u w:val="single"/>
        </w:rPr>
        <w:t>Section 2.05(k)</w:t>
      </w:r>
      <w:r>
        <w:rPr>
          <w:rFonts w:ascii="Times New Roman" w:hAnsi="Times New Roman"/>
          <w:sz w:val="20"/>
        </w:rPr>
        <w:t xml:space="preserve"> for so long as such LC Exposure is outstanding; </w:t>
      </w:r>
    </w:p>
    <w:p>
      <w:pPr>
        <w:pStyle w:val="TextBody"/>
        <w:bidi w:val="0"/>
        <w:spacing w:before="120" w:after="0"/>
        <w:jc w:val="left"/>
        <w:rPr>
          <w:rFonts w:ascii="Times New Roman" w:hAnsi="Times New Roman"/>
          <w:sz w:val="20"/>
        </w:rPr>
      </w:pPr>
      <w:r>
        <w:rPr>
          <w:rFonts w:ascii="Times New Roman" w:hAnsi="Times New Roman"/>
          <w:sz w:val="20"/>
        </w:rPr>
        <w:t xml:space="preserve">(iii) if GEO cash collateralizes any portion of such Defaulting Lender’s LC Exposure pursuant to </w:t>
      </w:r>
      <w:r>
        <w:rPr>
          <w:rFonts w:ascii="Times New Roman" w:hAnsi="Times New Roman"/>
          <w:sz w:val="20"/>
          <w:u w:val="single"/>
        </w:rPr>
        <w:t>clause (ii)</w:t>
      </w:r>
      <w:r>
        <w:rPr>
          <w:rFonts w:ascii="Times New Roman" w:hAnsi="Times New Roman"/>
          <w:sz w:val="20"/>
        </w:rPr>
        <w:t xml:space="preserve"> above, GEO shall not be required to pay any fees to such Defaulting Lender pursuant to </w:t>
      </w:r>
      <w:r>
        <w:rPr>
          <w:rFonts w:ascii="Times New Roman" w:hAnsi="Times New Roman"/>
          <w:sz w:val="20"/>
          <w:u w:val="single"/>
        </w:rPr>
        <w:t>Section 2.11(b)</w:t>
      </w:r>
      <w:r>
        <w:rPr>
          <w:rFonts w:ascii="Times New Roman" w:hAnsi="Times New Roman"/>
          <w:sz w:val="20"/>
        </w:rPr>
        <w:t xml:space="preserve"> with respect to such Defaulting Lender’s LC Exposure during the period such Defaulting Lender’s LC Exposure is cash collateralized;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(iv) if the LC Exposure of the non-Defaulting Revolving Credit Lenders is reallocated pursuant to </w:t>
      </w:r>
      <w:r>
        <w:rPr>
          <w:rFonts w:ascii="Times New Roman" w:hAnsi="Times New Roman"/>
          <w:sz w:val="20"/>
          <w:u w:val="single"/>
        </w:rPr>
        <w:t>clause (i)</w:t>
      </w:r>
      <w:r>
        <w:rPr>
          <w:rFonts w:ascii="Times New Roman" w:hAnsi="Times New Roman"/>
          <w:sz w:val="20"/>
        </w:rPr>
        <w:t xml:space="preserve"> above, then the fees payable to the Lenders pursuant to </w:t>
      </w:r>
      <w:r>
        <w:rPr>
          <w:rFonts w:ascii="Times New Roman" w:hAnsi="Times New Roman"/>
          <w:sz w:val="20"/>
          <w:u w:val="single"/>
        </w:rPr>
        <w:t>Section 2.11(b)</w:t>
      </w:r>
      <w:r>
        <w:rPr>
          <w:rFonts w:ascii="Times New Roman" w:hAnsi="Times New Roman"/>
          <w:sz w:val="20"/>
        </w:rPr>
        <w:t xml:space="preserve"> shall be adjusted in accordance with such non-Defaulting Lenders’ Applicable Percentages; and </w:t>
      </w:r>
    </w:p>
    <w:p>
      <w:pPr>
        <w:pStyle w:val="TextBody"/>
        <w:bidi w:val="0"/>
        <w:spacing w:before="120" w:after="0"/>
        <w:jc w:val="left"/>
        <w:rPr>
          <w:rFonts w:ascii="Times New Roman" w:hAnsi="Times New Roman"/>
          <w:sz w:val="20"/>
        </w:rPr>
      </w:pPr>
      <w:r>
        <w:rPr>
          <w:rFonts w:ascii="Times New Roman" w:hAnsi="Times New Roman"/>
          <w:sz w:val="20"/>
        </w:rPr>
        <w:t xml:space="preserve">(v) if all or any portion of such Defaulting Lender’s LC Exposure is neither reallocated nor cash collateralized pursuant to </w:t>
      </w:r>
      <w:r>
        <w:rPr>
          <w:rFonts w:ascii="Times New Roman" w:hAnsi="Times New Roman"/>
          <w:sz w:val="20"/>
          <w:u w:val="single"/>
        </w:rPr>
        <w:t>clause (i)</w:t>
      </w:r>
      <w:r>
        <w:rPr>
          <w:rFonts w:ascii="Times New Roman" w:hAnsi="Times New Roman"/>
          <w:sz w:val="20"/>
        </w:rPr>
        <w:t xml:space="preserve"> or </w:t>
      </w:r>
      <w:r>
        <w:rPr>
          <w:rFonts w:ascii="Times New Roman" w:hAnsi="Times New Roman"/>
          <w:sz w:val="20"/>
          <w:u w:val="single"/>
        </w:rPr>
        <w:t>(ii)</w:t>
      </w:r>
      <w:r>
        <w:rPr>
          <w:rFonts w:ascii="Times New Roman" w:hAnsi="Times New Roman"/>
          <w:sz w:val="20"/>
        </w:rPr>
        <w:t xml:space="preserve"> above, then, without prejudice to any rights or remedies of the Issuing Lender or any other Lender hereunder, all fees payable under </w:t>
      </w:r>
      <w:r>
        <w:rPr>
          <w:rFonts w:ascii="Times New Roman" w:hAnsi="Times New Roman"/>
          <w:sz w:val="20"/>
          <w:u w:val="single"/>
        </w:rPr>
        <w:t>Section 2.11(b)</w:t>
      </w:r>
      <w:r>
        <w:rPr>
          <w:rFonts w:ascii="Times New Roman" w:hAnsi="Times New Roman"/>
          <w:sz w:val="20"/>
        </w:rPr>
        <w:t xml:space="preserve"> with respect to such Defaulting Lender’s LC Exposure shall be payable to the applicable Issuing Lender until and to the extent that such LC Exposure as applicable, is reallocated and/or cash collateralized; </w:t>
      </w:r>
    </w:p>
    <w:p>
      <w:pPr>
        <w:pStyle w:val="TextBody"/>
        <w:bidi w:val="0"/>
        <w:spacing w:before="240" w:after="0"/>
        <w:jc w:val="left"/>
        <w:rPr>
          <w:rFonts w:ascii="Times New Roman" w:hAnsi="Times New Roman"/>
          <w:sz w:val="20"/>
        </w:rPr>
      </w:pPr>
      <w:r>
        <w:rPr>
          <w:rFonts w:ascii="Times New Roman" w:hAnsi="Times New Roman"/>
          <w:sz w:val="20"/>
        </w:rPr>
        <w:t xml:space="preserve">(d) so long as such Lender is a Defaulting Lender, the Swingline Lender shall not be required to fund any Swingline Loan and no Issuing Lender shall be required to issue, amend or increase any Letter of Credit unless it is satisfied that the related exposure and the Defaulting Lender’s then outstanding Swingline Exposure or LC Exposure, as applicable, will be 100% covered by the Revolving Credit Commitments of the applicable non-Defaulting Lenders and/or cash collateral will be provided by GEO in accordance with </w:t>
      </w:r>
      <w:r>
        <w:rPr>
          <w:rFonts w:ascii="Times New Roman" w:hAnsi="Times New Roman"/>
          <w:sz w:val="20"/>
          <w:u w:val="single"/>
        </w:rPr>
        <w:t>Section 2.18(c)</w:t>
      </w:r>
      <w:r>
        <w:rPr>
          <w:rFonts w:ascii="Times New Roman" w:hAnsi="Times New Roman"/>
          <w:sz w:val="20"/>
        </w:rPr>
        <w:t xml:space="preserve">, and participating interests in any newly made Swingline Loan or any newly issued or increased Letter of Credit shall be allocated among the applicable non-Defaulting Lenders in a manner consistent with </w:t>
      </w:r>
      <w:r>
        <w:rPr>
          <w:rFonts w:ascii="Times New Roman" w:hAnsi="Times New Roman"/>
          <w:sz w:val="20"/>
          <w:u w:val="single"/>
        </w:rPr>
        <w:t>Section 2.18(c)(i)</w:t>
      </w:r>
      <w:r>
        <w:rPr>
          <w:rFonts w:ascii="Times New Roman" w:hAnsi="Times New Roman"/>
          <w:sz w:val="20"/>
        </w:rPr>
        <w:t xml:space="preserve"> (and such Defaulting Lender shall not participate therein); and </w:t>
      </w:r>
    </w:p>
    <w:p>
      <w:pPr>
        <w:pStyle w:val="TextBody"/>
        <w:bidi w:val="0"/>
        <w:spacing w:before="240" w:after="0"/>
        <w:jc w:val="left"/>
        <w:rPr>
          <w:rFonts w:ascii="Times New Roman" w:hAnsi="Times New Roman"/>
          <w:sz w:val="20"/>
        </w:rPr>
      </w:pPr>
      <w:r>
        <w:rPr>
          <w:rFonts w:ascii="Times New Roman" w:hAnsi="Times New Roman"/>
          <w:sz w:val="20"/>
        </w:rPr>
        <w:t xml:space="preserve">(e) any payment of principal, interest, fees or other amounts received by the Administrative Agent for the account of such Defaulting Lender (whether voluntary or mandatory, at maturity, pursuant to </w:t>
      </w:r>
      <w:r>
        <w:rPr>
          <w:rFonts w:ascii="Times New Roman" w:hAnsi="Times New Roman"/>
          <w:sz w:val="20"/>
          <w:u w:val="single"/>
        </w:rPr>
        <w:t>Article VII</w:t>
      </w:r>
      <w:r>
        <w:rPr>
          <w:rFonts w:ascii="Times New Roman" w:hAnsi="Times New Roman"/>
          <w:sz w:val="20"/>
        </w:rPr>
        <w:t xml:space="preserve"> or otherwise) or received by the Administrative Agent from a Defaulting Lender pursuant to </w:t>
      </w:r>
      <w:r>
        <w:rPr>
          <w:rFonts w:ascii="Times New Roman" w:hAnsi="Times New Roman"/>
          <w:sz w:val="20"/>
          <w:u w:val="single"/>
        </w:rPr>
        <w:t>Section 9.08</w:t>
      </w:r>
      <w:r>
        <w:rPr>
          <w:rFonts w:ascii="Times New Roman" w:hAnsi="Times New Roman"/>
          <w:sz w:val="20"/>
        </w:rPr>
        <w:t xml:space="preserve"> shall be applied at such time or times as may be determined by the Administrative Agent as follows: </w:t>
      </w:r>
      <w:r>
        <w:rPr>
          <w:rFonts w:ascii="Times New Roman" w:hAnsi="Times New Roman"/>
          <w:sz w:val="20"/>
          <w:u w:val="single"/>
        </w:rPr>
        <w:t>first</w:t>
      </w:r>
      <w:r>
        <w:rPr>
          <w:rFonts w:ascii="Times New Roman" w:hAnsi="Times New Roman"/>
          <w:sz w:val="20"/>
        </w:rPr>
        <w:t xml:space="preserve">, to the payment of any amounts owing by such Defaulting Lender to the Administrative Agent hereunder; </w:t>
      </w:r>
      <w:r>
        <w:rPr>
          <w:rFonts w:ascii="Times New Roman" w:hAnsi="Times New Roman"/>
          <w:sz w:val="20"/>
          <w:u w:val="single"/>
        </w:rPr>
        <w:t>second</w:t>
      </w:r>
      <w:r>
        <w:rPr>
          <w:rFonts w:ascii="Times New Roman" w:hAnsi="Times New Roman"/>
          <w:sz w:val="20"/>
        </w:rPr>
        <w:t xml:space="preserve">, to the payment on a </w:t>
      </w:r>
      <w:r>
        <w:rPr>
          <w:rFonts w:ascii="Times New Roman" w:hAnsi="Times New Roman"/>
          <w:i/>
          <w:sz w:val="20"/>
        </w:rPr>
        <w:t>pro rata</w:t>
      </w:r>
      <w:r>
        <w:rPr>
          <w:rFonts w:ascii="Times New Roman" w:hAnsi="Times New Roman"/>
          <w:sz w:val="20"/>
        </w:rPr>
        <w:t xml:space="preserve"> basis of any amounts owing by such Defaulting Lender to the Swingline Lender or any Issuing Lender hereunder; </w:t>
      </w:r>
      <w:r>
        <w:rPr>
          <w:rFonts w:ascii="Times New Roman" w:hAnsi="Times New Roman"/>
          <w:sz w:val="20"/>
          <w:u w:val="single"/>
        </w:rPr>
        <w:t>third</w:t>
      </w:r>
      <w:r>
        <w:rPr>
          <w:rFonts w:ascii="Times New Roman" w:hAnsi="Times New Roman"/>
          <w:sz w:val="20"/>
        </w:rPr>
        <w:t xml:space="preserve">, to cash collateralize on a </w:t>
      </w:r>
      <w:r>
        <w:rPr>
          <w:rFonts w:ascii="Times New Roman" w:hAnsi="Times New Roman"/>
          <w:i/>
          <w:sz w:val="20"/>
        </w:rPr>
        <w:t>pro rata</w:t>
      </w:r>
      <w:r>
        <w:rPr>
          <w:rFonts w:ascii="Times New Roman" w:hAnsi="Times New Roman"/>
          <w:sz w:val="20"/>
        </w:rPr>
        <w:t xml:space="preserve"> basis each Issuing Lender’s LC Exposure with respect to such Defaulting Lender; </w:t>
      </w:r>
      <w:r>
        <w:rPr>
          <w:rFonts w:ascii="Times New Roman" w:hAnsi="Times New Roman"/>
          <w:sz w:val="20"/>
          <w:u w:val="single"/>
        </w:rPr>
        <w:t>fourth</w:t>
      </w:r>
      <w:r>
        <w:rPr>
          <w:rFonts w:ascii="Times New Roman" w:hAnsi="Times New Roman"/>
          <w:sz w:val="20"/>
        </w:rPr>
        <w:t xml:space="preserve">, as GEO may request (so long as no Default exists), to the funding of any Loan in respect of which such Defaulting Lender has failed to fund its portion thereof as required by this Agreement, as determined by the Administrative Agent; </w:t>
      </w:r>
      <w:r>
        <w:rPr>
          <w:rFonts w:ascii="Times New Roman" w:hAnsi="Times New Roman"/>
          <w:sz w:val="20"/>
          <w:u w:val="single"/>
        </w:rPr>
        <w:t>fifth</w:t>
      </w:r>
      <w:r>
        <w:rPr>
          <w:rFonts w:ascii="Times New Roman" w:hAnsi="Times New Roman"/>
          <w:sz w:val="20"/>
        </w:rPr>
        <w:t xml:space="preserve">, if so determined by the Administrative Agent and GEO, to be held in a deposit account and released </w:t>
      </w:r>
      <w:r>
        <w:rPr>
          <w:rFonts w:ascii="Times New Roman" w:hAnsi="Times New Roman"/>
          <w:i/>
          <w:sz w:val="20"/>
        </w:rPr>
        <w:t>pro rata</w:t>
      </w:r>
      <w:r>
        <w:rPr>
          <w:rFonts w:ascii="Times New Roman" w:hAnsi="Times New Roman"/>
          <w:sz w:val="20"/>
        </w:rPr>
        <w:t xml:space="preserve"> in order to (i) satisfy such Defaulting Lender’s potential future funding obligations with respect to Loans under this Agreement and (ii) cash collateralize the Issuing Lenders’ future LC Exposure with respect to such Defaulting Lender with respect to future Letters of Credit issued under this Agreement; </w:t>
      </w:r>
      <w:r>
        <w:rPr>
          <w:rFonts w:ascii="Times New Roman" w:hAnsi="Times New Roman"/>
          <w:sz w:val="20"/>
          <w:u w:val="single"/>
        </w:rPr>
        <w:t>sixth</w:t>
      </w:r>
      <w:r>
        <w:rPr>
          <w:rFonts w:ascii="Times New Roman" w:hAnsi="Times New Roman"/>
          <w:sz w:val="20"/>
        </w:rPr>
        <w:t xml:space="preserve">, to the payment of any amounts owing to the Lenders, the Swingline Lender or the Issuing Lenders as a result of any judgment of a court of competent jurisdiction obtained by any Lender, the Swingline Lender or the Issuing Lenders against such Defaulting Lender as a result of such Defaulting Lender’s breach of its obligations under this Agreement; </w:t>
      </w:r>
      <w:r>
        <w:rPr>
          <w:rFonts w:ascii="Times New Roman" w:hAnsi="Times New Roman"/>
          <w:sz w:val="20"/>
          <w:u w:val="single"/>
        </w:rPr>
        <w:t>seventh</w:t>
      </w:r>
      <w:r>
        <w:rPr>
          <w:rFonts w:ascii="Times New Roman" w:hAnsi="Times New Roman"/>
          <w:sz w:val="20"/>
        </w:rPr>
        <w:t xml:space="preserve">, so long as no Default exists, to the payment of any amounts owing to any Borrower as a result of any judgment of a court of competent jurisdiction obtained by such Borrower against such Defaulting Lender as a result of such Defaulting Lender’s breach of 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obligations under this Agreement; and </w:t>
      </w:r>
      <w:r>
        <w:rPr>
          <w:rFonts w:ascii="Times New Roman" w:hAnsi="Times New Roman"/>
          <w:sz w:val="20"/>
          <w:u w:val="single"/>
        </w:rPr>
        <w:t>eighth</w:t>
      </w:r>
      <w:r>
        <w:rPr>
          <w:rFonts w:ascii="Times New Roman" w:hAnsi="Times New Roman"/>
          <w:sz w:val="20"/>
        </w:rPr>
        <w:t xml:space="preserve">, to such Defaulting Lender or as otherwise directed by a court of competent jurisdiction; </w:t>
      </w:r>
      <w:r>
        <w:rPr>
          <w:rFonts w:ascii="Times New Roman" w:hAnsi="Times New Roman"/>
          <w:sz w:val="20"/>
          <w:u w:val="single"/>
        </w:rPr>
        <w:t>provided</w:t>
      </w:r>
      <w:r>
        <w:rPr>
          <w:rFonts w:ascii="Times New Roman" w:hAnsi="Times New Roman"/>
          <w:sz w:val="20"/>
        </w:rPr>
        <w:t xml:space="preserve"> that if (i) such payment is a payment of the principal amount of any Loans or LC Disbursements in respect of which such Defaulting Lender has not fully funded its appropriate share, and (ii) such Loans were made or the related Letters of Credit were issued at a time when the conditions set forth in </w:t>
      </w:r>
      <w:r>
        <w:rPr>
          <w:rFonts w:ascii="Times New Roman" w:hAnsi="Times New Roman"/>
          <w:sz w:val="20"/>
          <w:u w:val="single"/>
        </w:rPr>
        <w:t xml:space="preserve">Section 4.02 </w:t>
      </w:r>
      <w:r>
        <w:rPr>
          <w:rFonts w:ascii="Times New Roman" w:hAnsi="Times New Roman"/>
          <w:sz w:val="20"/>
        </w:rPr>
        <w:t xml:space="preserve">were satisfied or waived, such payment shall be applied solely to pay the Loans of, and LC Disbursements owed to, all non-Defaulting Lenders on a </w:t>
      </w:r>
      <w:r>
        <w:rPr>
          <w:rFonts w:ascii="Times New Roman" w:hAnsi="Times New Roman"/>
          <w:i/>
          <w:sz w:val="20"/>
        </w:rPr>
        <w:t>pro rata</w:t>
      </w:r>
      <w:r>
        <w:rPr>
          <w:rFonts w:ascii="Times New Roman" w:hAnsi="Times New Roman"/>
          <w:sz w:val="20"/>
        </w:rPr>
        <w:t xml:space="preserve"> basis prior to being applied to the payment of any Loans of, or LC Disbursements owed to, such Defaulting Lender until such time as all Loans and funded and unfunded participations in LC Exposures and Swingline Loans are held by the Lenders </w:t>
      </w:r>
      <w:r>
        <w:rPr>
          <w:rFonts w:ascii="Times New Roman" w:hAnsi="Times New Roman"/>
          <w:i/>
          <w:sz w:val="20"/>
        </w:rPr>
        <w:t>pro rata</w:t>
      </w:r>
      <w:r>
        <w:rPr>
          <w:rFonts w:ascii="Times New Roman" w:hAnsi="Times New Roman"/>
          <w:sz w:val="20"/>
        </w:rPr>
        <w:t xml:space="preserve"> in accordance with the Commitments without giving effect to </w:t>
      </w:r>
      <w:r>
        <w:rPr>
          <w:rFonts w:ascii="Times New Roman" w:hAnsi="Times New Roman"/>
          <w:sz w:val="20"/>
          <w:u w:val="single"/>
        </w:rPr>
        <w:t>Section 2.18(c)</w:t>
      </w:r>
      <w:r>
        <w:rPr>
          <w:rFonts w:ascii="Times New Roman" w:hAnsi="Times New Roman"/>
          <w:sz w:val="20"/>
        </w:rPr>
        <w:t xml:space="preserve">. Any payments, prepayments or other amounts paid or payable to a Defaulting Lender that are applied (or held) to pay amounts owed by a Defaulting Lender or to post cash collateral pursuant to this </w:t>
      </w:r>
      <w:r>
        <w:rPr>
          <w:rFonts w:ascii="Times New Roman" w:hAnsi="Times New Roman"/>
          <w:sz w:val="20"/>
          <w:u w:val="single"/>
        </w:rPr>
        <w:t>Section 2.18(e)</w:t>
      </w:r>
      <w:r>
        <w:rPr>
          <w:rFonts w:ascii="Times New Roman" w:hAnsi="Times New Roman"/>
          <w:sz w:val="20"/>
        </w:rPr>
        <w:t xml:space="preserve"> shall be deemed paid to and redirected by such Defaulting Lender, and each Lender irrevocably consents hereto.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that the Administrative Agent, GEO, the Swingline Lender and each Issuing Lender each agrees that a Defaulting Lender has adequately remedied all matters that caused such Lender to be a Defaulting Lender (or if such Defaulting Lender has been replaced pursuant to </w:t>
      </w:r>
      <w:r>
        <w:rPr>
          <w:rFonts w:ascii="Times New Roman" w:hAnsi="Times New Roman"/>
          <w:sz w:val="20"/>
          <w:u w:val="single"/>
        </w:rPr>
        <w:t>Section 2.17</w:t>
      </w:r>
      <w:r>
        <w:rPr>
          <w:rFonts w:ascii="Times New Roman" w:hAnsi="Times New Roman"/>
          <w:sz w:val="20"/>
        </w:rPr>
        <w:t xml:space="preserve">), then (i) the Swingline Exposure and LC Exposure of the Revolving Credit Lenders shall be readjusted to reflect the inclusion of such Lender’s (or replacement Lender’s) Revolving Credit Commitment and on such date such Lender (or replacement Lender) shall purchase at par such of the Revolving Credit Loans of the other Revolving Credit Lenders as the Administrative Agent shall determine may be necessary in order for such Lender (or replacement Lender) to hold such Loans in accordance with its Applicable Percentage and (ii) all cash collateral provided pursuant to </w:t>
      </w:r>
      <w:r>
        <w:rPr>
          <w:rFonts w:ascii="Times New Roman" w:hAnsi="Times New Roman"/>
          <w:sz w:val="20"/>
          <w:u w:val="single"/>
        </w:rPr>
        <w:t>Section 2.18(c)</w:t>
      </w:r>
      <w:r>
        <w:rPr>
          <w:rFonts w:ascii="Times New Roman" w:hAnsi="Times New Roman"/>
          <w:sz w:val="20"/>
        </w:rPr>
        <w:t xml:space="preserve"> with respect to such Defaulting Lender shall be immediately released to the Borrowers. </w:t>
      </w:r>
    </w:p>
    <w:p>
      <w:pPr>
        <w:pStyle w:val="TextBody"/>
        <w:bidi w:val="0"/>
        <w:spacing w:before="240" w:after="0"/>
        <w:jc w:val="left"/>
        <w:rPr>
          <w:rFonts w:ascii="Times New Roman" w:hAnsi="Times New Roman"/>
          <w:sz w:val="20"/>
        </w:rPr>
      </w:pPr>
      <w:r>
        <w:rPr>
          <w:rFonts w:ascii="Times New Roman" w:hAnsi="Times New Roman"/>
          <w:sz w:val="20"/>
        </w:rPr>
        <w:t xml:space="preserve">Section 2.19 </w:t>
      </w:r>
      <w:r>
        <w:rPr>
          <w:rFonts w:ascii="Times New Roman" w:hAnsi="Times New Roman"/>
          <w:sz w:val="20"/>
          <w:u w:val="single"/>
        </w:rPr>
        <w:t>Illegality</w:t>
      </w:r>
      <w:r>
        <w:rPr>
          <w:rFonts w:ascii="Times New Roman" w:hAnsi="Times New Roman"/>
          <w:sz w:val="20"/>
        </w:rPr>
        <w:t xml:space="preserve">. Notwithstanding any other provision of this Agreement, in the event that on or after the date hereof any Change in Law shall make it unlawful for any Lender to make, maintain or fund Loans whose interest is determined by reference to SOFR, the Term SOFR Reference Rate or Term SOFR, or to determine or charge interest based upon SOFR, the Term SOFR Reference Rate or Term SOFR, in each case as contemplated by this Agreement, such Lender shall promptly give notice thereof to the Administrative Agent and GEO, and (i) the commitments of such Lender hereunder to make or continue SOFR Loans and to convert ABR Loans to SOFR Loans shall be suspended during the period of such illegality, (ii) such Lender’s Loans then outstanding as SOFR Loans, if any, shall be converted automatically to ABR Loans on the respective last days of the then current Interest Periods with respect to such Loans or within such earlier period as may be required by law, and (iii) during the period of such illegality (x) any Loans of such Lender that would otherwise be made or continued as SOFR Loans shall instead be made or continued, as the case may be, as ABR Loans. If any such conversion of a SOFR Loan occurs on a day which is not the last day of the then current Interest Period with respect thereto, GEO or the Borrowers, as applicable, shall pay to such Lender such amounts, if any, as may be required pursuant to </w:t>
      </w:r>
      <w:r>
        <w:rPr>
          <w:rFonts w:ascii="Times New Roman" w:hAnsi="Times New Roman"/>
          <w:sz w:val="20"/>
          <w:u w:val="single"/>
        </w:rPr>
        <w:t>Section 2.13</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2.20 </w:t>
      </w:r>
      <w:r>
        <w:rPr>
          <w:rFonts w:ascii="Times New Roman" w:hAnsi="Times New Roman"/>
          <w:sz w:val="20"/>
          <w:u w:val="single"/>
        </w:rPr>
        <w:t>GEO as Borrowers’ Representative</w:t>
      </w:r>
      <w:r>
        <w:rPr>
          <w:rFonts w:ascii="Times New Roman" w:hAnsi="Times New Roman"/>
          <w:sz w:val="20"/>
        </w:rPr>
        <w:t xml:space="preserve">. Each Borrower hereby irrevocably designates and appoints GEO as its representative and agent on its behalf for purposes of all requests in respect of Loans (including Borrowing Requests and Interest Election Requests), delivering certificates, giving instructions with respect to disbursements of proceeds of Loans, selecting interest rate options, giving and receiving all other notices and consents under this Agreement or under any of the other Loan Documents and taking all other actions (on behalf of itself and any other Borrower) hereunder or under the other Loan Documents. GEO hereby irrevocably accepts such appointment. The Administrative Agent and each Lender may regard any notice or other communication pursuant to any Loan Document from GEO as a notice or communication from all Borrowers. Each representation, warranty, covenant, agreement and undertaking made on behalf of any other Borrower by GEO shall be deemed for all purposes to have been made by such Borrower and shall be binding upon and enforceable against such Borrower to the same extent as if the same had been made directly by such Borrower. </w:t>
      </w:r>
    </w:p>
    <w:p>
      <w:pPr>
        <w:pStyle w:val="TextBody"/>
        <w:bidi w:val="0"/>
        <w:spacing w:before="240" w:after="0"/>
        <w:jc w:val="left"/>
        <w:rPr>
          <w:rFonts w:ascii="Times New Roman" w:hAnsi="Times New Roman"/>
          <w:sz w:val="20"/>
        </w:rPr>
      </w:pPr>
      <w:r>
        <w:rPr>
          <w:rFonts w:ascii="Times New Roman" w:hAnsi="Times New Roman"/>
          <w:sz w:val="20"/>
        </w:rPr>
        <w:t xml:space="preserve">Section 2.21 </w:t>
      </w:r>
      <w:r>
        <w:rPr>
          <w:rFonts w:ascii="Times New Roman" w:hAnsi="Times New Roman"/>
          <w:sz w:val="20"/>
          <w:u w:val="single"/>
        </w:rPr>
        <w:t>Joint and Several Obligations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All Obligations under this Agreement that are stated under this Agreement to be Obligations of both Borrowers, including their Obligations in respect of Revolving Credit Loans, Swingline Loans and Letters of Credit (but excluding, for the avoidance of doubt, the Term Loans and any Incremental Term Loans), shall be joint and several Obligations of each Borrower (such Obligations, “</w:t>
      </w:r>
      <w:r>
        <w:rPr>
          <w:rFonts w:ascii="Times New Roman" w:hAnsi="Times New Roman"/>
          <w:sz w:val="20"/>
          <w:u w:val="single"/>
        </w:rPr>
        <w:t>Joint and Several Obligations</w:t>
      </w:r>
      <w:r>
        <w:rPr>
          <w:rFonts w:ascii="Times New Roman" w:hAnsi="Times New Roman"/>
          <w:sz w:val="20"/>
        </w:rPr>
        <w:t xml:space="preserve">”). Anything contained in this Agreement and the other Loan Documents to the contrary notwithstanding, the Obligations of each Borrower hereunder, solely with respect to the Joint and Several Obligations and to the extent that such Borrower did not receive proceeds of Revolving Credit Loans from any Borrowing hereunder, in any action or proceeding involving any state corporate, limited partnership or limited liability company law, or any applicable state, federal or foreign bankruptcy, insolvency, reorganization or other law affecting the rights of creditors generally, if the Obligations of such Borrower would otherwise be held or determined to be void, voidable, invalid or unenforceable, or subordinated to the claims of any other creditors, on account of the amount of its liability under this </w:t>
      </w:r>
      <w:r>
        <w:rPr>
          <w:rFonts w:ascii="Times New Roman" w:hAnsi="Times New Roman"/>
          <w:sz w:val="20"/>
          <w:u w:val="single"/>
        </w:rPr>
        <w:t>Section 2.21(a)</w:t>
      </w:r>
      <w:r>
        <w:rPr>
          <w:rFonts w:ascii="Times New Roman" w:hAnsi="Times New Roman"/>
          <w:sz w:val="20"/>
        </w:rPr>
        <w:t xml:space="preserve"> in respect of such Obligations, then, notwithstanding any other provision to the contrary, the amount of such liability shall, without any further action by such Borrower or any other person, be automatically limited and reduced to the highest amount (after giving effect to any right of contribution) that is valid and enforceable and not subordinated to the claims of other creditors as determined in such action or proceeding. </w:t>
      </w:r>
    </w:p>
    <w:p>
      <w:pPr>
        <w:pStyle w:val="TextBody"/>
        <w:bidi w:val="0"/>
        <w:spacing w:before="240" w:after="0"/>
        <w:jc w:val="left"/>
        <w:rPr>
          <w:rFonts w:ascii="Times New Roman" w:hAnsi="Times New Roman"/>
          <w:sz w:val="20"/>
        </w:rPr>
      </w:pPr>
      <w:r>
        <w:rPr>
          <w:rFonts w:ascii="Times New Roman" w:hAnsi="Times New Roman"/>
          <w:sz w:val="20"/>
        </w:rPr>
        <w:t xml:space="preserve">(b) Each Borrower hereby agrees that until the Release Date it shall not exercise any direct or indirect right or remedy arising as a result of such Joint and Several Obligations, whether by subrogation or otherwise, against the other Borrower or any other Guarantor. </w:t>
      </w:r>
    </w:p>
    <w:p>
      <w:pPr>
        <w:pStyle w:val="TextBody"/>
        <w:bidi w:val="0"/>
        <w:spacing w:before="240" w:after="0"/>
        <w:jc w:val="left"/>
        <w:rPr>
          <w:rFonts w:ascii="Times New Roman" w:hAnsi="Times New Roman"/>
          <w:sz w:val="20"/>
        </w:rPr>
      </w:pPr>
      <w:r>
        <w:rPr>
          <w:rFonts w:ascii="Times New Roman" w:hAnsi="Times New Roman"/>
          <w:sz w:val="20"/>
        </w:rPr>
        <w:t xml:space="preserve">(c) Each Borrower hereby agrees that to the extent that a Borrower shall have paid more than its proportionate share of any payment made hereunder in respect of Joint and Several Obligations, such Borrower shall be entitled to seek and receive contribution from and against the other Borrower. Each Borrower’s right of contribution shall be subject to the terms and conditions of </w:t>
      </w:r>
      <w:r>
        <w:rPr>
          <w:rFonts w:ascii="Times New Roman" w:hAnsi="Times New Roman"/>
          <w:sz w:val="20"/>
          <w:u w:val="single"/>
        </w:rPr>
        <w:t>Section 2.21(b)</w:t>
      </w:r>
      <w:r>
        <w:rPr>
          <w:rFonts w:ascii="Times New Roman" w:hAnsi="Times New Roman"/>
          <w:sz w:val="20"/>
        </w:rPr>
        <w:t xml:space="preserve">. The provisions of this </w:t>
      </w:r>
      <w:r>
        <w:rPr>
          <w:rFonts w:ascii="Times New Roman" w:hAnsi="Times New Roman"/>
          <w:sz w:val="20"/>
          <w:u w:val="single"/>
        </w:rPr>
        <w:t>Section 2.21(c)</w:t>
      </w:r>
      <w:r>
        <w:rPr>
          <w:rFonts w:ascii="Times New Roman" w:hAnsi="Times New Roman"/>
          <w:sz w:val="20"/>
        </w:rPr>
        <w:t xml:space="preserve"> shall in no respect limit the obligations and liabilities of either Borrower to the Administrative Agent, the Issuing Lenders, the Swingline Lender and the Lenders, and each Borrower shall remain liable to the Administrative Agent, the Issuing Lenders, the Swingline Lender and the Lenders for the full amount of all Joint and Several Obligations.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The Joint and Several Obligations of the Borrowers, to the fullest extent permitted by applicable Law, are absolute, irrevocable and unconditional, joint and several, irrespective of the value, genuineness, validity, regularity or enforceability of the Joint and Several Obligations, or any substitution, release or exchange of any guarantee of or security for any of the Joint and Several Obligations, and, irrespective of any other circumstance whatsoever that might otherwise constitute a legal or equitable discharge or defense of a surety or guarantor (except for payment in full). Without limiting the generality of the foregoing, it is agreed that the occurrence of any one or more of the following shall not alter or impair the liability of the Borrowers hereunder which shall remain absolute, irrevocable and unconditional under any and all circumstances as described above: </w:t>
      </w:r>
    </w:p>
    <w:p>
      <w:pPr>
        <w:pStyle w:val="TextBody"/>
        <w:bidi w:val="0"/>
        <w:spacing w:before="120" w:after="0"/>
        <w:jc w:val="left"/>
        <w:rPr>
          <w:rFonts w:ascii="Times New Roman" w:hAnsi="Times New Roman"/>
          <w:sz w:val="20"/>
        </w:rPr>
      </w:pPr>
      <w:r>
        <w:rPr>
          <w:rFonts w:ascii="Times New Roman" w:hAnsi="Times New Roman"/>
          <w:sz w:val="20"/>
        </w:rPr>
        <w:t xml:space="preserve">(i) at any time or from time to time, without notice to the Borrowers, to the extent permitted by applicable law, the time for any performance of or compliance with any of the Joint and Several Obligations shall be extended, or such performance or compliance shall be waived; </w:t>
      </w:r>
    </w:p>
    <w:p>
      <w:pPr>
        <w:pStyle w:val="TextBody"/>
        <w:bidi w:val="0"/>
        <w:spacing w:before="120" w:after="0"/>
        <w:jc w:val="left"/>
        <w:rPr>
          <w:rFonts w:ascii="Times New Roman" w:hAnsi="Times New Roman"/>
          <w:sz w:val="20"/>
        </w:rPr>
      </w:pPr>
      <w:r>
        <w:rPr>
          <w:rFonts w:ascii="Times New Roman" w:hAnsi="Times New Roman"/>
          <w:sz w:val="20"/>
        </w:rPr>
        <w:t xml:space="preserve">(ii) any of the acts mentioned in any of the provisions of this Agreement or any other agreement or instrument referred to herein or therein shall be done or omitted; </w:t>
      </w:r>
    </w:p>
    <w:p>
      <w:pPr>
        <w:pStyle w:val="TextBody"/>
        <w:bidi w:val="0"/>
        <w:spacing w:before="120" w:after="0"/>
        <w:jc w:val="left"/>
        <w:rPr>
          <w:rFonts w:ascii="Times New Roman" w:hAnsi="Times New Roman"/>
          <w:sz w:val="20"/>
        </w:rPr>
      </w:pPr>
      <w:r>
        <w:rPr>
          <w:rFonts w:ascii="Times New Roman" w:hAnsi="Times New Roman"/>
          <w:sz w:val="20"/>
        </w:rPr>
        <w:t xml:space="preserve">(iii) the maturity of any of the Joint and Several Obligations shall be accelerated, or any of the Joint and Several Obligations shall be amended in any respect, or any right under the Loan Documents or any other agreement or instrument referred to herein or therein shall be amended or waived in any respect or any guarantee of any of the Joint and Several Obligations or except as permitted pursuant to </w:t>
      </w:r>
      <w:r>
        <w:rPr>
          <w:rFonts w:ascii="Times New Roman" w:hAnsi="Times New Roman"/>
          <w:sz w:val="20"/>
          <w:u w:val="single"/>
        </w:rPr>
        <w:t>Section 9.02</w:t>
      </w:r>
      <w:r>
        <w:rPr>
          <w:rFonts w:ascii="Times New Roman" w:hAnsi="Times New Roman"/>
          <w:sz w:val="20"/>
        </w:rPr>
        <w:t xml:space="preserve">, any security therefor shall be released or exchanged in whole or in part or otherwise dealt with; </w:t>
      </w:r>
    </w:p>
    <w:p>
      <w:pPr>
        <w:pStyle w:val="TextBody"/>
        <w:bidi w:val="0"/>
        <w:spacing w:before="120" w:after="0"/>
        <w:jc w:val="left"/>
        <w:rPr>
          <w:rFonts w:ascii="Times New Roman" w:hAnsi="Times New Roman"/>
          <w:sz w:val="20"/>
        </w:rPr>
      </w:pPr>
      <w:r>
        <w:rPr>
          <w:rFonts w:ascii="Times New Roman" w:hAnsi="Times New Roman"/>
          <w:sz w:val="20"/>
        </w:rPr>
        <w:t xml:space="preserve">(iv) any Lien or security interest granted to, or in favor of, an Issuing Lender, any Lender or the Administrative Agent as security for any of the Joint and Several Obligations shall fail to be perfected; or </w:t>
      </w:r>
    </w:p>
    <w:p>
      <w:pPr>
        <w:pStyle w:val="TextBody"/>
        <w:bidi w:val="0"/>
        <w:spacing w:before="120" w:after="0"/>
        <w:jc w:val="left"/>
        <w:rPr>
          <w:rFonts w:ascii="Times New Roman" w:hAnsi="Times New Roman"/>
          <w:sz w:val="20"/>
        </w:rPr>
      </w:pPr>
      <w:r>
        <w:rPr>
          <w:rFonts w:ascii="Times New Roman" w:hAnsi="Times New Roman"/>
          <w:sz w:val="20"/>
        </w:rPr>
        <w:t xml:space="preserve">(v) the release of any other Guarantor pursuant to </w:t>
      </w:r>
      <w:r>
        <w:rPr>
          <w:rFonts w:ascii="Times New Roman" w:hAnsi="Times New Roman"/>
          <w:sz w:val="20"/>
          <w:u w:val="single"/>
        </w:rPr>
        <w:t>Section 9.02</w:t>
      </w:r>
      <w:r>
        <w:rPr>
          <w:rFonts w:ascii="Times New Roman" w:hAnsi="Times New Roman"/>
          <w:sz w:val="20"/>
        </w:rPr>
        <w:t xml:space="preserve"> or otherwise. </w:t>
      </w:r>
    </w:p>
    <w:p>
      <w:pPr>
        <w:pStyle w:val="TextBody"/>
        <w:bidi w:val="0"/>
        <w:spacing w:before="240" w:after="0"/>
        <w:jc w:val="left"/>
        <w:rPr>
          <w:rFonts w:ascii="Times New Roman" w:hAnsi="Times New Roman"/>
          <w:sz w:val="20"/>
        </w:rPr>
      </w:pPr>
      <w:r>
        <w:rPr>
          <w:rFonts w:ascii="Times New Roman" w:hAnsi="Times New Roman"/>
          <w:sz w:val="20"/>
        </w:rPr>
        <w:t xml:space="preserve">To the extent permitted by applicable law, each Borrower hereby expressly waives diligence, presentment, demand of payment, protest and all notices whatsoever, and any requirement that any Secured Party exhaust any right, power or remedy or proceed against the other Borrower under this Agreement or any other agreement or instrument referred to herein or therein, or against any person under any other guarantee of, or security for, any of the Joint and Several Obligations. The Borrowers waive, to the extent permitted by law, any and all notice of the creation, renewal, extension, waiver, termination or accrual of any of the Joint and Several Obligations. The Borrowers’ Joint and Several Obligations shall not be conditioned or contingent upon the pursuit by the Secured Parties or any other person at any time of any right or remedy against the Borrowers or either of them or against any other person which may be or become liable in respect of all or any part of the Joint and Several Obligations or against any collateral security or guarantee therefor or right of offset with respect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2.22 </w:t>
      </w:r>
      <w:r>
        <w:rPr>
          <w:rFonts w:ascii="Times New Roman" w:hAnsi="Times New Roman"/>
          <w:sz w:val="20"/>
          <w:u w:val="single"/>
        </w:rPr>
        <w:t>Refinancing Facilities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Refinancing Term Loans</w:t>
      </w:r>
      <w:r>
        <w:rPr>
          <w:rFonts w:ascii="Times New Roman" w:hAnsi="Times New Roman"/>
          <w:sz w:val="20"/>
        </w:rPr>
        <w:t>. GEO may, on one or more occasions, upon giving no less than five Business Days’ prior written notice (or such shorter period as may be agreed to by the Administrative Agent) (which notice may take the form of a draft of the relevant Refinancing Term Loan Amendment) (the “</w:t>
      </w:r>
      <w:r>
        <w:rPr>
          <w:rFonts w:ascii="Times New Roman" w:hAnsi="Times New Roman"/>
          <w:sz w:val="20"/>
          <w:u w:val="single"/>
        </w:rPr>
        <w:t>Refinancing Term Loan Notice</w:t>
      </w:r>
      <w:r>
        <w:rPr>
          <w:rFonts w:ascii="Times New Roman" w:hAnsi="Times New Roman"/>
          <w:sz w:val="20"/>
        </w:rPr>
        <w:t>”) to the Administrative Agent, refinance all (and not less than all) of the Term Loans or the Incremental Term Loans of any Series with new term loans under this Agreement (such new term loans, “</w:t>
      </w:r>
      <w:r>
        <w:rPr>
          <w:rFonts w:ascii="Times New Roman" w:hAnsi="Times New Roman"/>
          <w:sz w:val="20"/>
          <w:u w:val="single"/>
        </w:rPr>
        <w:t>Refinancing Term Loans</w:t>
      </w:r>
      <w:r>
        <w:rPr>
          <w:rFonts w:ascii="Times New Roman" w:hAnsi="Times New Roman"/>
          <w:sz w:val="20"/>
        </w:rPr>
        <w:t>”). Each such notice shall specify the date (each, a “</w:t>
      </w:r>
      <w:r>
        <w:rPr>
          <w:rFonts w:ascii="Times New Roman" w:hAnsi="Times New Roman"/>
          <w:sz w:val="20"/>
          <w:u w:val="single"/>
        </w:rPr>
        <w:t>Refinancing Term Loan Effective Date</w:t>
      </w:r>
      <w:r>
        <w:rPr>
          <w:rFonts w:ascii="Times New Roman" w:hAnsi="Times New Roman"/>
          <w:sz w:val="20"/>
        </w:rPr>
        <w:t xml:space="preserve">”), which shall be a Business Day, on which GEO proposes that such refinancing shall be consummated. Any such refinancing, and the incurrence of any Refinancing Term Loans hereunder, shall be subject to the following conditions: </w:t>
      </w:r>
    </w:p>
    <w:p>
      <w:pPr>
        <w:pStyle w:val="TextBody"/>
        <w:bidi w:val="0"/>
        <w:spacing w:before="120" w:after="0"/>
        <w:jc w:val="left"/>
        <w:rPr>
          <w:rFonts w:ascii="Times New Roman" w:hAnsi="Times New Roman"/>
          <w:sz w:val="20"/>
        </w:rPr>
      </w:pPr>
      <w:r>
        <w:rPr>
          <w:rFonts w:ascii="Times New Roman" w:hAnsi="Times New Roman"/>
          <w:sz w:val="20"/>
        </w:rPr>
        <w:t xml:space="preserve">(i) No Event of Default shall have occurred and be continuing. </w:t>
      </w:r>
    </w:p>
    <w:p>
      <w:pPr>
        <w:pStyle w:val="TextBody"/>
        <w:bidi w:val="0"/>
        <w:spacing w:before="120" w:after="0"/>
        <w:jc w:val="left"/>
        <w:rPr>
          <w:rFonts w:ascii="Times New Roman" w:hAnsi="Times New Roman"/>
          <w:sz w:val="20"/>
        </w:rPr>
      </w:pPr>
      <w:r>
        <w:rPr>
          <w:rFonts w:ascii="Times New Roman" w:hAnsi="Times New Roman"/>
          <w:sz w:val="20"/>
        </w:rPr>
        <w:t xml:space="preserve">(ii) Substantially concurrently with the incurrence of any Refinancing Term Loans, GEO shall repay or prepay all of the then-outstanding Loans being refinanced (together with any accrued but unpaid interest thereon and all fees or premiums, if any, with respect thereto) with proceeds of such Refinancing Term Loans. </w:t>
      </w:r>
    </w:p>
    <w:p>
      <w:pPr>
        <w:pStyle w:val="TextBody"/>
        <w:bidi w:val="0"/>
        <w:spacing w:before="120" w:after="0"/>
        <w:jc w:val="left"/>
        <w:rPr>
          <w:rFonts w:ascii="Times New Roman" w:hAnsi="Times New Roman"/>
          <w:sz w:val="20"/>
        </w:rPr>
      </w:pPr>
      <w:r>
        <w:rPr>
          <w:rFonts w:ascii="Times New Roman" w:hAnsi="Times New Roman"/>
          <w:sz w:val="20"/>
        </w:rPr>
        <w:t xml:space="preserve">(iii) GEO shall pay any applicable amounts as and when required pursuant to </w:t>
      </w:r>
      <w:r>
        <w:rPr>
          <w:rFonts w:ascii="Times New Roman" w:hAnsi="Times New Roman"/>
          <w:sz w:val="20"/>
          <w:u w:val="single"/>
        </w:rPr>
        <w:t>Section 2.14</w:t>
      </w:r>
      <w:r>
        <w:rPr>
          <w:rFonts w:ascii="Times New Roman" w:hAnsi="Times New Roman"/>
          <w:sz w:val="20"/>
        </w:rPr>
        <w:t xml:space="preserve"> and </w:t>
      </w:r>
      <w:r>
        <w:rPr>
          <w:rFonts w:ascii="Times New Roman" w:hAnsi="Times New Roman"/>
          <w:sz w:val="20"/>
          <w:u w:val="single"/>
        </w:rPr>
        <w:t>Section 2.10(a)</w:t>
      </w:r>
      <w:r>
        <w:rPr>
          <w:rFonts w:ascii="Times New Roman" w:hAnsi="Times New Roman"/>
          <w:sz w:val="20"/>
        </w:rPr>
        <w:t xml:space="preserve"> in connection with the prepayment or repayment of the Loans being refinanced by such Refinancing Term Loans; </w:t>
      </w:r>
    </w:p>
    <w:p>
      <w:pPr>
        <w:pStyle w:val="TextBody"/>
        <w:bidi w:val="0"/>
        <w:spacing w:before="120" w:after="0"/>
        <w:jc w:val="left"/>
        <w:rPr>
          <w:rFonts w:ascii="Times New Roman" w:hAnsi="Times New Roman"/>
          <w:sz w:val="20"/>
        </w:rPr>
      </w:pPr>
      <w:r>
        <w:rPr>
          <w:rFonts w:ascii="Times New Roman" w:hAnsi="Times New Roman"/>
          <w:sz w:val="20"/>
        </w:rPr>
        <w:t xml:space="preserve">(iv) The Refinancing Term Loan Notice shall set forth, with respect to the Refinancing Term Loans referred to therein, the following (and such Refinancing Term Loans shall be subject to the following requirements): </w:t>
      </w:r>
    </w:p>
    <w:p>
      <w:pPr>
        <w:pStyle w:val="TextBody"/>
        <w:bidi w:val="0"/>
        <w:spacing w:before="120" w:after="0"/>
        <w:jc w:val="left"/>
        <w:rPr>
          <w:rFonts w:ascii="Times New Roman" w:hAnsi="Times New Roman"/>
          <w:sz w:val="20"/>
        </w:rPr>
      </w:pPr>
      <w:r>
        <w:rPr>
          <w:rFonts w:ascii="Times New Roman" w:hAnsi="Times New Roman"/>
          <w:sz w:val="20"/>
        </w:rPr>
        <w:t xml:space="preserve">(A) the stated maturity date and amortization applicable thereto; </w:t>
      </w:r>
      <w:r>
        <w:rPr>
          <w:rFonts w:ascii="Times New Roman" w:hAnsi="Times New Roman"/>
          <w:sz w:val="20"/>
          <w:u w:val="single"/>
        </w:rPr>
        <w:t>provided</w:t>
      </w:r>
      <w:r>
        <w:rPr>
          <w:rFonts w:ascii="Times New Roman" w:hAnsi="Times New Roman"/>
          <w:sz w:val="20"/>
        </w:rPr>
        <w:t xml:space="preserve"> that the weighted average-life-to-maturity for such Refinancing Term Loans shall not be shorter than the weighted average-life-to-maturity for, and the stated maturity date of such Refinancing Term Loans shall not be earlier than 91 days after the stated maturity date of the Term Loans or Incremental Term Loans being refinanced with such Refinancing Term Loans; </w:t>
      </w:r>
    </w:p>
    <w:p>
      <w:pPr>
        <w:pStyle w:val="TextBody"/>
        <w:bidi w:val="0"/>
        <w:spacing w:before="120" w:after="0"/>
        <w:jc w:val="left"/>
        <w:rPr>
          <w:rFonts w:ascii="Times New Roman" w:hAnsi="Times New Roman"/>
          <w:sz w:val="20"/>
        </w:rPr>
      </w:pPr>
      <w:r>
        <w:rPr>
          <w:rFonts w:ascii="Times New Roman" w:hAnsi="Times New Roman"/>
          <w:sz w:val="20"/>
        </w:rPr>
        <w:t xml:space="preserve">(B) the interest rate or rates applicable to the Refinancing Term Loans; </w:t>
      </w:r>
    </w:p>
    <w:p>
      <w:pPr>
        <w:pStyle w:val="TextBody"/>
        <w:bidi w:val="0"/>
        <w:spacing w:before="120" w:after="0"/>
        <w:jc w:val="left"/>
        <w:rPr>
          <w:rFonts w:ascii="Times New Roman" w:hAnsi="Times New Roman"/>
          <w:sz w:val="20"/>
        </w:rPr>
      </w:pPr>
      <w:r>
        <w:rPr>
          <w:rFonts w:ascii="Times New Roman" w:hAnsi="Times New Roman"/>
          <w:sz w:val="20"/>
        </w:rPr>
        <w:t xml:space="preserve">(C) any other material terms applicable to the Refinancing Term Loans; </w:t>
      </w:r>
      <w:r>
        <w:rPr>
          <w:rFonts w:ascii="Times New Roman" w:hAnsi="Times New Roman"/>
          <w:sz w:val="20"/>
          <w:u w:val="single"/>
        </w:rPr>
        <w:t>provided</w:t>
      </w:r>
      <w:r>
        <w:rPr>
          <w:rFonts w:ascii="Times New Roman" w:hAnsi="Times New Roman"/>
          <w:sz w:val="20"/>
        </w:rPr>
        <w:t xml:space="preserve">, that such other terms (excluding pricing, fees and optional prepayment or redemption terms) shall not be materially more favorable to the Lenders holding such Refinancing Term Loans than those applicable to the Term Loans or Incremental Term Loans being refinanced (except for covenants and other provisions only applicable after the stated maturity date of such Term Loans or Incremental Term Loans); and </w:t>
      </w:r>
    </w:p>
    <w:p>
      <w:pPr>
        <w:pStyle w:val="TextBody"/>
        <w:bidi w:val="0"/>
        <w:spacing w:before="120" w:after="0"/>
        <w:jc w:val="left"/>
        <w:rPr>
          <w:rFonts w:ascii="Times New Roman" w:hAnsi="Times New Roman"/>
          <w:sz w:val="20"/>
        </w:rPr>
      </w:pPr>
      <w:r>
        <w:rPr>
          <w:rFonts w:ascii="Times New Roman" w:hAnsi="Times New Roman"/>
          <w:sz w:val="20"/>
        </w:rPr>
        <w:t xml:space="preserve">(D) a certification from a Financial Officer of GEO that the requirements and conditions set forth in this </w:t>
      </w:r>
      <w:r>
        <w:rPr>
          <w:rFonts w:ascii="Times New Roman" w:hAnsi="Times New Roman"/>
          <w:sz w:val="20"/>
          <w:u w:val="single"/>
        </w:rPr>
        <w:t>Section 2.22(b)</w:t>
      </w:r>
      <w:r>
        <w:rPr>
          <w:rFonts w:ascii="Times New Roman" w:hAnsi="Times New Roman"/>
          <w:sz w:val="20"/>
        </w:rPr>
        <w:t xml:space="preserve"> with respect to such Refinancing Term Loans have been complied with and satisfied, as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 Any Lender approached by GEO to provide all or a portion of the Refinancing Term Loans may elect or decline, in its sole discretion, to provide any Refinancing Term Loans. </w:t>
      </w:r>
    </w:p>
    <w:p>
      <w:pPr>
        <w:pStyle w:val="TextBody"/>
        <w:bidi w:val="0"/>
        <w:spacing w:before="120" w:after="0"/>
        <w:jc w:val="left"/>
        <w:rPr>
          <w:rFonts w:ascii="Times New Roman" w:hAnsi="Times New Roman"/>
          <w:sz w:val="20"/>
        </w:rPr>
      </w:pPr>
      <w:r>
        <w:rPr>
          <w:rFonts w:ascii="Times New Roman" w:hAnsi="Times New Roman"/>
          <w:sz w:val="20"/>
        </w:rPr>
        <w:t>(vi) Any Refinancing Term Loans shall be established pursuant to an amendment hereto and, to the extent applicable, the other Loan Documents (the “</w:t>
      </w:r>
      <w:r>
        <w:rPr>
          <w:rFonts w:ascii="Times New Roman" w:hAnsi="Times New Roman"/>
          <w:sz w:val="20"/>
          <w:u w:val="single"/>
        </w:rPr>
        <w:t>Refinancing Term Loan Amendment</w:t>
      </w:r>
      <w:r>
        <w:rPr>
          <w:rFonts w:ascii="Times New Roman" w:hAnsi="Times New Roman"/>
          <w:sz w:val="20"/>
        </w:rPr>
        <w:t xml:space="preserve">”), in form and substance reasonably satisfactory to the Administrative Agent, executed and delivered by GEO, each Lender providing such Refinancing Term Loans and the Administrative Agent, which shall be consistent with the provisions set forth above (but which shall not require the consent of any other Lender or Loan Party). Each Refinancing Term Loan Amendment shall be binding on the Lenders, the Loan Parties and the other parties hereto and, notwithstanding anything to the contrary in </w:t>
      </w:r>
      <w:r>
        <w:rPr>
          <w:rFonts w:ascii="Times New Roman" w:hAnsi="Times New Roman"/>
          <w:sz w:val="20"/>
          <w:u w:val="single"/>
        </w:rPr>
        <w:t>Section 9.02</w:t>
      </w:r>
      <w:r>
        <w:rPr>
          <w:rFonts w:ascii="Times New Roman" w:hAnsi="Times New Roman"/>
          <w:sz w:val="20"/>
        </w:rPr>
        <w:t xml:space="preserve">, may effect amendments to this Agreement and the other Loan Documents of a technical or administrative nature as may be necessary, appropriate or desirable in the reasonable opinion of the Administrative Agent and GEO, in order to establish and implement such Refinancing Term Loans or the Commitments in respect thereof pursuant to, and to otherwise give effect to, the provisions of this </w:t>
      </w:r>
      <w:r>
        <w:rPr>
          <w:rFonts w:ascii="Times New Roman" w:hAnsi="Times New Roman"/>
          <w:sz w:val="20"/>
          <w:u w:val="single"/>
        </w:rPr>
        <w:t>Section 2.22(a)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(vii) Any Refinancing Term Loans shall be denominated in Dollars and shall rank </w:t>
      </w:r>
      <w:r>
        <w:rPr>
          <w:rFonts w:ascii="Times New Roman" w:hAnsi="Times New Roman"/>
          <w:sz w:val="20"/>
          <w:u w:val="single"/>
        </w:rPr>
        <w:t>pari</w:t>
      </w:r>
      <w:r>
        <w:rPr>
          <w:rFonts w:ascii="Times New Roman" w:hAnsi="Times New Roman"/>
          <w:sz w:val="20"/>
        </w:rPr>
        <w:t xml:space="preserve"> </w:t>
      </w:r>
      <w:r>
        <w:rPr>
          <w:rFonts w:ascii="Times New Roman" w:hAnsi="Times New Roman"/>
          <w:sz w:val="20"/>
          <w:u w:val="single"/>
        </w:rPr>
        <w:t>passu</w:t>
      </w:r>
      <w:r>
        <w:rPr>
          <w:rFonts w:ascii="Times New Roman" w:hAnsi="Times New Roman"/>
          <w:sz w:val="20"/>
        </w:rPr>
        <w:t xml:space="preserve"> with the remaining Term Loans (if any), or Incremental Term Loans not refinanced therewith and the other Obligations in right of payment and in priority with respect to the Liens created under the Security Documents; it being understood that (x) the borrower of such Refinancing Term Loans shall be GEO and (y) such Refinancing Term Loans shall not have any obligors that are not Loan Parties or any “restricted subsidiaries” that are not Restricted Subsidiaries. </w:t>
      </w:r>
    </w:p>
    <w:p>
      <w:pPr>
        <w:pStyle w:val="TextBody"/>
        <w:bidi w:val="0"/>
        <w:spacing w:before="240" w:after="0"/>
        <w:jc w:val="left"/>
        <w:rPr>
          <w:rFonts w:ascii="Times New Roman" w:hAnsi="Times New Roman"/>
          <w:sz w:val="20"/>
        </w:rPr>
      </w:pPr>
      <w:r>
        <w:rPr>
          <w:rFonts w:ascii="Times New Roman" w:hAnsi="Times New Roman"/>
          <w:sz w:val="20"/>
        </w:rPr>
        <w:t xml:space="preserve">The Administrative Agent shall notify the Lenders as to the occurrence of any Refinancing Term Loan Effective Date.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Refinancing Revolving Credit Commitments</w:t>
      </w:r>
      <w:r>
        <w:rPr>
          <w:rFonts w:ascii="Times New Roman" w:hAnsi="Times New Roman"/>
          <w:sz w:val="20"/>
        </w:rPr>
        <w:t>. The Borrowers may, on one or more occasions, upon giving no less than five Business Days’ prior written notice (or such shorter period as may be agreed to by the Administrative Agent) (which notice may take the form of a draft of the relevant Refinancing Revolving Credit Commitments Amendment) (the “</w:t>
      </w:r>
      <w:r>
        <w:rPr>
          <w:rFonts w:ascii="Times New Roman" w:hAnsi="Times New Roman"/>
          <w:sz w:val="20"/>
          <w:u w:val="single"/>
        </w:rPr>
        <w:t>Refinancing Revolving Credit Commitments Notice</w:t>
      </w:r>
      <w:r>
        <w:rPr>
          <w:rFonts w:ascii="Times New Roman" w:hAnsi="Times New Roman"/>
          <w:sz w:val="20"/>
        </w:rPr>
        <w:t>”) to the Administrative Agent, refinance all (and not less than all) of the Revolving Credit Commitments with a new revolving credit facility under this Agreement (such refinancing of the Revolving Credit Commitments, the “</w:t>
      </w:r>
      <w:r>
        <w:rPr>
          <w:rFonts w:ascii="Times New Roman" w:hAnsi="Times New Roman"/>
          <w:sz w:val="20"/>
          <w:u w:val="single"/>
        </w:rPr>
        <w:t>Refinancing Revolving Credit Commitments</w:t>
      </w:r>
      <w:r>
        <w:rPr>
          <w:rFonts w:ascii="Times New Roman" w:hAnsi="Times New Roman"/>
          <w:sz w:val="20"/>
        </w:rPr>
        <w:t>”). Each such Refinancing Revolving Credit Commitments Notice shall specify the date (the “</w:t>
      </w:r>
      <w:r>
        <w:rPr>
          <w:rFonts w:ascii="Times New Roman" w:hAnsi="Times New Roman"/>
          <w:sz w:val="20"/>
          <w:u w:val="single"/>
        </w:rPr>
        <w:t>Refinancing Revolving Credit Commitments Effective Date</w:t>
      </w:r>
      <w:r>
        <w:rPr>
          <w:rFonts w:ascii="Times New Roman" w:hAnsi="Times New Roman"/>
          <w:sz w:val="20"/>
        </w:rPr>
        <w:t xml:space="preserve">”), which shall be a Business Day, on which the Borrowers propose that such refinancing shall be consummated. Any such refinancing, and the incurrence of Refinancing Revolving Credit Commitments hereunder, shall be subject to the following: </w:t>
      </w:r>
    </w:p>
    <w:p>
      <w:pPr>
        <w:pStyle w:val="TextBody"/>
        <w:bidi w:val="0"/>
        <w:spacing w:before="120" w:after="0"/>
        <w:jc w:val="left"/>
        <w:rPr>
          <w:rFonts w:ascii="Times New Roman" w:hAnsi="Times New Roman"/>
          <w:sz w:val="20"/>
        </w:rPr>
      </w:pPr>
      <w:r>
        <w:rPr>
          <w:rFonts w:ascii="Times New Roman" w:hAnsi="Times New Roman"/>
          <w:sz w:val="20"/>
        </w:rPr>
        <w:t xml:space="preserve">(i) No Event of Default shall have occurred and be continuing.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Substantially concurrently with the incurrence of any Refinancing Revolving Credit Commitments, the Borrowers shall terminate the existing Revolving Credit Commitments, and repay, prepay and pay all of the then outstanding Revolving Credit Loans and other Revolving Credit Exposure associated with such terminated Revolving Credit Commitments (together with any accrued but unpaid interest and fees thereon and any premiums, if any, with respect thereto); </w:t>
      </w:r>
      <w:r>
        <w:rPr>
          <w:rFonts w:ascii="Times New Roman" w:hAnsi="Times New Roman"/>
          <w:sz w:val="20"/>
          <w:u w:val="single"/>
        </w:rPr>
        <w:t>provided</w:t>
      </w:r>
      <w:r>
        <w:rPr>
          <w:rFonts w:ascii="Times New Roman" w:hAnsi="Times New Roman"/>
          <w:sz w:val="20"/>
        </w:rPr>
        <w:t xml:space="preserve"> that (x) any such termination of the Revolving Credit Commitments shall be subject to, and effected in accordance with, </w:t>
      </w:r>
      <w:r>
        <w:rPr>
          <w:rFonts w:ascii="Times New Roman" w:hAnsi="Times New Roman"/>
          <w:sz w:val="20"/>
          <w:u w:val="single"/>
        </w:rPr>
        <w:t>Section 2.08(b)</w:t>
      </w:r>
      <w:r>
        <w:rPr>
          <w:rFonts w:ascii="Times New Roman" w:hAnsi="Times New Roman"/>
          <w:sz w:val="20"/>
        </w:rPr>
        <w:t xml:space="preserve"> and (y) notwithstanding the foregoing, any undrawn Letter of Credit outstanding on the Refinancing Revolving Credit Commitments Effective Date may, subject to arrangements satisfactory to the Issuing Lender of such Letter of Credit, the Borrowers, the Administrative Agent and the Issuing Lender under such Refinancing Revolving Credit Commitments, be “rolled” under such Refinancing Revolving Credit Commitments on and with effect from the Refinancing Revolving Credit Commitments Effective Date. </w:t>
      </w:r>
    </w:p>
    <w:p>
      <w:pPr>
        <w:pStyle w:val="TextBody"/>
        <w:bidi w:val="0"/>
        <w:spacing w:before="120" w:after="0"/>
        <w:jc w:val="left"/>
        <w:rPr>
          <w:rFonts w:ascii="Times New Roman" w:hAnsi="Times New Roman"/>
          <w:sz w:val="20"/>
        </w:rPr>
      </w:pPr>
      <w:r>
        <w:rPr>
          <w:rFonts w:ascii="Times New Roman" w:hAnsi="Times New Roman"/>
          <w:sz w:val="20"/>
        </w:rPr>
        <w:t xml:space="preserve">(iii) The Borrowers shall pay any applicable amounts as and when required pursuant to </w:t>
      </w:r>
      <w:r>
        <w:rPr>
          <w:rFonts w:ascii="Times New Roman" w:hAnsi="Times New Roman"/>
          <w:sz w:val="20"/>
          <w:u w:val="single"/>
        </w:rPr>
        <w:t>Section 2.14</w:t>
      </w:r>
      <w:r>
        <w:rPr>
          <w:rFonts w:ascii="Times New Roman" w:hAnsi="Times New Roman"/>
          <w:sz w:val="20"/>
        </w:rPr>
        <w:t xml:space="preserve"> in connection with the prepayment, repayment, reduction or termination, as applicable, of the Revolving Credit Loans and Revolving Credit Commitments being refinanced by such Refinancing Revolving Credit Commitments and the initial Borrowing thereunder. </w:t>
      </w:r>
    </w:p>
    <w:p>
      <w:pPr>
        <w:pStyle w:val="TextBody"/>
        <w:bidi w:val="0"/>
        <w:spacing w:before="120" w:after="0"/>
        <w:jc w:val="left"/>
        <w:rPr>
          <w:rFonts w:ascii="Times New Roman" w:hAnsi="Times New Roman"/>
          <w:sz w:val="20"/>
        </w:rPr>
      </w:pPr>
      <w:r>
        <w:rPr>
          <w:rFonts w:ascii="Times New Roman" w:hAnsi="Times New Roman"/>
          <w:sz w:val="20"/>
        </w:rPr>
        <w:t xml:space="preserve">(iv) The Refinancing Revolving Credit Commitments Notice shall set forth, with respect to the Refinancing Revolving Credit Commitments referred to therein the following (and such Refinancing Revolving Credit Commitments shall be subject to the following requirements): </w:t>
      </w:r>
    </w:p>
    <w:p>
      <w:pPr>
        <w:pStyle w:val="TextBody"/>
        <w:bidi w:val="0"/>
        <w:spacing w:before="120" w:after="0"/>
        <w:jc w:val="left"/>
        <w:rPr>
          <w:rFonts w:ascii="Times New Roman" w:hAnsi="Times New Roman"/>
          <w:sz w:val="20"/>
        </w:rPr>
      </w:pPr>
      <w:r>
        <w:rPr>
          <w:rFonts w:ascii="Times New Roman" w:hAnsi="Times New Roman"/>
          <w:sz w:val="20"/>
        </w:rPr>
        <w:t xml:space="preserve">(A) the stated maturity date applicable thereto; </w:t>
      </w:r>
      <w:r>
        <w:rPr>
          <w:rFonts w:ascii="Times New Roman" w:hAnsi="Times New Roman"/>
          <w:sz w:val="20"/>
          <w:u w:val="single"/>
        </w:rPr>
        <w:t>provided</w:t>
      </w:r>
      <w:r>
        <w:rPr>
          <w:rFonts w:ascii="Times New Roman" w:hAnsi="Times New Roman"/>
          <w:sz w:val="20"/>
        </w:rPr>
        <w:t xml:space="preserve">, that such maturity date shall not be prior to the Revolving Credit Commitment Termination Date then in effect; </w:t>
      </w:r>
    </w:p>
    <w:p>
      <w:pPr>
        <w:pStyle w:val="TextBody"/>
        <w:bidi w:val="0"/>
        <w:spacing w:before="120" w:after="0"/>
        <w:jc w:val="left"/>
        <w:rPr>
          <w:rFonts w:ascii="Times New Roman" w:hAnsi="Times New Roman"/>
          <w:sz w:val="20"/>
        </w:rPr>
      </w:pPr>
      <w:r>
        <w:rPr>
          <w:rFonts w:ascii="Times New Roman" w:hAnsi="Times New Roman"/>
          <w:sz w:val="20"/>
        </w:rPr>
        <w:t xml:space="preserve">(B) the interest rate or rates and unused commitment fees applicable to the Refinancing Revolving Credit Commitments and the Loans borrowed thereunder; </w:t>
      </w:r>
    </w:p>
    <w:p>
      <w:pPr>
        <w:pStyle w:val="TextBody"/>
        <w:bidi w:val="0"/>
        <w:spacing w:before="120" w:after="0"/>
        <w:jc w:val="left"/>
        <w:rPr>
          <w:rFonts w:ascii="Times New Roman" w:hAnsi="Times New Roman"/>
          <w:sz w:val="20"/>
        </w:rPr>
      </w:pPr>
      <w:r>
        <w:rPr>
          <w:rFonts w:ascii="Times New Roman" w:hAnsi="Times New Roman"/>
          <w:sz w:val="20"/>
        </w:rPr>
        <w:t xml:space="preserve">(C) any other material terms applicable to the Refinancing Revolving Credit Commitments; </w:t>
      </w:r>
      <w:r>
        <w:rPr>
          <w:rFonts w:ascii="Times New Roman" w:hAnsi="Times New Roman"/>
          <w:sz w:val="20"/>
          <w:u w:val="single"/>
        </w:rPr>
        <w:t>provided</w:t>
      </w:r>
      <w:r>
        <w:rPr>
          <w:rFonts w:ascii="Times New Roman" w:hAnsi="Times New Roman"/>
          <w:sz w:val="20"/>
        </w:rPr>
        <w:t xml:space="preserve">, that such other terms (excluding pricing, fees and optional prepayment or commitment reduction terms) shall not be materially more favorable to the Lenders holding such Refinancing Revolving Credit Commitments than those applicable to the Revolving Credit Commitments or Revolving Credit Loans being refinanced (except for covenants and other provisions only applicable after the latest final maturity or termination date of any such Revolving Credit Commitments or Revolving Credit Loans); and </w:t>
      </w:r>
    </w:p>
    <w:p>
      <w:pPr>
        <w:pStyle w:val="TextBody"/>
        <w:bidi w:val="0"/>
        <w:spacing w:before="120" w:after="0"/>
        <w:jc w:val="left"/>
        <w:rPr>
          <w:rFonts w:ascii="Times New Roman" w:hAnsi="Times New Roman"/>
          <w:sz w:val="20"/>
        </w:rPr>
      </w:pPr>
      <w:r>
        <w:rPr>
          <w:rFonts w:ascii="Times New Roman" w:hAnsi="Times New Roman"/>
          <w:sz w:val="20"/>
        </w:rPr>
        <w:t xml:space="preserve">(D) a certification from a Financial Officer of GEO that the requirements and conditions set forth in this </w:t>
      </w:r>
      <w:r>
        <w:rPr>
          <w:rFonts w:ascii="Times New Roman" w:hAnsi="Times New Roman"/>
          <w:sz w:val="20"/>
          <w:u w:val="single"/>
        </w:rPr>
        <w:t>Section 2.22(b)</w:t>
      </w:r>
      <w:r>
        <w:rPr>
          <w:rFonts w:ascii="Times New Roman" w:hAnsi="Times New Roman"/>
          <w:sz w:val="20"/>
        </w:rPr>
        <w:t xml:space="preserve"> with respect to such Refinancing Revolving Credit Commitments have been complied with and satisfied, as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 Any Lender approached by the Borrowers to provide all or a portion of the Refinancing Revolving Credit Commitments may elect or decline, in its sole discretion, to provide any Refinancing Revolving Credit Commitments. </w:t>
      </w:r>
    </w:p>
    <w:p>
      <w:pPr>
        <w:pStyle w:val="TextBody"/>
        <w:bidi w:val="0"/>
        <w:spacing w:before="120" w:after="0"/>
        <w:jc w:val="left"/>
        <w:rPr>
          <w:rFonts w:ascii="Times New Roman" w:hAnsi="Times New Roman"/>
          <w:sz w:val="20"/>
        </w:rPr>
      </w:pPr>
      <w:r>
        <w:rPr>
          <w:rFonts w:ascii="Times New Roman" w:hAnsi="Times New Roman"/>
          <w:sz w:val="20"/>
        </w:rPr>
        <w:t xml:space="preserve">(vi) Solely to the extent that an Issuing Lender or Swingline Lender is not a replacement Issuing Lender or Swingline Lender under a Refinancing Revolving Credit Commitments Amendment, it is understood and agreed that such Issuing Lender or Swingline Lender shall not be required to issue any letters of credit or swingline loan under such Refinancing Revolving Credit Commitments Amendment and, to the extent it is necessary for such Issuing Lender or Swingline Lender to withdraw as an Issuing Lender or Swingline Lender, as the case may be, at the time of the establishment of such Refinancing Revolving Credit Commitments Amendment, such withdrawal shall be on terms and conditions reasonably satisfactory to such Issuing Lender or Swingline Lender, as the case may be, in its sole discretion. The Borrowers agree to reimburse each Issuing Lender or Swingline Lender, as the case may be, in full upon demand, for any reasonable and documented out-of-pocket cost or expense attributable to such withdrawal. </w:t>
      </w:r>
    </w:p>
    <w:p>
      <w:pPr>
        <w:pStyle w:val="TextBody"/>
        <w:bidi w:val="0"/>
        <w:spacing w:before="120" w:after="0"/>
        <w:jc w:val="left"/>
        <w:rPr>
          <w:rFonts w:ascii="Times New Roman" w:hAnsi="Times New Roman"/>
          <w:sz w:val="20"/>
        </w:rPr>
      </w:pPr>
      <w:r>
        <w:rPr>
          <w:rFonts w:ascii="Times New Roman" w:hAnsi="Times New Roman"/>
          <w:sz w:val="20"/>
        </w:rPr>
        <w:t>(vii) Any Refinancing Revolving Credit Commitments shall be established pursuant to an amendment hereto and, to the extent applicable, the other Loan Documents (the “</w:t>
      </w:r>
      <w:r>
        <w:rPr>
          <w:rFonts w:ascii="Times New Roman" w:hAnsi="Times New Roman"/>
          <w:sz w:val="20"/>
          <w:u w:val="single"/>
        </w:rPr>
        <w:t>Refinancing Revolving Credit Commitments Amendment</w:t>
      </w:r>
      <w:r>
        <w:rPr>
          <w:rFonts w:ascii="Times New Roman" w:hAnsi="Times New Roman"/>
          <w:sz w:val="20"/>
        </w:rPr>
        <w:t xml:space="preserve">”), in form and substance reasonably satisfactory to the Administrative Agent, executed and delivered by each of the Borrowers, each Lender providing the Refinancing Revolving Credit Commitments and the Administrative Agent, which shall be consistent with the provisions set forth above (but which shall not require the consent of any other Lender or Loan Party). Each Refinancing Revolving Credit Commitments Amendment shall be binding on the Lenders, the Loan Parties and the other parties hereto and, notwithstanding anything to the contrary in </w:t>
      </w:r>
      <w:r>
        <w:rPr>
          <w:rFonts w:ascii="Times New Roman" w:hAnsi="Times New Roman"/>
          <w:sz w:val="20"/>
          <w:u w:val="single"/>
        </w:rPr>
        <w:t>Section 9.02</w:t>
      </w:r>
      <w:r>
        <w:rPr>
          <w:rFonts w:ascii="Times New Roman" w:hAnsi="Times New Roman"/>
          <w:sz w:val="20"/>
        </w:rPr>
        <w:t>,</w:t>
      </w:r>
      <w:r>
        <w:rPr>
          <w:rFonts w:ascii="Times New Roman" w:hAnsi="Times New Roman"/>
          <w:sz w:val="20"/>
          <w:u w:val="single"/>
        </w:rPr>
        <w:t xml:space="preserve"> </w:t>
      </w:r>
      <w:r>
        <w:rPr>
          <w:rFonts w:ascii="Times New Roman" w:hAnsi="Times New Roman"/>
          <w:sz w:val="20"/>
        </w:rPr>
        <w:t xml:space="preserve">may effect amendments to this Agreement and the other Loan Documents of a technical or administrative nature as may be necessary, appropriate or desirable in the reasonable opinion of the Administrative Agent and GEO, in order to establish and implement such Refinancing Revolving Credit Commitments pursuant to, and to otherwise give effect to, the provisions of this </w:t>
      </w:r>
      <w:r>
        <w:rPr>
          <w:rFonts w:ascii="Times New Roman" w:hAnsi="Times New Roman"/>
          <w:sz w:val="20"/>
          <w:u w:val="single"/>
        </w:rPr>
        <w:t>Section 2.22(b)</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(viii) Any Refinancing Revolving Credit Commitments shall be denominated in Dollars and shall rank </w:t>
      </w:r>
      <w:r>
        <w:rPr>
          <w:rFonts w:ascii="Times New Roman" w:hAnsi="Times New Roman"/>
          <w:sz w:val="20"/>
          <w:u w:val="single"/>
        </w:rPr>
        <w:t>pari</w:t>
      </w:r>
      <w:r>
        <w:rPr>
          <w:rFonts w:ascii="Times New Roman" w:hAnsi="Times New Roman"/>
          <w:sz w:val="20"/>
        </w:rPr>
        <w:t xml:space="preserve"> </w:t>
      </w:r>
      <w:r>
        <w:rPr>
          <w:rFonts w:ascii="Times New Roman" w:hAnsi="Times New Roman"/>
          <w:sz w:val="20"/>
          <w:u w:val="single"/>
        </w:rPr>
        <w:t>passu</w:t>
      </w:r>
      <w:r>
        <w:rPr>
          <w:rFonts w:ascii="Times New Roman" w:hAnsi="Times New Roman"/>
          <w:sz w:val="20"/>
        </w:rPr>
        <w:t xml:space="preserve"> with the remaining Revolving Credit Commitments (if any) not refinanced therewith and the other Obligations in right of payment and in priority with respect to the Liens created under the Security Documents; it being understood that (x) the only borrowers thereunder shall be the Borrowers and (y) such Refinancing Revolving Credit Commitments shall not have any other obligors that are not the Loan Parties or any “restricted subsidiaries” that are not Restricted Subsidiaries. </w:t>
      </w:r>
    </w:p>
    <w:p>
      <w:pPr>
        <w:pStyle w:val="TextBody"/>
        <w:bidi w:val="0"/>
        <w:spacing w:before="240" w:after="0"/>
        <w:jc w:val="left"/>
        <w:rPr>
          <w:rFonts w:ascii="Times New Roman" w:hAnsi="Times New Roman"/>
          <w:sz w:val="20"/>
        </w:rPr>
      </w:pPr>
      <w:r>
        <w:rPr>
          <w:rFonts w:ascii="Times New Roman" w:hAnsi="Times New Roman"/>
          <w:sz w:val="20"/>
        </w:rPr>
        <w:t xml:space="preserve">The Administrative Agent shall notify the Lenders as to the effectiveness of any Refinancing Revolving Credit Commitments Effective Date. </w:t>
      </w:r>
    </w:p>
    <w:p>
      <w:pPr>
        <w:pStyle w:val="TextBody"/>
        <w:bidi w:val="0"/>
        <w:spacing w:before="240" w:after="0"/>
        <w:jc w:val="left"/>
        <w:rPr>
          <w:rFonts w:ascii="Times New Roman" w:hAnsi="Times New Roman"/>
          <w:sz w:val="20"/>
        </w:rPr>
      </w:pPr>
      <w:r>
        <w:rPr>
          <w:rFonts w:ascii="Times New Roman" w:hAnsi="Times New Roman"/>
          <w:sz w:val="20"/>
        </w:rPr>
        <w:t xml:space="preserve">Section 2.23 </w:t>
      </w:r>
      <w:r>
        <w:rPr>
          <w:rFonts w:ascii="Times New Roman" w:hAnsi="Times New Roman"/>
          <w:sz w:val="20"/>
          <w:u w:val="single"/>
        </w:rPr>
        <w:t>Cashless Settlement</w:t>
      </w:r>
      <w:r>
        <w:rPr>
          <w:rFonts w:ascii="Times New Roman" w:hAnsi="Times New Roman"/>
          <w:sz w:val="20"/>
        </w:rPr>
        <w:t xml:space="preserve">. Notwithstanding anything to the contrary in this Agreement, any Lender may exchange, continue or rollover all of the portion of its Loans in connection with any refinancing, extension, loan modification or similar transaction permitted by this Agreement pursuant to a cashless settlement mechanism approved by GEO, the Administrative Agent, and such Lender, and any such exchange, continuation or rollover shall be deemed to comply with any requirement hereunder or under any other Loan Document that any payment be made “in Dollars” (or the relevant alternate currency), “in immediately available funds”, “in cash” or any other similar requirement.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2.24 </w:t>
      </w:r>
      <w:r>
        <w:rPr>
          <w:rFonts w:ascii="Times New Roman" w:hAnsi="Times New Roman"/>
          <w:sz w:val="20"/>
          <w:u w:val="single"/>
        </w:rPr>
        <w:t>Benchmark Replacement Setting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Benchmark Replacement</w:t>
      </w:r>
      <w:r>
        <w:rPr>
          <w:rFonts w:ascii="Times New Roman" w:hAnsi="Times New Roman"/>
          <w:sz w:val="20"/>
        </w:rPr>
        <w:t xml:space="preserve">. Notwithstanding anything to the contrary herein or in any other Loan Document, if a Benchmark Transition Event and its related Benchmark Replacement Date have occurred prior to any setting of the then-current Benchmark, then (x) if a Benchmark Replacement is determined in accordance with clause (a)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(b) of the definition of “Benchmark Replacement” for such Benchmark Replacement Date, such Benchmark Replacement will replace such Benchmark for all purposes hereunder and under any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 If the Benchmark Replacement is Daily Simple SOFR, all interest payments will be payable on a monthly basis.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Benchmark Replacement Conforming Changes</w:t>
      </w:r>
      <w:r>
        <w:rPr>
          <w:rFonts w:ascii="Times New Roman" w:hAnsi="Times New Roman"/>
          <w:sz w:val="20"/>
        </w:rPr>
        <w:t xml:space="preserve">. In connection with the use, administration, adoption or implementation of a Benchmark Replacement,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Notices; Standards for Decisions and Determinations</w:t>
      </w:r>
      <w:r>
        <w:rPr>
          <w:rFonts w:ascii="Times New Roman" w:hAnsi="Times New Roman"/>
          <w:sz w:val="20"/>
        </w:rPr>
        <w:t xml:space="preserve">. The Administrative Agent will promptly notify the Borrowers and the Lenders of (i) the implementation of any Benchmark Replacement and (ii) the effectiveness of any Conforming Changes in connection with the use, administration, adoption or implementation of a Benchmark Replacement. The Administrative Agent will notify the Borrowers of (x) the removal or reinstatement of any tenor of a Benchmark pursuant to </w:t>
      </w:r>
      <w:r>
        <w:rPr>
          <w:rFonts w:ascii="Times New Roman" w:hAnsi="Times New Roman"/>
          <w:sz w:val="20"/>
          <w:u w:val="single"/>
        </w:rPr>
        <w:t>Section 2.24(d)</w:t>
      </w:r>
      <w:r>
        <w:rPr>
          <w:rFonts w:ascii="Times New Roman" w:hAnsi="Times New Roman"/>
          <w:sz w:val="20"/>
        </w:rPr>
        <w:t xml:space="preserve"> and (y) the commencement of any Benchmark Unavailability Period. Any determination, decision or election that may be made by the Administrative Agent or, if applicable, any Lender (or group of Lenders) pursuant to this </w:t>
      </w:r>
      <w:r>
        <w:rPr>
          <w:rFonts w:ascii="Times New Roman" w:hAnsi="Times New Roman"/>
          <w:sz w:val="20"/>
          <w:u w:val="single"/>
        </w:rPr>
        <w:t>Section 2.24</w:t>
      </w:r>
      <w:r>
        <w:rPr>
          <w:rFonts w:ascii="Times New Roman" w:hAnsi="Times New Roman"/>
          <w:sz w:val="20"/>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w:t>
      </w:r>
      <w:r>
        <w:rPr>
          <w:rFonts w:ascii="Times New Roman" w:hAnsi="Times New Roman"/>
          <w:sz w:val="20"/>
          <w:u w:val="single"/>
        </w:rPr>
        <w:t>Section 2.24</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Administrative Agent and the Borrowers shall use their commercially reasonable efforts to cause any Benchmark Replacement to constitute a “qualified rate” within the meaning of United States Treasury Regulations Section 1.1001-6(b).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Unavailability of Tenor of Benchmark</w:t>
      </w:r>
      <w:r>
        <w:rPr>
          <w:rFonts w:ascii="Times New Roman" w:hAnsi="Times New Roman"/>
          <w:sz w:val="20"/>
        </w:rPr>
        <w:t xml:space="preserve">. Notwithstanding anything to the contrary herein or in any other Loan Document, at any time (including in connection with the implementation of a Benchmark Replacement), (i) if the then-current Benchmark is a term rate (including Term SOFR Reference Rate) and either (A) any tenor for such Benchmark is not displayed on a screen or other information service that publishes such rate from time to time as selected by the Administrative Agent in its reasonable discretion or (B) the administrator of such Benchmark or the regulatory supervisor for the administrator of such Benchmark has provided a public statement or publication of information announcing that any tenor for such Benchmark is not or will not be representative, then the Administrative Agent may modify the definition of “Interest Period” (or any similar or analogous definition)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not or will not be representative for a Benchmark (including a Benchmark Replacement), then the Administrative Agent may modify the definition of “Interest Period” (or any similar or analogous definition) for all Benchmark settings at or after such time to reinstate such previously removed tenor.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Benchmark Unavailability Period</w:t>
      </w:r>
      <w:r>
        <w:rPr>
          <w:rFonts w:ascii="Times New Roman" w:hAnsi="Times New Roman"/>
          <w:sz w:val="20"/>
        </w:rPr>
        <w:t xml:space="preserve">. Upon the Borrowers’ receipt of notice of the commencement of a Benchmark Unavailability Period, (i) the Borrowers may revoke any pending request for a SOFR Borrowing of, conversion to or continuation of SOFR Loans to be made, converted or continued during any Benchmark Unavailability Period and, failing that, the Borrowers will be deemed to have converted any such request into a request for a Borrowing of or conversion to ABR Loans and (ii) any outstanding affected SOFR Loans will be deemed to have been converted to ABR Loans at the end of the applicable Interest Period. During a Benchmark Unavailability Period or at any time that a tenor for the then-current Benchmark is not an Available Tenor, the component of the Alternate Base Rate based upon the then-current Benchmark or such tenor for such Benchmark, as applicable, will not be used in any determination of the Alternate Base Rate. </w:t>
      </w:r>
    </w:p>
    <w:p>
      <w:pPr>
        <w:pStyle w:val="TextBody"/>
        <w:bidi w:val="0"/>
        <w:spacing w:before="480" w:after="0"/>
        <w:jc w:val="center"/>
        <w:rPr>
          <w:rFonts w:ascii="Times New Roman" w:hAnsi="Times New Roman"/>
          <w:sz w:val="20"/>
        </w:rPr>
      </w:pPr>
      <w:r>
        <w:rPr>
          <w:rFonts w:ascii="Times New Roman" w:hAnsi="Times New Roman"/>
          <w:sz w:val="20"/>
        </w:rPr>
        <w:t xml:space="preserve">ARTICLE III </w:t>
      </w:r>
    </w:p>
    <w:p>
      <w:pPr>
        <w:pStyle w:val="TextBody"/>
        <w:bidi w:val="0"/>
        <w:spacing w:before="120" w:after="0"/>
        <w:jc w:val="center"/>
        <w:rPr>
          <w:rFonts w:ascii="Times New Roman" w:hAnsi="Times New Roman"/>
          <w:sz w:val="20"/>
        </w:rPr>
      </w:pPr>
      <w:r>
        <w:rPr>
          <w:rFonts w:ascii="Times New Roman" w:hAnsi="Times New Roman"/>
          <w:sz w:val="20"/>
        </w:rPr>
        <w:t xml:space="preserve">REPRESENTATIONS AND WARRANTIES </w:t>
      </w:r>
    </w:p>
    <w:p>
      <w:pPr>
        <w:pStyle w:val="TextBody"/>
        <w:bidi w:val="0"/>
        <w:spacing w:before="240" w:after="0"/>
        <w:jc w:val="left"/>
        <w:rPr>
          <w:rFonts w:ascii="Times New Roman" w:hAnsi="Times New Roman"/>
          <w:sz w:val="20"/>
        </w:rPr>
      </w:pPr>
      <w:r>
        <w:rPr>
          <w:rFonts w:ascii="Times New Roman" w:hAnsi="Times New Roman"/>
          <w:sz w:val="20"/>
        </w:rPr>
        <w:t xml:space="preserve">The Borrowers hereby jointly and severally represent and warrant to the Administrative Agent and the Lenders that: </w:t>
      </w:r>
    </w:p>
    <w:p>
      <w:pPr>
        <w:pStyle w:val="TextBody"/>
        <w:bidi w:val="0"/>
        <w:spacing w:before="120" w:after="0"/>
        <w:jc w:val="left"/>
        <w:rPr>
          <w:rFonts w:ascii="Times New Roman" w:hAnsi="Times New Roman"/>
          <w:sz w:val="20"/>
        </w:rPr>
      </w:pPr>
      <w:r>
        <w:rPr>
          <w:rFonts w:ascii="Times New Roman" w:hAnsi="Times New Roman"/>
          <w:sz w:val="20"/>
        </w:rPr>
        <w:t xml:space="preserve">Section 3.01 </w:t>
      </w:r>
      <w:r>
        <w:rPr>
          <w:rFonts w:ascii="Times New Roman" w:hAnsi="Times New Roman"/>
          <w:sz w:val="20"/>
          <w:u w:val="single"/>
        </w:rPr>
        <w:t>Organization; Powers and Qualifications</w:t>
      </w:r>
      <w:r>
        <w:rPr>
          <w:rFonts w:ascii="Times New Roman" w:hAnsi="Times New Roman"/>
          <w:sz w:val="20"/>
        </w:rPr>
        <w:t xml:space="preserve">. Each of GEO and its Subsidiaries is duly organized, validly existing and in good standing (or its equivalent) (if such concept exists in such jurisdiction) under the laws of the jurisdiction of its organization, has all requisite power and authority to carry on its business as now conducted and, except where the failure to do so, individually or in the aggregate, could not reasonably be expected to result in a Material Adverse Effect, is qualified to do business in, and is in good standing (if such concept exists in such jurisdiction) in, every jurisdiction where such qualification is required.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3.02 </w:t>
      </w:r>
      <w:r>
        <w:rPr>
          <w:rFonts w:ascii="Times New Roman" w:hAnsi="Times New Roman"/>
          <w:sz w:val="20"/>
          <w:u w:val="single"/>
        </w:rPr>
        <w:t>Authorization; Enforceability</w:t>
      </w:r>
      <w:r>
        <w:rPr>
          <w:rFonts w:ascii="Times New Roman" w:hAnsi="Times New Roman"/>
          <w:sz w:val="20"/>
        </w:rPr>
        <w:t xml:space="preserve">. The Transactions are within the corporate or other power of each Borrower and each Restricted Subsidiary and have been duly authorized by all necessary corporate or other action (including, if required, equityholder action) on the part of such Borrower and such Restricted Subsidiary. This Agreement has been duly executed and delivered by each Borrower and constitutes, and each of the other Loan Documents to which any Borrower or any Restricted Subsidiary is a party when executed and delivered will constitute, a legal, valid and binding obligation of such Borrower and such Restricted Subsidiary, enforceable against such Borrower and such Restricted Subsidiary in accordance with its terms, except as such enforceability may be limited by (a) bankruptcy, insolvency, reorganization, moratorium or similar laws of general applicability affecting the enforcement of creditors’ rights and (b) the application of general principles of equity (regardless of whether such enforceability is considered in a proceeding in equity or at law). </w:t>
      </w:r>
    </w:p>
    <w:p>
      <w:pPr>
        <w:pStyle w:val="TextBody"/>
        <w:bidi w:val="0"/>
        <w:spacing w:before="240" w:after="0"/>
        <w:jc w:val="left"/>
        <w:rPr>
          <w:rFonts w:ascii="Times New Roman" w:hAnsi="Times New Roman"/>
          <w:sz w:val="20"/>
        </w:rPr>
      </w:pPr>
      <w:r>
        <w:rPr>
          <w:rFonts w:ascii="Times New Roman" w:hAnsi="Times New Roman"/>
          <w:sz w:val="20"/>
        </w:rPr>
        <w:t xml:space="preserve">Section 3.03 </w:t>
      </w:r>
      <w:r>
        <w:rPr>
          <w:rFonts w:ascii="Times New Roman" w:hAnsi="Times New Roman"/>
          <w:sz w:val="20"/>
          <w:u w:val="single"/>
        </w:rPr>
        <w:t>Governmental Approvals; No Conflicts</w:t>
      </w:r>
      <w:r>
        <w:rPr>
          <w:rFonts w:ascii="Times New Roman" w:hAnsi="Times New Roman"/>
          <w:sz w:val="20"/>
        </w:rPr>
        <w:t xml:space="preserve">. The Transactions: </w:t>
      </w:r>
    </w:p>
    <w:p>
      <w:pPr>
        <w:pStyle w:val="TextBody"/>
        <w:bidi w:val="0"/>
        <w:spacing w:before="120" w:after="0"/>
        <w:jc w:val="left"/>
        <w:rPr>
          <w:rFonts w:ascii="Times New Roman" w:hAnsi="Times New Roman"/>
          <w:sz w:val="20"/>
        </w:rPr>
      </w:pPr>
      <w:r>
        <w:rPr>
          <w:rFonts w:ascii="Times New Roman" w:hAnsi="Times New Roman"/>
          <w:sz w:val="20"/>
        </w:rPr>
        <w:t xml:space="preserve">(a) do not require any consent or approval of, registration or filing with, or any other action by, any Governmental Authority, except for (i) such as have been obtained or made and are in full force and effect, (ii) as may be required by laws affecting the offering and sale of securities generally, (iii) filings with the United States Copyright Office and/or the United States Patent and Trademark Office, (iv) filings under the UCC and/or the Assignment of Claims Act (or analogous state applicable law), and (v) any other filings and recordings in respect of the Liens created pursuant to the Security Documents; </w:t>
      </w:r>
    </w:p>
    <w:p>
      <w:pPr>
        <w:pStyle w:val="TextBody"/>
        <w:bidi w:val="0"/>
        <w:spacing w:before="240" w:after="0"/>
        <w:jc w:val="left"/>
        <w:rPr>
          <w:rFonts w:ascii="Times New Roman" w:hAnsi="Times New Roman"/>
          <w:sz w:val="20"/>
        </w:rPr>
      </w:pPr>
      <w:r>
        <w:rPr>
          <w:rFonts w:ascii="Times New Roman" w:hAnsi="Times New Roman"/>
          <w:sz w:val="20"/>
        </w:rPr>
        <w:t xml:space="preserve">(b) will not violate any applicable law or regulation or the charter, by-laws or other organizational documents of GEO or any of its Subsidiaries or any order of any Governmental Authority; </w:t>
      </w:r>
    </w:p>
    <w:p>
      <w:pPr>
        <w:pStyle w:val="TextBody"/>
        <w:bidi w:val="0"/>
        <w:spacing w:before="240" w:after="0"/>
        <w:jc w:val="left"/>
        <w:rPr>
          <w:rFonts w:ascii="Times New Roman" w:hAnsi="Times New Roman"/>
          <w:sz w:val="20"/>
        </w:rPr>
      </w:pPr>
      <w:r>
        <w:rPr>
          <w:rFonts w:ascii="Times New Roman" w:hAnsi="Times New Roman"/>
          <w:sz w:val="20"/>
        </w:rPr>
        <w:t xml:space="preserve">(c) will not violate or result in a default under any indenture, agreement or other instrument binding upon GEO or any of its Subsidiaries or assets, or give rise to a right thereunder to require any payment to be made by any such Person; and </w:t>
      </w:r>
    </w:p>
    <w:p>
      <w:pPr>
        <w:pStyle w:val="TextBody"/>
        <w:bidi w:val="0"/>
        <w:spacing w:before="240" w:after="0"/>
        <w:jc w:val="left"/>
        <w:rPr>
          <w:rFonts w:ascii="Times New Roman" w:hAnsi="Times New Roman"/>
          <w:sz w:val="20"/>
        </w:rPr>
      </w:pPr>
      <w:r>
        <w:rPr>
          <w:rFonts w:ascii="Times New Roman" w:hAnsi="Times New Roman"/>
          <w:sz w:val="20"/>
        </w:rPr>
        <w:t xml:space="preserve">(d) except for the Liens created pursuant to the Loan Documents, will not result in the creation or imposition of any Lien on any asset of GEO or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Section 3.04 </w:t>
      </w:r>
      <w:r>
        <w:rPr>
          <w:rFonts w:ascii="Times New Roman" w:hAnsi="Times New Roman"/>
          <w:sz w:val="20"/>
          <w:u w:val="single"/>
        </w:rPr>
        <w:t>Financial Condition; No Material Adverse Change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Financial Condition</w:t>
      </w:r>
      <w:r>
        <w:rPr>
          <w:rFonts w:ascii="Times New Roman" w:hAnsi="Times New Roman"/>
          <w:sz w:val="20"/>
        </w:rPr>
        <w:t xml:space="preserve">. GEO has heretofore furnished to the Lenders its consolidated balance sheet and statements of income, stockholders’ equity and cash flows as of and for the fiscal year ended December 31, 2025, reported on by Grant Thornton LLP, independent public accountants. Such financial statements present fairly, in all material respects, the financial position and results of operations and cash flows of GEO and its Subsidiaries and Other Consolidated Persons as of such date and for such period in accordance with GAAP.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No Material Adverse Change</w:t>
      </w:r>
      <w:r>
        <w:rPr>
          <w:rFonts w:ascii="Times New Roman" w:hAnsi="Times New Roman"/>
          <w:sz w:val="20"/>
        </w:rPr>
        <w:t xml:space="preserve">. Since December 31, 2025, no event has occurred or condition has arisen that has had or could reasonably be expected to have a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3.05 </w:t>
      </w:r>
      <w:r>
        <w:rPr>
          <w:rFonts w:ascii="Times New Roman" w:hAnsi="Times New Roman"/>
          <w:sz w:val="20"/>
          <w:u w:val="single"/>
        </w:rPr>
        <w:t>Properties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Property Generally</w:t>
      </w:r>
      <w:r>
        <w:rPr>
          <w:rFonts w:ascii="Times New Roman" w:hAnsi="Times New Roman"/>
          <w:sz w:val="20"/>
        </w:rPr>
        <w:t xml:space="preserve">. Each of GEO and its Restricted Subsidiaries has good title to, or valid leasehold interests in, all its real and personal property material to its business, subject only to Liens permitted by </w:t>
      </w:r>
      <w:r>
        <w:rPr>
          <w:rFonts w:ascii="Times New Roman" w:hAnsi="Times New Roman"/>
          <w:sz w:val="20"/>
          <w:u w:val="single"/>
        </w:rPr>
        <w:t>Section 6.02</w:t>
      </w:r>
      <w:r>
        <w:rPr>
          <w:rFonts w:ascii="Times New Roman" w:hAnsi="Times New Roman"/>
          <w:sz w:val="20"/>
        </w:rPr>
        <w:t xml:space="preserve"> and except for minor defects in title that do not materially interfere with its ability to conduct its business as currently conducted or to utilize such properties for their intended purposes.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Intellectual Property Matters</w:t>
      </w:r>
      <w:r>
        <w:rPr>
          <w:rFonts w:ascii="Times New Roman" w:hAnsi="Times New Roman"/>
          <w:sz w:val="20"/>
        </w:rPr>
        <w:t xml:space="preserve">. Each of GEO and its Restricted Subsidiaries owns, or is licensed to use, all trademarks, tradenames, copyrights, patents and other intellectual property material to its business, and the use thereof by GEO and its Restricted Subsidiaries does not infringe upon the rights of any other Person, except for any such infringements that, individually or in the aggregate, could not reasonably be expected to result in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3.06 </w:t>
      </w:r>
      <w:r>
        <w:rPr>
          <w:rFonts w:ascii="Times New Roman" w:hAnsi="Times New Roman"/>
          <w:sz w:val="20"/>
          <w:u w:val="single"/>
        </w:rPr>
        <w:t>Litigation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Actions, Suits and Proceedings</w:t>
      </w:r>
      <w:r>
        <w:rPr>
          <w:rFonts w:ascii="Times New Roman" w:hAnsi="Times New Roman"/>
          <w:sz w:val="20"/>
        </w:rPr>
        <w:t xml:space="preserve">. Other than the Disclosed Matters, there are no actions, suits or proceedings by or before any arbitrator or Governmental Authority now pending against or, to the knowledge of any Borrower, threatened against or affecting GEO or any of its Subsidiaries, or that involve this Agreement or the Transactions, as to which there is a reasonable possibility of an adverse determination and that, if adversely determined, could reasonably be expected, individually or in the aggregate, to result in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Change in Disclosed Matters</w:t>
      </w:r>
      <w:r>
        <w:rPr>
          <w:rFonts w:ascii="Times New Roman" w:hAnsi="Times New Roman"/>
          <w:sz w:val="20"/>
        </w:rPr>
        <w:t xml:space="preserve">. Since the date of this Agreement, there has been no change in the status of the Disclosed Matters that, individually or in the aggregate, has resulted in, or materially increased the likelihood of,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3.07 </w:t>
      </w:r>
      <w:r>
        <w:rPr>
          <w:rFonts w:ascii="Times New Roman" w:hAnsi="Times New Roman"/>
          <w:sz w:val="20"/>
          <w:u w:val="single"/>
        </w:rPr>
        <w:t>Environmental Matters</w:t>
      </w:r>
      <w:r>
        <w:rPr>
          <w:rFonts w:ascii="Times New Roman" w:hAnsi="Times New Roman"/>
          <w:sz w:val="20"/>
        </w:rPr>
        <w:t xml:space="preserve">. Except for the Disclosed Matters and except with respect to any other matters that, individually or in the aggregate, could not reasonably be expected to result in a Material Adverse Effect, neither GEO nor any of its Restricted Subsidiaries (i) has failed to comply with any Environmental Law or to obtain, maintain or comply with any permit, license or other approval required under any Environmental Law, (ii) has become subject to any Environmental Liability, (iii) has received written notice of any claim with respect to any Environmental Liability or (iv) knows of any facts, events or circumstances that could give rise to any basis for any Environmental Liability of GEO or any of its Restricted Subsidiaries. </w:t>
      </w:r>
    </w:p>
    <w:p>
      <w:pPr>
        <w:pStyle w:val="TextBody"/>
        <w:bidi w:val="0"/>
        <w:spacing w:before="240" w:after="0"/>
        <w:jc w:val="left"/>
        <w:rPr>
          <w:rFonts w:ascii="Times New Roman" w:hAnsi="Times New Roman"/>
          <w:sz w:val="20"/>
        </w:rPr>
      </w:pPr>
      <w:r>
        <w:rPr>
          <w:rFonts w:ascii="Times New Roman" w:hAnsi="Times New Roman"/>
          <w:sz w:val="20"/>
        </w:rPr>
        <w:t xml:space="preserve">Section 3.08 </w:t>
      </w:r>
      <w:r>
        <w:rPr>
          <w:rFonts w:ascii="Times New Roman" w:hAnsi="Times New Roman"/>
          <w:sz w:val="20"/>
          <w:u w:val="single"/>
        </w:rPr>
        <w:t>Compliance with Laws and Agreements; No Defaults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Compliance with Laws and Agreements</w:t>
      </w:r>
      <w:r>
        <w:rPr>
          <w:rFonts w:ascii="Times New Roman" w:hAnsi="Times New Roman"/>
          <w:sz w:val="20"/>
        </w:rPr>
        <w:t xml:space="preserve">. Each of GEO and its Restricted Subsidiaries is in compliance with all laws, regulations and orders of any Governmental Authority applicable to it or its property, and all indentures, agreements and other instruments binding upon it or its property, except where the failure to do so, individually or in the aggregate, could not reasonably be expected to result in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No Default</w:t>
      </w:r>
      <w:r>
        <w:rPr>
          <w:rFonts w:ascii="Times New Roman" w:hAnsi="Times New Roman"/>
          <w:sz w:val="20"/>
        </w:rPr>
        <w:t xml:space="preserve">. No Default has occurred and is continuing.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3.09 </w:t>
      </w:r>
      <w:r>
        <w:rPr>
          <w:rFonts w:ascii="Times New Roman" w:hAnsi="Times New Roman"/>
          <w:sz w:val="20"/>
          <w:u w:val="single"/>
        </w:rPr>
        <w:t>Government Regulation</w:t>
      </w:r>
      <w:r>
        <w:rPr>
          <w:rFonts w:ascii="Times New Roman" w:hAnsi="Times New Roman"/>
          <w:sz w:val="20"/>
        </w:rPr>
        <w:t xml:space="preserve">. Neither GEO nor any of its Subsidiaries is an “investment company” as defined in, or subject to regulation under, the Investment Company Act of 1940. </w:t>
      </w:r>
    </w:p>
    <w:p>
      <w:pPr>
        <w:pStyle w:val="TextBody"/>
        <w:bidi w:val="0"/>
        <w:spacing w:before="240" w:after="0"/>
        <w:jc w:val="left"/>
        <w:rPr>
          <w:rFonts w:ascii="Times New Roman" w:hAnsi="Times New Roman"/>
          <w:sz w:val="20"/>
        </w:rPr>
      </w:pPr>
      <w:r>
        <w:rPr>
          <w:rFonts w:ascii="Times New Roman" w:hAnsi="Times New Roman"/>
          <w:sz w:val="20"/>
        </w:rPr>
        <w:t xml:space="preserve">Section 3.10 </w:t>
      </w:r>
      <w:r>
        <w:rPr>
          <w:rFonts w:ascii="Times New Roman" w:hAnsi="Times New Roman"/>
          <w:sz w:val="20"/>
          <w:u w:val="single"/>
        </w:rPr>
        <w:t>Tax Returns and Payments</w:t>
      </w:r>
      <w:r>
        <w:rPr>
          <w:rFonts w:ascii="Times New Roman" w:hAnsi="Times New Roman"/>
          <w:sz w:val="20"/>
        </w:rPr>
        <w:t xml:space="preserve">. Each of GEO and its Subsidiaries has timely filed or caused to be filed all material Tax returns and reports required to have been filed and has paid or caused to be paid all Taxes required to have been paid by it, except (a) Taxes that are being contested in good faith by appropriate proceedings and for which such Person has set aside on its books adequate reserves with respect thereto in accordance with GAAP or (b) to the extent that any such failure could not reasonably be expected to result in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3.11 </w:t>
      </w:r>
      <w:r>
        <w:rPr>
          <w:rFonts w:ascii="Times New Roman" w:hAnsi="Times New Roman"/>
          <w:sz w:val="20"/>
          <w:u w:val="single"/>
        </w:rPr>
        <w:t>ERISA</w:t>
      </w:r>
      <w:r>
        <w:rPr>
          <w:rFonts w:ascii="Times New Roman" w:hAnsi="Times New Roman"/>
          <w:sz w:val="20"/>
        </w:rPr>
        <w:t xml:space="preserve">. No ERISA Event has occurred or is reasonably expected to occur that, when taken together with all other such ERISA Events for which liability is reasonably expected to occur, could reasonably be expected to result in a Material Adverse Effect. The present value of all accumulated benefit obligations under each Plan (based on the assumptions used for purposes of U.S. GAAP Codification Topic 715-30) did not, as of the date of the most recent financial statements reflecting such amounts, exceed by more than $10,000,000 the fair market value of the assets of such Plan, and the present value of all accumulated benefit obligations of all underfunded Plans (based on the assumptions used for purposes of U.S. GAAP Codification Topic 715-30) did not, as of the date of the most recent financial statements reflecting such amounts, exceed by more than $10,000,000 the fair market value of the assets of all such underfunded Plans. </w:t>
      </w:r>
    </w:p>
    <w:p>
      <w:pPr>
        <w:pStyle w:val="TextBody"/>
        <w:bidi w:val="0"/>
        <w:spacing w:before="240" w:after="0"/>
        <w:jc w:val="left"/>
        <w:rPr>
          <w:rFonts w:ascii="Times New Roman" w:hAnsi="Times New Roman"/>
          <w:sz w:val="20"/>
        </w:rPr>
      </w:pPr>
      <w:r>
        <w:rPr>
          <w:rFonts w:ascii="Times New Roman" w:hAnsi="Times New Roman"/>
          <w:sz w:val="20"/>
        </w:rPr>
        <w:t xml:space="preserve">Section 3.12 </w:t>
      </w:r>
      <w:r>
        <w:rPr>
          <w:rFonts w:ascii="Times New Roman" w:hAnsi="Times New Roman"/>
          <w:sz w:val="20"/>
          <w:u w:val="single"/>
        </w:rPr>
        <w:t>Disclosure</w:t>
      </w:r>
      <w:r>
        <w:rPr>
          <w:rFonts w:ascii="Times New Roman" w:hAnsi="Times New Roman"/>
          <w:sz w:val="20"/>
        </w:rPr>
        <w:t xml:space="preserve">. GEO has disclosed to the Lenders (including by means of filings with the Securities and Exchange Commission) all agreements, instruments and corporate or other restrictions to which it or any of its Subsidiaries is subject, and all other matters known to it, that, individually or in the aggregate, could reasonably be expected to result in a Material Adverse Effect. None of the reports, financial statements, certificates or other information furnished in writing by or on behalf of GEO or its Restricted Subsidiaries to the Lenders in connection with the negotiation of this Agreement and the other Loan Documents or delivered hereunder or thereunder (as modified or supplemented by all other information so furnished) contains any material misstatement of fact or omits to state any material fact necessary to make the statements therein, in the light of the circumstances under which they were made, not misleading; </w:t>
      </w:r>
      <w:r>
        <w:rPr>
          <w:rFonts w:ascii="Times New Roman" w:hAnsi="Times New Roman"/>
          <w:sz w:val="20"/>
          <w:u w:val="single"/>
        </w:rPr>
        <w:t>provided</w:t>
      </w:r>
      <w:r>
        <w:rPr>
          <w:rFonts w:ascii="Times New Roman" w:hAnsi="Times New Roman"/>
          <w:sz w:val="20"/>
        </w:rPr>
        <w:t xml:space="preserve"> that, with respect to projected financial information, the Borrowers represent only that such information was prepared in good faith based upon assumptions believed to be reasonable at the time. </w:t>
      </w:r>
    </w:p>
    <w:p>
      <w:pPr>
        <w:pStyle w:val="TextBody"/>
        <w:bidi w:val="0"/>
        <w:spacing w:before="240" w:after="0"/>
        <w:jc w:val="left"/>
        <w:rPr>
          <w:rFonts w:ascii="Times New Roman" w:hAnsi="Times New Roman"/>
          <w:sz w:val="20"/>
        </w:rPr>
      </w:pPr>
      <w:r>
        <w:rPr>
          <w:rFonts w:ascii="Times New Roman" w:hAnsi="Times New Roman"/>
          <w:sz w:val="20"/>
        </w:rPr>
        <w:t xml:space="preserve">Section 3.13 </w:t>
      </w:r>
      <w:r>
        <w:rPr>
          <w:rFonts w:ascii="Times New Roman" w:hAnsi="Times New Roman"/>
          <w:sz w:val="20"/>
          <w:u w:val="single"/>
        </w:rPr>
        <w:t>Margin Stock</w:t>
      </w:r>
      <w:r>
        <w:rPr>
          <w:rFonts w:ascii="Times New Roman" w:hAnsi="Times New Roman"/>
          <w:sz w:val="20"/>
        </w:rPr>
        <w:t xml:space="preserve">. Neither GEO nor any of its Subsidiaries is engaged principally, or as one of its important activities, in the business of extending credit for the purpose, whether immediate, incidental or ultimate, of buying or carrying Margin Stock, and no part of the proceeds of any extension of credit hereunder will be used to buy or carry any Margin Stock. </w:t>
      </w:r>
    </w:p>
    <w:p>
      <w:pPr>
        <w:pStyle w:val="TextBody"/>
        <w:bidi w:val="0"/>
        <w:spacing w:before="240" w:after="0"/>
        <w:jc w:val="left"/>
        <w:rPr>
          <w:rFonts w:ascii="Times New Roman" w:hAnsi="Times New Roman"/>
          <w:sz w:val="20"/>
        </w:rPr>
      </w:pPr>
      <w:r>
        <w:rPr>
          <w:rFonts w:ascii="Times New Roman" w:hAnsi="Times New Roman"/>
          <w:sz w:val="20"/>
        </w:rPr>
        <w:t xml:space="preserve">Section 3.14 </w:t>
      </w:r>
      <w:r>
        <w:rPr>
          <w:rFonts w:ascii="Times New Roman" w:hAnsi="Times New Roman"/>
          <w:sz w:val="20"/>
          <w:u w:val="single"/>
        </w:rPr>
        <w:t>Agreements and Liens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Indebtedness and Guaranty Obligations</w:t>
      </w:r>
      <w:r>
        <w:rPr>
          <w:rFonts w:ascii="Times New Roman" w:hAnsi="Times New Roman"/>
          <w:sz w:val="20"/>
        </w:rPr>
        <w:t xml:space="preserve">. </w:t>
      </w:r>
      <w:r>
        <w:rPr>
          <w:rFonts w:ascii="Times New Roman" w:hAnsi="Times New Roman"/>
          <w:sz w:val="20"/>
          <w:u w:val="single"/>
        </w:rPr>
        <w:t>Part A of Schedule 3.14</w:t>
      </w:r>
      <w:r>
        <w:rPr>
          <w:rFonts w:ascii="Times New Roman" w:hAnsi="Times New Roman"/>
          <w:sz w:val="20"/>
        </w:rPr>
        <w:t xml:space="preserve"> of the Disclosure Supplement is a complete and correct list of each credit agreement, loan agreement, indenture, note purchase agreement, guarantee, letter of credit or other arrangement (other than the Loan Documents) providing for or otherwise relating to any Indebtedness or any extension of credit (or commitment for any extension of credit) to, or Guarantee by, GEO or any of its Restricted Subsidiaries outstanding on the date hereof the aggregate principal or face amount of which equals or exceeds (or may equal or exceed) $5,000,000.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Liens</w:t>
      </w:r>
      <w:r>
        <w:rPr>
          <w:rFonts w:ascii="Times New Roman" w:hAnsi="Times New Roman"/>
          <w:sz w:val="20"/>
        </w:rPr>
        <w:t xml:space="preserve">. </w:t>
      </w:r>
      <w:r>
        <w:rPr>
          <w:rFonts w:ascii="Times New Roman" w:hAnsi="Times New Roman"/>
          <w:sz w:val="20"/>
          <w:u w:val="single"/>
        </w:rPr>
        <w:t>Part B of Schedule 3.14</w:t>
      </w:r>
      <w:r>
        <w:rPr>
          <w:rFonts w:ascii="Times New Roman" w:hAnsi="Times New Roman"/>
          <w:sz w:val="20"/>
        </w:rPr>
        <w:t xml:space="preserve"> of the Disclosure Supplement is a complete and correct list of each Lien securing Indebtedness (other than any Indebtedness constituting Obligations) of any Person outstanding on the date hereof the aggregate principal or face amount of which equals or exceeds (or may equal or exceed) $5,000,000 and covering any property of GEO or any of its Restricted Subsidiaries, and the aggregate Indebtedness secured (or that may be secured) by each such Lien and the property covered by each such Lien is described in reasonable detail in said </w:t>
      </w:r>
      <w:r>
        <w:rPr>
          <w:rFonts w:ascii="Times New Roman" w:hAnsi="Times New Roman"/>
          <w:sz w:val="20"/>
          <w:u w:val="single"/>
        </w:rPr>
        <w:t>Part B of Schedule 3.14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3.15 </w:t>
      </w:r>
      <w:r>
        <w:rPr>
          <w:rFonts w:ascii="Times New Roman" w:hAnsi="Times New Roman"/>
          <w:sz w:val="20"/>
          <w:u w:val="single"/>
        </w:rPr>
        <w:t>Material Contracts</w:t>
      </w:r>
      <w:r>
        <w:rPr>
          <w:rFonts w:ascii="Times New Roman" w:hAnsi="Times New Roman"/>
          <w:sz w:val="20"/>
        </w:rPr>
        <w:t xml:space="preserve">. Neither GEO nor any of its Subsidiaries is on the date hereof party to any Material Contract other than the Loan Documents, the Material Government Contract identified on Schedule 3.7 to the Collateral Agreement and the Senior Notes Indentures. </w:t>
      </w:r>
    </w:p>
    <w:p>
      <w:pPr>
        <w:pStyle w:val="TextBody"/>
        <w:bidi w:val="0"/>
        <w:spacing w:before="240" w:after="0"/>
        <w:jc w:val="left"/>
        <w:rPr>
          <w:rFonts w:ascii="Times New Roman" w:hAnsi="Times New Roman"/>
          <w:sz w:val="20"/>
        </w:rPr>
      </w:pPr>
      <w:r>
        <w:rPr>
          <w:rFonts w:ascii="Times New Roman" w:hAnsi="Times New Roman"/>
          <w:sz w:val="20"/>
        </w:rPr>
        <w:t xml:space="preserve">Section 3.16 </w:t>
      </w:r>
      <w:r>
        <w:rPr>
          <w:rFonts w:ascii="Times New Roman" w:hAnsi="Times New Roman"/>
          <w:sz w:val="20"/>
          <w:u w:val="single"/>
        </w:rPr>
        <w:t>Subsidiaries and Investments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Subsidiaries</w:t>
      </w:r>
      <w:r>
        <w:rPr>
          <w:rFonts w:ascii="Times New Roman" w:hAnsi="Times New Roman"/>
          <w:sz w:val="20"/>
        </w:rPr>
        <w:t xml:space="preserve">. Set forth in </w:t>
      </w:r>
      <w:r>
        <w:rPr>
          <w:rFonts w:ascii="Times New Roman" w:hAnsi="Times New Roman"/>
          <w:sz w:val="20"/>
          <w:u w:val="single"/>
        </w:rPr>
        <w:t>Part A of Schedule 3.16</w:t>
      </w:r>
      <w:r>
        <w:rPr>
          <w:rFonts w:ascii="Times New Roman" w:hAnsi="Times New Roman"/>
          <w:sz w:val="20"/>
        </w:rPr>
        <w:t xml:space="preserve"> of the Disclosure Supplement is a complete and correct list of all of the Subsidiaries of GEO as of the date hereof together with, for each such Subsidiary, (i) the jurisdiction of organization of such Subsidiary, (ii) each Person holding ownership interests in such Subsidiary, (iii) the nature of the ownership interests held by each such Person and the percentage of ownership of such Subsidiary represented by such ownership interests and (iv) an indication of whether such Subsidiary is a Restricted Subsidiary. Except as disclosed in said </w:t>
      </w:r>
      <w:r>
        <w:rPr>
          <w:rFonts w:ascii="Times New Roman" w:hAnsi="Times New Roman"/>
          <w:sz w:val="20"/>
          <w:u w:val="single"/>
        </w:rPr>
        <w:t>Part A of Schedule 3.16</w:t>
      </w:r>
      <w:r>
        <w:rPr>
          <w:rFonts w:ascii="Times New Roman" w:hAnsi="Times New Roman"/>
          <w:sz w:val="20"/>
        </w:rPr>
        <w:t xml:space="preserve"> of the Disclosure Supplement, on the date hereof (x) each of GEO and its Subsidiaries owns free and clear of Liens (other than Liens created pursuant to the Security Documents or that are subject to an Intercreditor Agreement), and has the unencumbered right to vote, all outstanding ownership interests in each Person shown to be held by it in said </w:t>
      </w:r>
      <w:r>
        <w:rPr>
          <w:rFonts w:ascii="Times New Roman" w:hAnsi="Times New Roman"/>
          <w:sz w:val="20"/>
          <w:u w:val="single"/>
        </w:rPr>
        <w:t>Part A of Schedule 3.16</w:t>
      </w:r>
      <w:r>
        <w:rPr>
          <w:rFonts w:ascii="Times New Roman" w:hAnsi="Times New Roman"/>
          <w:sz w:val="20"/>
        </w:rPr>
        <w:t xml:space="preserve"> of the Disclosure Supplement, (y) all of the issued and outstanding capital stock of each such Person organized as a corporation is validly issued, fully paid and nonassessable and (z) there are no outstanding Equity Rights with respect to such Person.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Investments</w:t>
      </w:r>
      <w:r>
        <w:rPr>
          <w:rFonts w:ascii="Times New Roman" w:hAnsi="Times New Roman"/>
          <w:sz w:val="20"/>
        </w:rPr>
        <w:t xml:space="preserve">. Set forth in </w:t>
      </w:r>
      <w:r>
        <w:rPr>
          <w:rFonts w:ascii="Times New Roman" w:hAnsi="Times New Roman"/>
          <w:sz w:val="20"/>
          <w:u w:val="single"/>
        </w:rPr>
        <w:t>Part B of Schedule 3.16</w:t>
      </w:r>
      <w:r>
        <w:rPr>
          <w:rFonts w:ascii="Times New Roman" w:hAnsi="Times New Roman"/>
          <w:sz w:val="20"/>
        </w:rPr>
        <w:t xml:space="preserve"> of the Disclosure Supplement is a complete and correct list of all Investments (other than Investments disclosed in said </w:t>
      </w:r>
      <w:r>
        <w:rPr>
          <w:rFonts w:ascii="Times New Roman" w:hAnsi="Times New Roman"/>
          <w:sz w:val="20"/>
          <w:u w:val="single"/>
        </w:rPr>
        <w:t>Part A of Schedule 3.16</w:t>
      </w:r>
      <w:r>
        <w:rPr>
          <w:rFonts w:ascii="Times New Roman" w:hAnsi="Times New Roman"/>
          <w:sz w:val="20"/>
        </w:rPr>
        <w:t xml:space="preserve"> of the Disclosure Supplement and other than Investments of the types referred to in </w:t>
      </w:r>
      <w:r>
        <w:rPr>
          <w:rFonts w:ascii="Times New Roman" w:hAnsi="Times New Roman"/>
          <w:sz w:val="20"/>
          <w:u w:val="single"/>
        </w:rPr>
        <w:t>clauses (b)</w:t>
      </w:r>
      <w:r>
        <w:rPr>
          <w:rFonts w:ascii="Times New Roman" w:hAnsi="Times New Roman"/>
          <w:sz w:val="20"/>
        </w:rPr>
        <w:t xml:space="preserve"> through </w:t>
      </w:r>
      <w:r>
        <w:rPr>
          <w:rFonts w:ascii="Times New Roman" w:hAnsi="Times New Roman"/>
          <w:sz w:val="20"/>
          <w:u w:val="single"/>
        </w:rPr>
        <w:t>(m)</w:t>
      </w:r>
      <w:r>
        <w:rPr>
          <w:rFonts w:ascii="Times New Roman" w:hAnsi="Times New Roman"/>
          <w:sz w:val="20"/>
        </w:rPr>
        <w:t xml:space="preserve"> of </w:t>
      </w:r>
      <w:r>
        <w:rPr>
          <w:rFonts w:ascii="Times New Roman" w:hAnsi="Times New Roman"/>
          <w:sz w:val="20"/>
          <w:u w:val="single"/>
        </w:rPr>
        <w:t>Section 6.04</w:t>
      </w:r>
      <w:r>
        <w:rPr>
          <w:rFonts w:ascii="Times New Roman" w:hAnsi="Times New Roman"/>
          <w:sz w:val="20"/>
        </w:rPr>
        <w:t xml:space="preserve">) held by GEO or any of its (i) Subsidiaries in GEO or any Restricted Subsidiary or (ii) Restricted Subsidiaries in any Person, in each case on the date hereof and, for each such Investment, (x) the identity of the Person or Persons holding such Investment and (y) the nature of such Investment. Except as disclosed in said </w:t>
      </w:r>
      <w:r>
        <w:rPr>
          <w:rFonts w:ascii="Times New Roman" w:hAnsi="Times New Roman"/>
          <w:sz w:val="20"/>
          <w:u w:val="single"/>
        </w:rPr>
        <w:t>Part B of Schedule 3.16</w:t>
      </w:r>
      <w:r>
        <w:rPr>
          <w:rFonts w:ascii="Times New Roman" w:hAnsi="Times New Roman"/>
          <w:sz w:val="20"/>
        </w:rPr>
        <w:t xml:space="preserve"> of the Disclosure Supplement, each of GEO and its Subsidiaries owns, free and clear of all Liens (other than Liens created pursuant to the Security Documents or that are subject to an Intercreditor Agreement), all such Investments. </w:t>
      </w:r>
    </w:p>
    <w:p>
      <w:pPr>
        <w:pStyle w:val="TextBody"/>
        <w:bidi w:val="0"/>
        <w:spacing w:before="240" w:after="0"/>
        <w:jc w:val="left"/>
        <w:rPr>
          <w:rFonts w:ascii="Times New Roman" w:hAnsi="Times New Roman"/>
          <w:sz w:val="20"/>
        </w:rPr>
      </w:pPr>
      <w:r>
        <w:rPr>
          <w:rFonts w:ascii="Times New Roman" w:hAnsi="Times New Roman"/>
          <w:sz w:val="20"/>
        </w:rPr>
        <w:t xml:space="preserve">Section 3.17 </w:t>
      </w:r>
      <w:r>
        <w:rPr>
          <w:rFonts w:ascii="Times New Roman" w:hAnsi="Times New Roman"/>
          <w:sz w:val="20"/>
          <w:u w:val="single"/>
        </w:rPr>
        <w:t>Real Property</w:t>
      </w:r>
      <w:r>
        <w:rPr>
          <w:rFonts w:ascii="Times New Roman" w:hAnsi="Times New Roman"/>
          <w:sz w:val="20"/>
        </w:rPr>
        <w:t xml:space="preserve">. Set forth on </w:t>
      </w:r>
      <w:r>
        <w:rPr>
          <w:rFonts w:ascii="Times New Roman" w:hAnsi="Times New Roman"/>
          <w:sz w:val="20"/>
          <w:u w:val="single"/>
        </w:rPr>
        <w:t>Schedule 3.17</w:t>
      </w:r>
      <w:r>
        <w:rPr>
          <w:rFonts w:ascii="Times New Roman" w:hAnsi="Times New Roman"/>
          <w:sz w:val="20"/>
        </w:rPr>
        <w:t xml:space="preserve"> of the Disclosure Supplement is a list, as of the Effective Date, of all of the real property interests held by GEO and its Restricted Domestic Subsidiaries (other than intercompany leases solely between Restricted Domestic Subsidiaries or between GEO and its Restricted Domestic Subsidiaries), indicating in each case whether the respective property is owned or leased, the identity of the owner or lessee and the location of the respective property. Except as indicated in said </w:t>
      </w:r>
      <w:r>
        <w:rPr>
          <w:rFonts w:ascii="Times New Roman" w:hAnsi="Times New Roman"/>
          <w:sz w:val="20"/>
          <w:u w:val="single"/>
        </w:rPr>
        <w:t>Schedule 3.17</w:t>
      </w:r>
      <w:r>
        <w:rPr>
          <w:rFonts w:ascii="Times New Roman" w:hAnsi="Times New Roman"/>
          <w:sz w:val="20"/>
        </w:rPr>
        <w:t xml:space="preserve"> of the Disclosure Supplement, as of the Effective Date, no Mortgage encumbers real property which is located in a Flood Zone.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3.18 </w:t>
      </w:r>
      <w:r>
        <w:rPr>
          <w:rFonts w:ascii="Times New Roman" w:hAnsi="Times New Roman"/>
          <w:sz w:val="20"/>
          <w:u w:val="single"/>
        </w:rPr>
        <w:t>Solvency</w:t>
      </w:r>
      <w:r>
        <w:rPr>
          <w:rFonts w:ascii="Times New Roman" w:hAnsi="Times New Roman"/>
          <w:sz w:val="20"/>
        </w:rPr>
        <w:t xml:space="preserve">. GEO and each of its Subsidiaries is Solvent. </w:t>
      </w:r>
    </w:p>
    <w:p>
      <w:pPr>
        <w:pStyle w:val="TextBody"/>
        <w:bidi w:val="0"/>
        <w:spacing w:before="240" w:after="0"/>
        <w:jc w:val="left"/>
        <w:rPr>
          <w:rFonts w:ascii="Times New Roman" w:hAnsi="Times New Roman"/>
          <w:sz w:val="20"/>
        </w:rPr>
      </w:pPr>
      <w:r>
        <w:rPr>
          <w:rFonts w:ascii="Times New Roman" w:hAnsi="Times New Roman"/>
          <w:sz w:val="20"/>
        </w:rPr>
        <w:t xml:space="preserve">Section 3.19 </w:t>
      </w:r>
      <w:r>
        <w:rPr>
          <w:rFonts w:ascii="Times New Roman" w:hAnsi="Times New Roman"/>
          <w:sz w:val="20"/>
          <w:u w:val="single"/>
        </w:rPr>
        <w:t>Employee Relations</w:t>
      </w:r>
      <w:r>
        <w:rPr>
          <w:rFonts w:ascii="Times New Roman" w:hAnsi="Times New Roman"/>
          <w:sz w:val="20"/>
        </w:rPr>
        <w:t xml:space="preserve">. Neither GEO nor any Restricted Subsidiary is, as of the Effective Date, party to any collective bargaining agreement nor has any labor union been recognized as the representative of its employees except as set forth on </w:t>
      </w:r>
      <w:r>
        <w:rPr>
          <w:rFonts w:ascii="Times New Roman" w:hAnsi="Times New Roman"/>
          <w:sz w:val="20"/>
          <w:u w:val="single"/>
        </w:rPr>
        <w:t>Schedule 3.19</w:t>
      </w:r>
      <w:r>
        <w:rPr>
          <w:rFonts w:ascii="Times New Roman" w:hAnsi="Times New Roman"/>
          <w:sz w:val="20"/>
        </w:rPr>
        <w:t xml:space="preserve"> of the Disclosure Supplement. GEO knows of no pending, threatened or contemplated strikes, work stoppage or other collective labor disputes involving its employees or those of the Restricted Subsidiaries. </w:t>
      </w:r>
    </w:p>
    <w:p>
      <w:pPr>
        <w:pStyle w:val="TextBody"/>
        <w:bidi w:val="0"/>
        <w:spacing w:before="240" w:after="0"/>
        <w:jc w:val="left"/>
        <w:rPr>
          <w:rFonts w:ascii="Times New Roman" w:hAnsi="Times New Roman"/>
          <w:sz w:val="20"/>
        </w:rPr>
      </w:pPr>
      <w:r>
        <w:rPr>
          <w:rFonts w:ascii="Times New Roman" w:hAnsi="Times New Roman"/>
          <w:sz w:val="20"/>
        </w:rPr>
        <w:t xml:space="preserve">Section 3.20 </w:t>
      </w:r>
      <w:r>
        <w:rPr>
          <w:rFonts w:ascii="Times New Roman" w:hAnsi="Times New Roman"/>
          <w:sz w:val="20"/>
          <w:u w:val="single"/>
        </w:rPr>
        <w:t>Burdensome Provisions</w:t>
      </w:r>
      <w:r>
        <w:rPr>
          <w:rFonts w:ascii="Times New Roman" w:hAnsi="Times New Roman"/>
          <w:sz w:val="20"/>
        </w:rPr>
        <w:t xml:space="preserve">. Neither GEO nor any Restricted Subsidiary is a party to any indenture, agreement, lease or other instrument, or subject to any corporate or partnership restriction, Governmental Approval or applicable law which in the foreseeable future could be reasonably expected to have a Material Adverse Effect. GEO and its Restricted Subsidiaries do not presently anticipate that future expenditures needed to meet the provisions of any statutes, orders, rules or regulations of a Governmental Authority will be so burdensome as to have a Material Adverse Effect. No Restricted Subsidiary (other than, with respect to Unrestricted Subsidiary Debt, any Subsidiary that is an obligor under such Unrestricted Subsidiary Debt) is party to any agreement or instrument of the type described in </w:t>
      </w:r>
      <w:r>
        <w:rPr>
          <w:rFonts w:ascii="Times New Roman" w:hAnsi="Times New Roman"/>
          <w:sz w:val="20"/>
          <w:u w:val="single"/>
        </w:rPr>
        <w:t>Section 6.07</w:t>
      </w:r>
      <w:r>
        <w:rPr>
          <w:rFonts w:ascii="Times New Roman" w:hAnsi="Times New Roman"/>
          <w:sz w:val="20"/>
        </w:rPr>
        <w:t xml:space="preserve"> or otherwise subject to any restriction or encumbrance that restricts or limits its ability to make dividend payments or other distributions in respect of its capital stock to GEO or any Restricted Subsidiary or to transfer any of its assets or properties to GEO or any other Restricted Subsidiary in each case other than existing under or by reason of the Loan Documents or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Section 3.21 </w:t>
      </w:r>
      <w:r>
        <w:rPr>
          <w:rFonts w:ascii="Times New Roman" w:hAnsi="Times New Roman"/>
          <w:sz w:val="20"/>
          <w:u w:val="single"/>
        </w:rPr>
        <w:t>Corporation</w:t>
      </w:r>
      <w:r>
        <w:rPr>
          <w:rFonts w:ascii="Times New Roman" w:hAnsi="Times New Roman"/>
          <w:sz w:val="20"/>
        </w:rPr>
        <w:t xml:space="preserve">. As of the Effective Date, GEO is organized, and intends to continue to be organized, as an entity taxed as a corporation for U.S. federal income tax purposes and will not elect to be taxed as a real estate investment trust under Sections 856-860 of the Code. </w:t>
      </w:r>
    </w:p>
    <w:p>
      <w:pPr>
        <w:pStyle w:val="TextBody"/>
        <w:bidi w:val="0"/>
        <w:spacing w:before="240" w:after="0"/>
        <w:jc w:val="left"/>
        <w:rPr>
          <w:rFonts w:ascii="Times New Roman" w:hAnsi="Times New Roman"/>
          <w:sz w:val="20"/>
        </w:rPr>
      </w:pPr>
      <w:r>
        <w:rPr>
          <w:rFonts w:ascii="Times New Roman" w:hAnsi="Times New Roman"/>
          <w:sz w:val="20"/>
        </w:rPr>
        <w:t xml:space="preserve">Section 3.22 </w:t>
      </w:r>
      <w:r>
        <w:rPr>
          <w:rFonts w:ascii="Times New Roman" w:hAnsi="Times New Roman"/>
          <w:sz w:val="20"/>
          <w:u w:val="single"/>
        </w:rPr>
        <w:t>Anti-Terrorism Laws and Sanctions; AML Laws; Anti-Corruption Laws</w:t>
      </w:r>
      <w:r>
        <w:rPr>
          <w:rFonts w:ascii="Times New Roman" w:hAnsi="Times New Roman"/>
          <w:sz w:val="20"/>
        </w:rPr>
        <w:t xml:space="preserve">. GEO has implemented and maintains in effect policies and procedures reasonably designed to ensure compliance by GEO and its Subsidiaries and their respective directors, officers, employees and agents with Anti-Corruption Laws, applicable AML Laws and applicable Sanctions. None of (a) GEO or any of its Subsidiaries or any of their respective directors, officers, or, to GEO’s knowledge, any of their respective employees or Affiliates, or (b) to GEO’s knowledge, any agent of GEO or any Subsidiary or other Affiliate that will act in any capacity in connection with or benefit from any credit facility established hereby, (i) is a Sanctioned Person, or (ii) is in violation of AML Laws, Anti-Corruption Laws, or Sanctions. Neither GEO nor its Subsidiaries or Affiliates will use any Borrowing, Letter of Credit, proceeds or other transaction contemplated by this Agreement, or lend, contribute or otherwise make available such proceeds to any Subsidiary, Affiliate or other Person, (a) in furtherance of an offer, payment, promise to pay, or authorization of the payment or giving of money, or anything else of value, to any Person in violation of the FCPA or any other applicable Anti-Corruption Law, or (b)(i) to fund, finance, or facilitate any activities, business, or transactions of or with any Sanctioned Person, or in any Sanctioned Country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in any other manner that would result in a violation of AML Laws, Anti-Corruption Laws or applicable Sanctions by any Person (including any Person participating in the Loans whether as Administrative Agent, lender, borrower, guarantor, arranger, underwriter, advisor, investor, agent or otherwise). GEO represents that, except as disclosed to the Administrative Agent and the Lenders prior to the Effective Date, neither it nor any of its Subsidiaries or, to GEO’s knowledge, any other Affiliate has engaged in or intends to engage in any dealings or transactions with, or for the benefit of, any Sanctioned Person or with or in any Sanctioned Country, or otherwise in violation of Sanctions. </w:t>
      </w:r>
    </w:p>
    <w:p>
      <w:pPr>
        <w:pStyle w:val="TextBody"/>
        <w:bidi w:val="0"/>
        <w:spacing w:before="240" w:after="0"/>
        <w:jc w:val="left"/>
        <w:rPr>
          <w:rFonts w:ascii="Times New Roman" w:hAnsi="Times New Roman"/>
          <w:sz w:val="20"/>
        </w:rPr>
      </w:pPr>
      <w:r>
        <w:rPr>
          <w:rFonts w:ascii="Times New Roman" w:hAnsi="Times New Roman"/>
          <w:sz w:val="20"/>
        </w:rPr>
        <w:t xml:space="preserve">Section 3.23 </w:t>
      </w:r>
      <w:r>
        <w:rPr>
          <w:rFonts w:ascii="Times New Roman" w:hAnsi="Times New Roman"/>
          <w:sz w:val="20"/>
          <w:u w:val="single"/>
        </w:rPr>
        <w:t>Affected Financial Institution</w:t>
      </w:r>
      <w:r>
        <w:rPr>
          <w:rFonts w:ascii="Times New Roman" w:hAnsi="Times New Roman"/>
          <w:sz w:val="20"/>
        </w:rPr>
        <w:t xml:space="preserve">. None of GEO or any of its Subsidiaries is an Affected Financial Institution. </w:t>
      </w:r>
    </w:p>
    <w:p>
      <w:pPr>
        <w:pStyle w:val="TextBody"/>
        <w:bidi w:val="0"/>
        <w:spacing w:before="480" w:after="0"/>
        <w:jc w:val="center"/>
        <w:rPr>
          <w:rFonts w:ascii="Times New Roman" w:hAnsi="Times New Roman"/>
          <w:sz w:val="20"/>
        </w:rPr>
      </w:pPr>
      <w:r>
        <w:rPr>
          <w:rFonts w:ascii="Times New Roman" w:hAnsi="Times New Roman"/>
          <w:sz w:val="20"/>
        </w:rPr>
        <w:t xml:space="preserve">ARTICLE IV </w:t>
      </w:r>
    </w:p>
    <w:p>
      <w:pPr>
        <w:pStyle w:val="TextBody"/>
        <w:bidi w:val="0"/>
        <w:spacing w:before="120" w:after="0"/>
        <w:jc w:val="center"/>
        <w:rPr>
          <w:rFonts w:ascii="Times New Roman" w:hAnsi="Times New Roman"/>
          <w:sz w:val="20"/>
        </w:rPr>
      </w:pPr>
      <w:r>
        <w:rPr>
          <w:rFonts w:ascii="Times New Roman" w:hAnsi="Times New Roman"/>
          <w:sz w:val="20"/>
        </w:rPr>
        <w:t xml:space="preserve">CONDITIONS </w:t>
      </w:r>
    </w:p>
    <w:p>
      <w:pPr>
        <w:pStyle w:val="TextBody"/>
        <w:bidi w:val="0"/>
        <w:spacing w:before="240" w:after="0"/>
        <w:jc w:val="left"/>
        <w:rPr>
          <w:rFonts w:ascii="Times New Roman" w:hAnsi="Times New Roman"/>
          <w:sz w:val="20"/>
        </w:rPr>
      </w:pPr>
      <w:r>
        <w:rPr>
          <w:rFonts w:ascii="Times New Roman" w:hAnsi="Times New Roman"/>
          <w:sz w:val="20"/>
        </w:rPr>
        <w:t xml:space="preserve">Section 4.01 </w:t>
      </w:r>
      <w:r>
        <w:rPr>
          <w:rFonts w:ascii="Times New Roman" w:hAnsi="Times New Roman"/>
          <w:sz w:val="20"/>
          <w:u w:val="single"/>
        </w:rPr>
        <w:t>Effective Date</w:t>
      </w:r>
      <w:r>
        <w:rPr>
          <w:rFonts w:ascii="Times New Roman" w:hAnsi="Times New Roman"/>
          <w:sz w:val="20"/>
        </w:rPr>
        <w:t xml:space="preserve">. This Agreement shall not be effective and the obligations of the Lenders to make any Loans and the Issuing Lenders to issue Letters of Credit hereunder shall not become effective until the date that each of the following conditions precedent is satisfied, each of which shall be reasonably satisfactory to the Administrative Agent in form and substance (or such condition shall have been waived in accordance with </w:t>
      </w:r>
      <w:r>
        <w:rPr>
          <w:rFonts w:ascii="Times New Roman" w:hAnsi="Times New Roman"/>
          <w:sz w:val="20"/>
          <w:u w:val="single"/>
        </w:rPr>
        <w:t>Section 9.02</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Executed Counterparts</w:t>
      </w:r>
      <w:r>
        <w:rPr>
          <w:rFonts w:ascii="Times New Roman" w:hAnsi="Times New Roman"/>
          <w:sz w:val="20"/>
        </w:rPr>
        <w:t xml:space="preserve">. The Administrative Agent shall have received counterparts of the following documents signed by the following parties: (i) from each of the Borrowers and the Administrative Agent, this Agreement, (ii) from each Revolving Credit Lender and the Swingline Lender, this Agreement or a Lender Addendum, and (iii) from each Issuing Lender, this Agreement, a Lender Addendum evidencing such Issuing Lender’s consent to be an “Issuing Lender” hereunder.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Opinions of Counsel to Loan Parties</w:t>
      </w:r>
      <w:r>
        <w:rPr>
          <w:rFonts w:ascii="Times New Roman" w:hAnsi="Times New Roman"/>
          <w:sz w:val="20"/>
        </w:rPr>
        <w:t xml:space="preserve">. The Administrative Agent shall have received a favorable written opinion (addressed to the Administrative Agent and the Lenders and dated the Effective Date) (i) of Akerman LLP, counsel for the Borrowers and the Guarantors, covering such matters relating to the Borrowers, the Guarantors, this Agreement, the other Loan Documents or the Transactions as the Administrative Agent shall reasonably request (and each Borrower for itself and on behalf of each Guarantor hereby instructs such counsel to deliver such opinion to the Lenders and the Administrative Agent), and (ii) local counsel for certain Guarantors, covering such matters relating to such Guarantors as the Administrative Agent shall reasonably request (and GEO, on behalf of such Guarantors, hereby instructs such counsel to deliver such opinion to the Lenders and the Administrative Agent), and (iii) of the in-house General Counsel for the Borrowers and the Guarantors, covering such other matters relating to the Borrowers, the Guarantors, this Agreement, the other Loan Documents or the Transactions as the Administrative Agent shall reasonably request (and each Borrower for itself and on behalf of each Guarantor hereby instructs such counsel to deliver such opinion to the Lenders and the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Notes</w:t>
      </w:r>
      <w:r>
        <w:rPr>
          <w:rFonts w:ascii="Times New Roman" w:hAnsi="Times New Roman"/>
          <w:sz w:val="20"/>
        </w:rPr>
        <w:t xml:space="preserve">. Each Lender that shall have requested a promissory note shall have received a duly completed and executed Note for such Lender.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Collateral Agreement</w:t>
      </w:r>
      <w:r>
        <w:rPr>
          <w:rFonts w:ascii="Times New Roman" w:hAnsi="Times New Roman"/>
          <w:sz w:val="20"/>
        </w:rPr>
        <w:t xml:space="preserve">. The Administrative Agent shall have received (i) the Collateral Agreement, duly executed and delivered by each Borrower, each Guarantor and the Administrative Agent, (ii) subject to </w:t>
      </w:r>
      <w:r>
        <w:rPr>
          <w:rFonts w:ascii="Times New Roman" w:hAnsi="Times New Roman"/>
          <w:sz w:val="20"/>
          <w:u w:val="single"/>
        </w:rPr>
        <w:t>Section 5.14</w:t>
      </w:r>
      <w:r>
        <w:rPr>
          <w:rFonts w:ascii="Times New Roman" w:hAnsi="Times New Roman"/>
          <w:sz w:val="20"/>
        </w:rPr>
        <w:t xml:space="preserve">, original stock certificates or other certificates evidencing the capital stock or other ownership interests pledged pursuant to the Collateral Agreement (to the extent such ownership interests are certificated), together with an undated stock power for each such certificate so received, duly executed in blank by the registered owner thereof, and (iii) each original promissory note pledged pursuant to the Collateral Agreement. In addition, all filings and recordations that are necessary to perfect the security interests of the Lenders in the collateral described in the Security Documents (including, without limitation, Assignment Agreements executed by the Borrowers or the applicable Restricted Subsidiary, as the case may be, and Notices of Assignment executed by the Administrative Agent, in each case, with respect to each Material Government Contract existing as of the Effective Date but, for the avoidance of doubt, not including acknowledgments of any such Notices of Assignment executed by the relevant Governmental Authorities) shall have been received by the Administrative Agent, and the Administrative Agent shall have received evidence reasonably satisfactory to it and the Lenders that upon such filings and recordations, such security interests constitute valid and perfected Liens therein, subject to no other Liens except for Liens permitted by </w:t>
      </w:r>
      <w:r>
        <w:rPr>
          <w:rFonts w:ascii="Times New Roman" w:hAnsi="Times New Roman"/>
          <w:sz w:val="20"/>
          <w:u w:val="single"/>
        </w:rPr>
        <w:t>Section 6.02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Guaranty Agreement</w:t>
      </w:r>
      <w:r>
        <w:rPr>
          <w:rFonts w:ascii="Times New Roman" w:hAnsi="Times New Roman"/>
          <w:sz w:val="20"/>
        </w:rPr>
        <w:t xml:space="preserve">. The Administrative Agent shall have received the Guaranty Agreement, duly executed and delivered by the Borrowers, the Guarantors and the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Collateral Assignment</w:t>
      </w:r>
      <w:r>
        <w:rPr>
          <w:rFonts w:ascii="Times New Roman" w:hAnsi="Times New Roman"/>
          <w:sz w:val="20"/>
        </w:rPr>
        <w:t xml:space="preserve">. The Administrative Agent shall have received the Collateral Assignment, duly executed and delivered by each Borrower, each Guarantor and the Administrative Agent. In addition, each such Borrower and each such Guarantor shall have taken such other action as the Administrative Agent and the Lenders shall have requested in order to perfect the security interests created pursuant to the Collateral Assignment.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Governmental and Third Party Approvals</w:t>
      </w:r>
      <w:r>
        <w:rPr>
          <w:rFonts w:ascii="Times New Roman" w:hAnsi="Times New Roman"/>
          <w:sz w:val="20"/>
        </w:rPr>
        <w:t xml:space="preserve">. GEO and each Restricted Subsidiary shall have obtained all necessary approvals, authorizations and consents of any Person and of all Governmental Authorities and courts having jurisdiction with respect to the transactions contemplated by this Agreement and the other Loan Documents.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Corporate Documents</w:t>
      </w:r>
      <w:r>
        <w:rPr>
          <w:rFonts w:ascii="Times New Roman" w:hAnsi="Times New Roman"/>
          <w:sz w:val="20"/>
        </w:rPr>
        <w:t xml:space="preserve">. The Administrative Agent shall have received a certificate of the secretary or assistant secretary (or equivalent) of each Loan Party certifying (x) as to the incumbency and genuineness of the signature of each officer of such Loan Party executing this Agreement and any other Loan Documents and (y) that: </w:t>
      </w:r>
    </w:p>
    <w:p>
      <w:pPr>
        <w:pStyle w:val="TextBody"/>
        <w:bidi w:val="0"/>
        <w:spacing w:before="120" w:after="0"/>
        <w:jc w:val="left"/>
        <w:rPr>
          <w:rFonts w:ascii="Times New Roman" w:hAnsi="Times New Roman"/>
          <w:sz w:val="20"/>
        </w:rPr>
      </w:pPr>
      <w:r>
        <w:rPr>
          <w:rFonts w:ascii="Times New Roman" w:hAnsi="Times New Roman"/>
          <w:sz w:val="20"/>
        </w:rPr>
        <w:t xml:space="preserve">(i) attached thereto are true, correct and complete copies of (or certifying as to no change from the previous secretary’s certificates) (A) the articles of incorporation or similar charter documents of such Loan Party certified as of a recent date by the appropriate Governmental Authority in its jurisdiction of organization, and (B) the bylaws or operating agreement or similar governing documents of such Loan Party, in each case as in effect on the date hereof; </w:t>
      </w:r>
    </w:p>
    <w:p>
      <w:pPr>
        <w:pStyle w:val="TextBody"/>
        <w:bidi w:val="0"/>
        <w:spacing w:before="120" w:after="0"/>
        <w:jc w:val="left"/>
        <w:rPr>
          <w:rFonts w:ascii="Times New Roman" w:hAnsi="Times New Roman"/>
          <w:sz w:val="20"/>
        </w:rPr>
      </w:pPr>
      <w:r>
        <w:rPr>
          <w:rFonts w:ascii="Times New Roman" w:hAnsi="Times New Roman"/>
          <w:sz w:val="20"/>
        </w:rPr>
        <w:t xml:space="preserve">(ii) attached thereto is a true, correct and complete copy of resolutions duly adopted by the Board of Directors of each Loan Party authorizing the execution, delivery and performance of this Agreement or such other Loan Documents to which such Loan Party is a party;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attached thereto is a certificate, as of a recent date, of the good standing of each Loan Party under the laws of its jurisdiction of organization (or equivalent) (to the extent such concept exists in such jurisdiction) and a certificate of the relevant taxing authorities of such jurisdictions, if available, certifying that such Person has filed required tax returns and owes no delinquent taxes (to the extent such certificates are issued by a Governmental Authority in such jurisdiction).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Officer’s Certificate</w:t>
      </w:r>
      <w:r>
        <w:rPr>
          <w:rFonts w:ascii="Times New Roman" w:hAnsi="Times New Roman"/>
          <w:sz w:val="20"/>
        </w:rPr>
        <w:t xml:space="preserve">. The Administrative Agent shall have received a certificate, dated the Effective Date and signed by the President, a Vice President or a Financial Officer of GEO, certifying on behalf of GEO that, on and as of the Effective Date, (i) the representations and warranties of each Loan Party set forth in this Agreement and in each of the other Loan Documents are true and correct in all material respects (or, in the case of any representations and warranties qualified by materiality or Material Adverse Effect, in all respects) as if made on and as of such date (or, if any such representation or warranty is expressly stated to have been made as of a specific date, as of such specific date) and (ii) no Default has occurred and is continuing.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Lien Search Results</w:t>
      </w:r>
      <w:r>
        <w:rPr>
          <w:rFonts w:ascii="Times New Roman" w:hAnsi="Times New Roman"/>
          <w:sz w:val="20"/>
        </w:rPr>
        <w:t xml:space="preserve">. If requested by the Administrative Agent, the Administrative Agent shall have received the results of a recent lien search in each jurisdiction so requested with respect to each Borrower and each Guarantor (to the extent obtainable in such jurisdiction), and such search results shall not reveal any Liens on any of the assets of GEO or any Guarantor except for Liens permitted by this Agreement or Liens to be discharged on or prior to the Effective Date pursuant to documentation reasonably satisfactory to the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Insurance</w:t>
      </w:r>
      <w:r>
        <w:rPr>
          <w:rFonts w:ascii="Times New Roman" w:hAnsi="Times New Roman"/>
          <w:sz w:val="20"/>
        </w:rPr>
        <w:t xml:space="preserve">. Subject to </w:t>
      </w:r>
      <w:r>
        <w:rPr>
          <w:rFonts w:ascii="Times New Roman" w:hAnsi="Times New Roman"/>
          <w:sz w:val="20"/>
          <w:u w:val="single"/>
        </w:rPr>
        <w:t>Section 5.14</w:t>
      </w:r>
      <w:r>
        <w:rPr>
          <w:rFonts w:ascii="Times New Roman" w:hAnsi="Times New Roman"/>
          <w:sz w:val="20"/>
        </w:rPr>
        <w:t xml:space="preserve">, the Administrative Agent shall have received certificates of insurance (together with copies of the applicable policy endorsements, to the extent customarily made available) evidencing the existence of all insurance required to be maintained by GEO and each of its Restricted Subsidiaries pursuant to </w:t>
      </w:r>
      <w:r>
        <w:rPr>
          <w:rFonts w:ascii="Times New Roman" w:hAnsi="Times New Roman"/>
          <w:sz w:val="20"/>
          <w:u w:val="single"/>
        </w:rPr>
        <w:t>clause (b)</w:t>
      </w:r>
      <w:r>
        <w:rPr>
          <w:rFonts w:ascii="Times New Roman" w:hAnsi="Times New Roman"/>
          <w:sz w:val="20"/>
        </w:rPr>
        <w:t xml:space="preserve"> of </w:t>
      </w:r>
      <w:r>
        <w:rPr>
          <w:rFonts w:ascii="Times New Roman" w:hAnsi="Times New Roman"/>
          <w:sz w:val="20"/>
          <w:u w:val="single"/>
        </w:rPr>
        <w:t>Section 5.05</w:t>
      </w:r>
      <w:r>
        <w:rPr>
          <w:rFonts w:ascii="Times New Roman" w:hAnsi="Times New Roman"/>
          <w:sz w:val="20"/>
        </w:rPr>
        <w:t xml:space="preserve"> and the designation of the Administrative Agent as the loss payee, lenders loss payable, mortgagee or additional named insured, as the case may be, thereunder to the extent required by such </w:t>
      </w:r>
      <w:r>
        <w:rPr>
          <w:rFonts w:ascii="Times New Roman" w:hAnsi="Times New Roman"/>
          <w:sz w:val="20"/>
          <w:u w:val="single"/>
        </w:rPr>
        <w:t>clause (b)</w:t>
      </w:r>
      <w:r>
        <w:rPr>
          <w:rFonts w:ascii="Times New Roman" w:hAnsi="Times New Roman"/>
          <w:sz w:val="20"/>
        </w:rPr>
        <w:t xml:space="preserve"> of </w:t>
      </w:r>
      <w:r>
        <w:rPr>
          <w:rFonts w:ascii="Times New Roman" w:hAnsi="Times New Roman"/>
          <w:sz w:val="20"/>
          <w:u w:val="single"/>
        </w:rPr>
        <w:t>Section 5.05</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Effective Date Transactions</w:t>
      </w:r>
      <w:r>
        <w:rPr>
          <w:rFonts w:ascii="Times New Roman" w:hAnsi="Times New Roman"/>
          <w:sz w:val="20"/>
        </w:rPr>
        <w:t xml:space="preserve">. The Effective Date Transactions shall have been, or shall substantially concurrently with the effectiveness of this Agreement be, consummated. </w:t>
      </w:r>
    </w:p>
    <w:p>
      <w:pPr>
        <w:pStyle w:val="TextBody"/>
        <w:bidi w:val="0"/>
        <w:spacing w:before="240" w:after="0"/>
        <w:jc w:val="left"/>
        <w:rPr>
          <w:rFonts w:ascii="Times New Roman" w:hAnsi="Times New Roman"/>
          <w:sz w:val="20"/>
        </w:rPr>
      </w:pPr>
      <w:r>
        <w:rPr>
          <w:rFonts w:ascii="Times New Roman" w:hAnsi="Times New Roman"/>
          <w:sz w:val="20"/>
        </w:rPr>
        <w:t xml:space="preserve">(m) </w:t>
      </w:r>
      <w:r>
        <w:rPr>
          <w:rFonts w:ascii="Times New Roman" w:hAnsi="Times New Roman"/>
          <w:sz w:val="20"/>
          <w:u w:val="single"/>
        </w:rPr>
        <w:t>Solvency Certificate</w:t>
      </w:r>
      <w:r>
        <w:rPr>
          <w:rFonts w:ascii="Times New Roman" w:hAnsi="Times New Roman"/>
          <w:sz w:val="20"/>
        </w:rPr>
        <w:t xml:space="preserve">. The Administrative Agent shall have received a certificate, dated the Effective Date and signed by a Financial Officer of GEO, to the effect that, on and as of the Effective Date (after giving effect to the Effective Date Transactions), GEO and its Subsidiaries, on a consolidated basis, are Solvent. </w:t>
      </w:r>
    </w:p>
    <w:p>
      <w:pPr>
        <w:pStyle w:val="TextBody"/>
        <w:bidi w:val="0"/>
        <w:spacing w:before="240" w:after="0"/>
        <w:jc w:val="left"/>
        <w:rPr>
          <w:rFonts w:ascii="Times New Roman" w:hAnsi="Times New Roman"/>
          <w:sz w:val="20"/>
        </w:rPr>
      </w:pPr>
      <w:r>
        <w:rPr>
          <w:rFonts w:ascii="Times New Roman" w:hAnsi="Times New Roman"/>
          <w:sz w:val="20"/>
        </w:rPr>
        <w:t xml:space="preserve">(n) </w:t>
      </w:r>
      <w:r>
        <w:rPr>
          <w:rFonts w:ascii="Times New Roman" w:hAnsi="Times New Roman"/>
          <w:sz w:val="20"/>
          <w:u w:val="single"/>
        </w:rPr>
        <w:t>Fees and Expenses</w:t>
      </w:r>
      <w:r>
        <w:rPr>
          <w:rFonts w:ascii="Times New Roman" w:hAnsi="Times New Roman"/>
          <w:sz w:val="20"/>
        </w:rPr>
        <w:t xml:space="preserve">. The Administrative Agent shall have received evidence that GEO shall have paid (or caused to be paid) such fees and reimbursements as GEO shall have agreed to pay to any Lender, the Administrative Agent or the Left Lead Arranger on or prior to the Effective Date in connection with this Agreement and the transactions contemplated hereby (including the reasonable fees and expenses of outside counsel to the Left Lead Arranger and the Administrative Agent, to the extent that statements or invoices for such fees and expenses have been delivered to GEO prior to the Effective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 </w:t>
      </w:r>
      <w:r>
        <w:rPr>
          <w:rFonts w:ascii="Times New Roman" w:hAnsi="Times New Roman"/>
          <w:sz w:val="20"/>
          <w:u w:val="single"/>
        </w:rPr>
        <w:t>Patriot Act Compliance</w:t>
      </w:r>
      <w:r>
        <w:rPr>
          <w:rFonts w:ascii="Times New Roman" w:hAnsi="Times New Roman"/>
          <w:sz w:val="20"/>
        </w:rPr>
        <w:t xml:space="preserve">. The Administrative Agent shall have received, no later than three Business Days in advance of the Effective Date, all required documentation and other information under applicable “know your customer” and AML Laws, including without limitation the Patriot Act, as shall have been reasonably requested in writing by the Administrative Agent or any Lender, at least ten Business Days prior to the Effective Date. </w:t>
      </w:r>
    </w:p>
    <w:p>
      <w:pPr>
        <w:pStyle w:val="TextBody"/>
        <w:bidi w:val="0"/>
        <w:spacing w:before="240" w:after="0"/>
        <w:jc w:val="left"/>
        <w:rPr>
          <w:rFonts w:ascii="Times New Roman" w:hAnsi="Times New Roman"/>
          <w:sz w:val="20"/>
        </w:rPr>
      </w:pPr>
      <w:r>
        <w:rPr>
          <w:rFonts w:ascii="Times New Roman" w:hAnsi="Times New Roman"/>
          <w:sz w:val="20"/>
        </w:rPr>
        <w:t xml:space="preserve">(p)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(q) </w:t>
      </w:r>
      <w:r>
        <w:rPr>
          <w:rFonts w:ascii="Times New Roman" w:hAnsi="Times New Roman"/>
          <w:sz w:val="20"/>
          <w:u w:val="single"/>
        </w:rPr>
        <w:t>Flood Hazard Determination</w:t>
      </w:r>
      <w:r>
        <w:rPr>
          <w:rFonts w:ascii="Times New Roman" w:hAnsi="Times New Roman"/>
          <w:sz w:val="20"/>
        </w:rPr>
        <w:t xml:space="preserve">. The Administrative Agent and each applicable Lender shall have received, to the extent requested by such Lender at least two (2) Business Days prior to the Effective Date, a completed Federal Emergency Management Agency Standard Flood Hazard Determination with respect to each property identified in </w:t>
      </w:r>
      <w:r>
        <w:rPr>
          <w:rFonts w:ascii="Times New Roman" w:hAnsi="Times New Roman"/>
          <w:sz w:val="20"/>
          <w:u w:val="single"/>
        </w:rPr>
        <w:t>Part A</w:t>
      </w:r>
      <w:r>
        <w:rPr>
          <w:rFonts w:ascii="Times New Roman" w:hAnsi="Times New Roman"/>
          <w:sz w:val="20"/>
        </w:rPr>
        <w:t xml:space="preserve"> of </w:t>
      </w:r>
      <w:r>
        <w:rPr>
          <w:rFonts w:ascii="Times New Roman" w:hAnsi="Times New Roman"/>
          <w:sz w:val="20"/>
          <w:u w:val="single"/>
        </w:rPr>
        <w:t>Schedule 3.17</w:t>
      </w:r>
      <w:r>
        <w:rPr>
          <w:rFonts w:ascii="Times New Roman" w:hAnsi="Times New Roman"/>
          <w:sz w:val="20"/>
        </w:rPr>
        <w:t xml:space="preserve"> of the Disclosure Supplement and, if any such property is located in a Flood Zone, evidence of flood insurance reasonably satisfactory to the Administrative Agent and the Lenders. </w:t>
      </w:r>
    </w:p>
    <w:p>
      <w:pPr>
        <w:pStyle w:val="TextBody"/>
        <w:bidi w:val="0"/>
        <w:spacing w:before="240" w:after="0"/>
        <w:jc w:val="left"/>
        <w:rPr>
          <w:rFonts w:ascii="Times New Roman" w:hAnsi="Times New Roman"/>
          <w:sz w:val="20"/>
        </w:rPr>
      </w:pPr>
      <w:r>
        <w:rPr>
          <w:rFonts w:ascii="Times New Roman" w:hAnsi="Times New Roman"/>
          <w:sz w:val="20"/>
        </w:rPr>
        <w:t xml:space="preserve">(r) </w:t>
      </w:r>
      <w:r>
        <w:rPr>
          <w:rFonts w:ascii="Times New Roman" w:hAnsi="Times New Roman"/>
          <w:sz w:val="20"/>
          <w:u w:val="single"/>
        </w:rPr>
        <w:t>Other Documents</w:t>
      </w:r>
      <w:r>
        <w:rPr>
          <w:rFonts w:ascii="Times New Roman" w:hAnsi="Times New Roman"/>
          <w:sz w:val="20"/>
        </w:rPr>
        <w:t xml:space="preserve">. The Administrative Agent shall have received such other documents as the Administrative Agent shall have reasonably requested prior to the Effective Date. </w:t>
      </w:r>
    </w:p>
    <w:p>
      <w:pPr>
        <w:pStyle w:val="TextBody"/>
        <w:bidi w:val="0"/>
        <w:spacing w:before="240" w:after="0"/>
        <w:jc w:val="left"/>
        <w:rPr>
          <w:rFonts w:ascii="Times New Roman" w:hAnsi="Times New Roman"/>
          <w:sz w:val="20"/>
        </w:rPr>
      </w:pPr>
      <w:r>
        <w:rPr>
          <w:rFonts w:ascii="Times New Roman" w:hAnsi="Times New Roman"/>
          <w:sz w:val="20"/>
        </w:rPr>
        <w:t xml:space="preserve">Section 4.02 </w:t>
      </w:r>
      <w:r>
        <w:rPr>
          <w:rFonts w:ascii="Times New Roman" w:hAnsi="Times New Roman"/>
          <w:sz w:val="20"/>
          <w:u w:val="single"/>
        </w:rPr>
        <w:t>Each Extension of Credit</w:t>
      </w:r>
      <w:r>
        <w:rPr>
          <w:rFonts w:ascii="Times New Roman" w:hAnsi="Times New Roman"/>
          <w:sz w:val="20"/>
        </w:rPr>
        <w:t xml:space="preserve">. The obligation of each Lender to make any Loan and of each Issuing Lender to issue, amend, renew or extend any Letter of Credit is subject to the satisfaction of the following conditions (except, solely with respect to Incremental Term Loans, as and to the extent provided in </w:t>
      </w:r>
      <w:r>
        <w:rPr>
          <w:rFonts w:ascii="Times New Roman" w:hAnsi="Times New Roman"/>
          <w:sz w:val="20"/>
          <w:u w:val="single"/>
        </w:rPr>
        <w:t>Section 2.01(e)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Administrative Agent shall have received the applicable notice or request in respect of such Loan or such issuance, amendment, renewal, or extension of such Letter of Credit, as applicable, in accordance with the applicable provisions of this Agreement, including (i) in the case of a Borrowing, a Borrowing Request in accordance with </w:t>
      </w:r>
      <w:r>
        <w:rPr>
          <w:rFonts w:ascii="Times New Roman" w:hAnsi="Times New Roman"/>
          <w:sz w:val="20"/>
          <w:u w:val="single"/>
        </w:rPr>
        <w:t>Section 2.03</w:t>
      </w:r>
      <w:r>
        <w:rPr>
          <w:rFonts w:ascii="Times New Roman" w:hAnsi="Times New Roman"/>
          <w:sz w:val="20"/>
        </w:rPr>
        <w:t xml:space="preserve">, (ii) in the case of a Swingline Loan, a notice in accordance with </w:t>
      </w:r>
      <w:r>
        <w:rPr>
          <w:rFonts w:ascii="Times New Roman" w:hAnsi="Times New Roman"/>
          <w:sz w:val="20"/>
          <w:u w:val="single"/>
        </w:rPr>
        <w:t>Section 2.04(b)</w:t>
      </w:r>
      <w:r>
        <w:rPr>
          <w:rFonts w:ascii="Times New Roman" w:hAnsi="Times New Roman"/>
          <w:sz w:val="20"/>
        </w:rPr>
        <w:t xml:space="preserve"> and (iii) in the case of a Letter of Credit, a notice in accordance with </w:t>
      </w:r>
      <w:r>
        <w:rPr>
          <w:rFonts w:ascii="Times New Roman" w:hAnsi="Times New Roman"/>
          <w:sz w:val="20"/>
          <w:u w:val="single"/>
        </w:rPr>
        <w:t>Section 2.05(b)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the representations and warranties of each Loan Party set forth in this Agreement and in each of the other Loan Documents to which it is a party shall be true and correct in all material respects (other than any representations and warranties qualified by materiality or Material Adverse Effect, which shall be true and correct in all respects) on and as of the date of such Loan or the date of issuance, amendment, renewal or extension of such Letter of Credit, as applicable (other than any representations and warranties that speak as of a certain date, which shall be true and correct on and as of such date); and </w:t>
      </w:r>
    </w:p>
    <w:p>
      <w:pPr>
        <w:pStyle w:val="TextBody"/>
        <w:bidi w:val="0"/>
        <w:spacing w:before="240" w:after="0"/>
        <w:jc w:val="left"/>
        <w:rPr>
          <w:rFonts w:ascii="Times New Roman" w:hAnsi="Times New Roman"/>
          <w:sz w:val="20"/>
        </w:rPr>
      </w:pPr>
      <w:r>
        <w:rPr>
          <w:rFonts w:ascii="Times New Roman" w:hAnsi="Times New Roman"/>
          <w:sz w:val="20"/>
        </w:rPr>
        <w:t xml:space="preserve">(c) at the time of and immediately after giving effect to such Loan or the issuance, amendment, renewal, or extension of such Letter of Credit, as applicable, no Default shall have occurred and be continuing. </w:t>
      </w:r>
    </w:p>
    <w:p>
      <w:pPr>
        <w:pStyle w:val="TextBody"/>
        <w:bidi w:val="0"/>
        <w:spacing w:before="240" w:after="0"/>
        <w:jc w:val="left"/>
        <w:rPr>
          <w:rFonts w:ascii="Times New Roman" w:hAnsi="Times New Roman"/>
          <w:sz w:val="20"/>
        </w:rPr>
      </w:pPr>
      <w:r>
        <w:rPr>
          <w:rFonts w:ascii="Times New Roman" w:hAnsi="Times New Roman"/>
          <w:sz w:val="20"/>
        </w:rPr>
        <w:t xml:space="preserve">Each Borrowing and each issuance, amendment, renewal or extension of a Letter of Credit, as applicable, shall be deemed to constitute a representation and warranty by each Borrower on the date thereof as to the matters specified in the preceding sentence.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ARTICLE V </w:t>
      </w:r>
    </w:p>
    <w:p>
      <w:pPr>
        <w:pStyle w:val="TextBody"/>
        <w:bidi w:val="0"/>
        <w:spacing w:before="120" w:after="0"/>
        <w:jc w:val="center"/>
        <w:rPr>
          <w:rFonts w:ascii="Times New Roman" w:hAnsi="Times New Roman"/>
          <w:sz w:val="20"/>
        </w:rPr>
      </w:pPr>
      <w:r>
        <w:rPr>
          <w:rFonts w:ascii="Times New Roman" w:hAnsi="Times New Roman"/>
          <w:sz w:val="20"/>
        </w:rPr>
        <w:t xml:space="preserve">AFFIRMATIVE COVENANTS </w:t>
      </w:r>
    </w:p>
    <w:p>
      <w:pPr>
        <w:pStyle w:val="TextBody"/>
        <w:bidi w:val="0"/>
        <w:spacing w:before="240" w:after="0"/>
        <w:jc w:val="left"/>
        <w:rPr>
          <w:rFonts w:ascii="Times New Roman" w:hAnsi="Times New Roman"/>
          <w:sz w:val="20"/>
        </w:rPr>
      </w:pPr>
      <w:r>
        <w:rPr>
          <w:rFonts w:ascii="Times New Roman" w:hAnsi="Times New Roman"/>
          <w:sz w:val="20"/>
        </w:rPr>
        <w:t xml:space="preserve">Until the Commitments have expired or been terminated and the principal of and interest on each Loan and all fees payable hereunder shall have been paid in full, and all Letters of Credit shall have expired or been terminated and all LC Disbursements shall have been reimbursed, each Borrower covenants and agrees with the Lenders that: </w:t>
      </w:r>
    </w:p>
    <w:p>
      <w:pPr>
        <w:pStyle w:val="TextBody"/>
        <w:bidi w:val="0"/>
        <w:spacing w:before="120" w:after="0"/>
        <w:jc w:val="left"/>
        <w:rPr>
          <w:rFonts w:ascii="Times New Roman" w:hAnsi="Times New Roman"/>
          <w:sz w:val="20"/>
        </w:rPr>
      </w:pPr>
      <w:r>
        <w:rPr>
          <w:rFonts w:ascii="Times New Roman" w:hAnsi="Times New Roman"/>
          <w:sz w:val="20"/>
        </w:rPr>
        <w:t xml:space="preserve">Section 5.01 </w:t>
      </w:r>
      <w:r>
        <w:rPr>
          <w:rFonts w:ascii="Times New Roman" w:hAnsi="Times New Roman"/>
          <w:sz w:val="20"/>
          <w:u w:val="single"/>
        </w:rPr>
        <w:t>Financial Statements and Other Information</w:t>
      </w:r>
      <w:r>
        <w:rPr>
          <w:rFonts w:ascii="Times New Roman" w:hAnsi="Times New Roman"/>
          <w:sz w:val="20"/>
        </w:rPr>
        <w:t xml:space="preserve">. GEO will furnish to the Administrative Agent (for further distribution to the Lenders): </w:t>
      </w:r>
    </w:p>
    <w:p>
      <w:pPr>
        <w:pStyle w:val="TextBody"/>
        <w:bidi w:val="0"/>
        <w:spacing w:before="120" w:after="0"/>
        <w:jc w:val="left"/>
        <w:rPr>
          <w:rFonts w:ascii="Times New Roman" w:hAnsi="Times New Roman"/>
          <w:sz w:val="20"/>
        </w:rPr>
      </w:pPr>
      <w:r>
        <w:rPr>
          <w:rFonts w:ascii="Times New Roman" w:hAnsi="Times New Roman"/>
          <w:sz w:val="20"/>
        </w:rPr>
        <w:t xml:space="preserve">(a) within 90 days after the end of each fiscal year of GEO, the audited consolidated balance sheet and related statements of operations, stockholders’ equity and cash flows of GEO and its Subsidiaries and Other Consolidated Persons as of the end of and for such year, setting forth in each case in comparative form the figures for (or, in the case of the balance sheet, as of the end of) the previous fiscal year, all reported on by Grant Thornton LLP or other independent public accountants of recognized national standing (without a “going concern” or like qualification or exception and without any qualification or exception as to the scope of such audit) to the effect that such consolidated financial statements present fairly in all material respects the financial condition and results of operations of GEO and its Subsidiaries on a consolidated basis in accordance with GAAP consistently applied (it being understood and agreed that GEO’s filing of a Form 10-K with the Securities and Exchange Commission with respect to a fiscal year within the period specified above shall be deemed to satisfy GEO’s obligations under this </w:t>
      </w:r>
      <w:r>
        <w:rPr>
          <w:rFonts w:ascii="Times New Roman" w:hAnsi="Times New Roman"/>
          <w:sz w:val="20"/>
          <w:u w:val="single"/>
        </w:rPr>
        <w:t xml:space="preserve">Section 5.01(a) </w:t>
      </w:r>
      <w:r>
        <w:rPr>
          <w:rFonts w:ascii="Times New Roman" w:hAnsi="Times New Roman"/>
          <w:sz w:val="20"/>
        </w:rPr>
        <w:t xml:space="preserve">with respect to such fiscal year); </w:t>
      </w:r>
    </w:p>
    <w:p>
      <w:pPr>
        <w:pStyle w:val="TextBody"/>
        <w:bidi w:val="0"/>
        <w:spacing w:before="240" w:after="0"/>
        <w:jc w:val="left"/>
        <w:rPr>
          <w:rFonts w:ascii="Times New Roman" w:hAnsi="Times New Roman"/>
          <w:sz w:val="20"/>
        </w:rPr>
      </w:pPr>
      <w:r>
        <w:rPr>
          <w:rFonts w:ascii="Times New Roman" w:hAnsi="Times New Roman"/>
          <w:sz w:val="20"/>
        </w:rPr>
        <w:t xml:space="preserve">(b) within 45 days after the end of each of the first three fiscal quarters of each fiscal year of GEO, the consolidated balance sheet and related statements of operations, stockholders’ equity and cash flows of GEO and its Subsidiaries and Other Consolidated Persons as of the end of and for such fiscal quarter and the then elapsed portion of the fiscal year, setting forth in each case in comparative form the figures for (or, in the case of the balance sheet, as of the end of) the corresponding period or periods of the previous fiscal year, all certified by a Financial Officer of GEO as presenting fairly in all material respects the financial condition and results of operations of GEO and its Subsidiaries and Other Consolidated Persons on a consolidated basis in accordance with GAAP consistently applied, subject to normal year-end audit adjustments and the absence of footnotes (it being understood and agreed that GEO’s filing of a Form 10-Q with the Securities and Exchange Commission with respect to a fiscal quarter within the period specified above shall be deemed to satisfy GEO’s obligations under this </w:t>
      </w:r>
      <w:r>
        <w:rPr>
          <w:rFonts w:ascii="Times New Roman" w:hAnsi="Times New Roman"/>
          <w:sz w:val="20"/>
          <w:u w:val="single"/>
        </w:rPr>
        <w:t>Section 5.01(b)</w:t>
      </w:r>
      <w:r>
        <w:rPr>
          <w:rFonts w:ascii="Times New Roman" w:hAnsi="Times New Roman"/>
          <w:sz w:val="20"/>
        </w:rPr>
        <w:t xml:space="preserve"> with respect to such fiscal quarter); </w:t>
      </w:r>
    </w:p>
    <w:p>
      <w:pPr>
        <w:pStyle w:val="TextBody"/>
        <w:bidi w:val="0"/>
        <w:spacing w:before="240" w:after="0"/>
        <w:jc w:val="left"/>
        <w:rPr>
          <w:rFonts w:ascii="Times New Roman" w:hAnsi="Times New Roman"/>
          <w:sz w:val="20"/>
        </w:rPr>
      </w:pPr>
      <w:r>
        <w:rPr>
          <w:rFonts w:ascii="Times New Roman" w:hAnsi="Times New Roman"/>
          <w:sz w:val="20"/>
        </w:rPr>
        <w:t xml:space="preserve">(c) concurrently with any delivery of financial statements under </w:t>
      </w:r>
      <w:r>
        <w:rPr>
          <w:rFonts w:ascii="Times New Roman" w:hAnsi="Times New Roman"/>
          <w:sz w:val="20"/>
          <w:u w:val="single"/>
        </w:rPr>
        <w:t>clause (a)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of this Section, a certificate of a Financial Officer of GEO in form and scope reasonably satisfactory to the Administrative Agent (i) certifying as to whether a Default has occurred and, if a Default has occurred, specifying the details thereof and any action taken or proposed to be taken with respect thereto, (ii) setting forth reasonably detailed calculations demonstrating compliance with </w:t>
      </w:r>
      <w:r>
        <w:rPr>
          <w:rFonts w:ascii="Times New Roman" w:hAnsi="Times New Roman"/>
          <w:sz w:val="20"/>
          <w:u w:val="single"/>
        </w:rPr>
        <w:t>Section 6.01</w:t>
      </w:r>
      <w:r>
        <w:rPr>
          <w:rFonts w:ascii="Times New Roman" w:hAnsi="Times New Roman"/>
          <w:sz w:val="20"/>
        </w:rPr>
        <w:t xml:space="preserve">, </w:t>
      </w:r>
      <w:r>
        <w:rPr>
          <w:rFonts w:ascii="Times New Roman" w:hAnsi="Times New Roman"/>
          <w:sz w:val="20"/>
          <w:u w:val="single"/>
        </w:rPr>
        <w:t>Section 6.02</w:t>
      </w:r>
      <w:r>
        <w:rPr>
          <w:rFonts w:ascii="Times New Roman" w:hAnsi="Times New Roman"/>
          <w:sz w:val="20"/>
        </w:rPr>
        <w:t>,</w:t>
      </w:r>
      <w:r>
        <w:rPr>
          <w:rFonts w:ascii="Times New Roman" w:hAnsi="Times New Roman"/>
          <w:sz w:val="20"/>
          <w:u w:val="single"/>
        </w:rPr>
        <w:t xml:space="preserve"> Section 6.04</w:t>
      </w:r>
      <w:r>
        <w:rPr>
          <w:rFonts w:ascii="Times New Roman" w:hAnsi="Times New Roman"/>
          <w:sz w:val="20"/>
        </w:rPr>
        <w:t xml:space="preserve">, </w:t>
      </w:r>
      <w:r>
        <w:rPr>
          <w:rFonts w:ascii="Times New Roman" w:hAnsi="Times New Roman"/>
          <w:sz w:val="20"/>
          <w:u w:val="single"/>
        </w:rPr>
        <w:t>Section 6.05</w:t>
      </w:r>
      <w:r>
        <w:rPr>
          <w:rFonts w:ascii="Times New Roman" w:hAnsi="Times New Roman"/>
          <w:sz w:val="20"/>
        </w:rPr>
        <w:t xml:space="preserve"> and </w:t>
      </w:r>
      <w:r>
        <w:rPr>
          <w:rFonts w:ascii="Times New Roman" w:hAnsi="Times New Roman"/>
          <w:sz w:val="20"/>
          <w:u w:val="single"/>
        </w:rPr>
        <w:t>Section 6.09</w:t>
      </w:r>
      <w:r>
        <w:rPr>
          <w:rFonts w:ascii="Times New Roman" w:hAnsi="Times New Roman"/>
          <w:sz w:val="20"/>
        </w:rPr>
        <w:t xml:space="preserve">, (iii) stating whether any change in GAAP or in the application thereof has occurred since the date of the audited financial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statements referred to in </w:t>
      </w:r>
      <w:r>
        <w:rPr>
          <w:rFonts w:ascii="Times New Roman" w:hAnsi="Times New Roman"/>
          <w:sz w:val="20"/>
          <w:u w:val="single"/>
        </w:rPr>
        <w:t>Section 3.04</w:t>
      </w:r>
      <w:r>
        <w:rPr>
          <w:rFonts w:ascii="Times New Roman" w:hAnsi="Times New Roman"/>
          <w:sz w:val="20"/>
        </w:rPr>
        <w:t xml:space="preserve"> and, if any such change has occurred, specifying the effect of such change on the financial statements accompanying such certificate, (iv) stating the aggregate amount of Unrestricted Subsidiary Debt and the portion thereof Guaranteed by GEO or any Restricted Subsidiary outstanding as of the last day of the relevant fiscal quarter or fiscal year, as the case may be, and, in each case, the aggregate amount of principal thereof and interest thereon paid by GEO and its Restricted Subsidiaries during the four fiscal quarters immediately preceding such day, and (v) a Springing Mortgage Material Real Property Certificate; </w:t>
      </w:r>
    </w:p>
    <w:p>
      <w:pPr>
        <w:pStyle w:val="TextBody"/>
        <w:bidi w:val="0"/>
        <w:spacing w:before="240" w:after="0"/>
        <w:jc w:val="left"/>
        <w:rPr>
          <w:rFonts w:ascii="Times New Roman" w:hAnsi="Times New Roman"/>
          <w:sz w:val="20"/>
        </w:rPr>
      </w:pPr>
      <w:r>
        <w:rPr>
          <w:rFonts w:ascii="Times New Roman" w:hAnsi="Times New Roman"/>
          <w:sz w:val="20"/>
        </w:rPr>
        <w:t xml:space="preserve">(d) concurrently with any delivery of financial statements under </w:t>
      </w:r>
      <w:r>
        <w:rPr>
          <w:rFonts w:ascii="Times New Roman" w:hAnsi="Times New Roman"/>
          <w:sz w:val="20"/>
          <w:u w:val="single"/>
        </w:rPr>
        <w:t>clause (a)</w:t>
      </w:r>
      <w:r>
        <w:rPr>
          <w:rFonts w:ascii="Times New Roman" w:hAnsi="Times New Roman"/>
          <w:sz w:val="20"/>
        </w:rPr>
        <w:t xml:space="preserve"> of this Section, a certificate of the accounting firm that reported on such financial statements stating whether they obtained knowledge during the course of their examination of such financial statements of any Default (which certificate may be limited to the extent required by accounting rules or guidelines); </w:t>
      </w:r>
    </w:p>
    <w:p>
      <w:pPr>
        <w:pStyle w:val="TextBody"/>
        <w:bidi w:val="0"/>
        <w:spacing w:before="240" w:after="0"/>
        <w:jc w:val="left"/>
        <w:rPr>
          <w:rFonts w:ascii="Times New Roman" w:hAnsi="Times New Roman"/>
          <w:sz w:val="20"/>
        </w:rPr>
      </w:pPr>
      <w:r>
        <w:rPr>
          <w:rFonts w:ascii="Times New Roman" w:hAnsi="Times New Roman"/>
          <w:sz w:val="20"/>
        </w:rPr>
        <w:t xml:space="preserve">(e) promptly after periodic and other reports, proxy statements and other materials are filed by GEO or any of its Subsidiaries with the Securities and Exchange Commission, or any Governmental Authority succeeding to any or all of the functions of said Commission, or with any national securities exchange, or distributed by GEO to its shareholders generally, notice thereof; </w:t>
      </w:r>
    </w:p>
    <w:p>
      <w:pPr>
        <w:pStyle w:val="TextBody"/>
        <w:bidi w:val="0"/>
        <w:spacing w:before="240" w:after="0"/>
        <w:jc w:val="left"/>
        <w:rPr>
          <w:rFonts w:ascii="Times New Roman" w:hAnsi="Times New Roman"/>
          <w:sz w:val="20"/>
        </w:rPr>
      </w:pPr>
      <w:r>
        <w:rPr>
          <w:rFonts w:ascii="Times New Roman" w:hAnsi="Times New Roman"/>
          <w:sz w:val="20"/>
        </w:rPr>
        <w:t xml:space="preserve">(f) promptly following any request therefor, such other information regarding the operations, business affairs and financial condition of GEO or any of its Subsidiaries, or compliance with the terms of this Agreement and the other Loan Documents, as the Administrative Agent or any Lender may reasonably request; </w:t>
      </w:r>
    </w:p>
    <w:p>
      <w:pPr>
        <w:pStyle w:val="TextBody"/>
        <w:bidi w:val="0"/>
        <w:spacing w:before="240" w:after="0"/>
        <w:jc w:val="left"/>
        <w:rPr>
          <w:rFonts w:ascii="Times New Roman" w:hAnsi="Times New Roman"/>
          <w:sz w:val="20"/>
        </w:rPr>
      </w:pPr>
      <w:r>
        <w:rPr>
          <w:rFonts w:ascii="Times New Roman" w:hAnsi="Times New Roman"/>
          <w:sz w:val="20"/>
        </w:rPr>
        <w:t xml:space="preserve">(g) within 60 days after the beginning of each fiscal year of GEO, a business forecast of GEO and its Subsidiaries and Other Consolidated Persons for such fiscal year to include the following: a projected income statement, statement of cash flows and balance sheet (each prepared in accordance with GAAP, except for the absence of footnotes) and, to the extent reasonably requested by the Administrative Agent, management’s assumptions underlying such projections, accompanied by a certificate from a Financial Officer of GEO to the effect that, to the best of such officer’s knowledge, such projections are good faith estimates (utilizing reasonable assumptions) of the financial condition and operations of GEO and its Subsidiaries and Other Consolidated Persons for such fiscal year; </w:t>
      </w:r>
    </w:p>
    <w:p>
      <w:pPr>
        <w:pStyle w:val="TextBody"/>
        <w:bidi w:val="0"/>
        <w:spacing w:before="240" w:after="0"/>
        <w:jc w:val="left"/>
        <w:rPr>
          <w:rFonts w:ascii="Times New Roman" w:hAnsi="Times New Roman"/>
          <w:sz w:val="20"/>
        </w:rPr>
      </w:pPr>
      <w:r>
        <w:rPr>
          <w:rFonts w:ascii="Times New Roman" w:hAnsi="Times New Roman"/>
          <w:sz w:val="20"/>
        </w:rPr>
        <w:t xml:space="preserve">(h) concurrently with (i) the incurrence of any increases to the Revolving Credit Commitments under </w:t>
      </w:r>
      <w:r>
        <w:rPr>
          <w:rFonts w:ascii="Times New Roman" w:hAnsi="Times New Roman"/>
          <w:sz w:val="20"/>
          <w:u w:val="single"/>
        </w:rPr>
        <w:t>Section 2.08</w:t>
      </w:r>
      <w:r>
        <w:rPr>
          <w:rFonts w:ascii="Times New Roman" w:hAnsi="Times New Roman"/>
          <w:sz w:val="20"/>
        </w:rPr>
        <w:t xml:space="preserve"> or otherwise, Incremental Term Loans, Incremental Equivalent Debt secured on a pari passu basis with the Obligations, and any indebtedness pursuant to the provisions of </w:t>
      </w:r>
      <w:r>
        <w:rPr>
          <w:rFonts w:ascii="Times New Roman" w:hAnsi="Times New Roman"/>
          <w:sz w:val="20"/>
          <w:u w:val="single"/>
        </w:rPr>
        <w:t>Section 6.01(n)</w:t>
      </w:r>
      <w:r>
        <w:rPr>
          <w:rFonts w:ascii="Times New Roman" w:hAnsi="Times New Roman"/>
          <w:sz w:val="20"/>
        </w:rPr>
        <w:t xml:space="preserve"> hereof, and (ii) any transfer of real property by any Loan Party to an Unrestricted Subsidiary, in each case, a Springing Mortgage Material Real Property Certificate based upon and accompanied by copies of recent third party real estate appraisals of Material Real Property that satisfies the Springing Material Real Property Threshold, and which appraisals are reasonably acceptable to the Administrative Agent; and </w:t>
      </w:r>
    </w:p>
    <w:p>
      <w:pPr>
        <w:pStyle w:val="TextBody"/>
        <w:bidi w:val="0"/>
        <w:spacing w:before="240" w:after="0"/>
        <w:jc w:val="left"/>
        <w:rPr>
          <w:rFonts w:ascii="Times New Roman" w:hAnsi="Times New Roman"/>
          <w:sz w:val="20"/>
        </w:rPr>
      </w:pPr>
      <w:r>
        <w:rPr>
          <w:rFonts w:ascii="Times New Roman" w:hAnsi="Times New Roman"/>
          <w:sz w:val="20"/>
        </w:rPr>
        <w:t xml:space="preserve">(i) promptly following any request therefor, such additional information and documentation regarding each Loan Party reasonably requested by the Administrative Agent or any Lender for purposes of compliance with applicable “know your customer” and AML Laws, including without limitation the Patriot Act and the Beneficial Ownership Regulation.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5.02 </w:t>
      </w:r>
      <w:r>
        <w:rPr>
          <w:rFonts w:ascii="Times New Roman" w:hAnsi="Times New Roman"/>
          <w:sz w:val="20"/>
          <w:u w:val="single"/>
        </w:rPr>
        <w:t>Notices of Material Events</w:t>
      </w:r>
      <w:r>
        <w:rPr>
          <w:rFonts w:ascii="Times New Roman" w:hAnsi="Times New Roman"/>
          <w:sz w:val="20"/>
        </w:rPr>
        <w:t xml:space="preserve">. GEO will furnish to the Administrative Agent (for further distribution to the Lenders) prompt written notice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(a) (i) the occurrence of any Default, or (ii) any event which constitutes or which with the passage of time or giving of notice or both would constitute a default or event of default under any Material Contract to which GEO or any of its Subsidiaries is a party or by which GEO or any Subsidiary thereof or any of their respective properties may be bound; </w:t>
      </w:r>
    </w:p>
    <w:p>
      <w:pPr>
        <w:pStyle w:val="TextBody"/>
        <w:bidi w:val="0"/>
        <w:spacing w:before="240" w:after="0"/>
        <w:jc w:val="left"/>
        <w:rPr>
          <w:rFonts w:ascii="Times New Roman" w:hAnsi="Times New Roman"/>
          <w:sz w:val="20"/>
        </w:rPr>
      </w:pPr>
      <w:r>
        <w:rPr>
          <w:rFonts w:ascii="Times New Roman" w:hAnsi="Times New Roman"/>
          <w:sz w:val="20"/>
        </w:rPr>
        <w:t xml:space="preserve">(b) the filing or commencement of any action, suit or proceeding by or before any arbitrator or Governmental Authority against or affecting GEO or any of its Affiliates that, if adversely determined, could reasonably be expected to result in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(c) the occurrence of any ERISA Event that, alone or together with any other ERISA Events that have occurred, could reasonably be expected to result in liability of a Borrower or any of its Subsidiaries in an aggregate amount exceeding $15,000,000; </w:t>
      </w:r>
    </w:p>
    <w:p>
      <w:pPr>
        <w:pStyle w:val="TextBody"/>
        <w:bidi w:val="0"/>
        <w:spacing w:before="240" w:after="0"/>
        <w:jc w:val="left"/>
        <w:rPr>
          <w:rFonts w:ascii="Times New Roman" w:hAnsi="Times New Roman"/>
          <w:sz w:val="20"/>
        </w:rPr>
      </w:pPr>
      <w:r>
        <w:rPr>
          <w:rFonts w:ascii="Times New Roman" w:hAnsi="Times New Roman"/>
          <w:sz w:val="20"/>
        </w:rPr>
        <w:t xml:space="preserve">(d) any notice of any material violation of Environmental Law or any claim with respect to any Environmental Liability received by GEO or any Subsidiary thereof, including, without limitation, the assertion of any environmental matters by any Person against, or with respect to the activities of, GEO or any of its Subsidiaries and any alleged violation of or non-compliance with any Environmental Laws or any permits, licenses or authorizations, other than, in each case, any violation or claim that, if adversely determined, would not (either individually or in the aggregate)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(e) any labor controversy that has resulted in, or threatens to result in, a strike or other work action against GEO or any of its Subsidiaries thereof which could reasonably be expected to result in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(f) contemporaneously with the delivery of the quarterly reports required herein, (and, upon the occurrence and during the continuation of an Event of Default, on a more frequent basis if requested by the Administrative Agent), a list of all Material Government Contracts which have (i) been completed or have lapsed or terminated and not renewed or (ii) been entered into (or which have become Material Government Contracts) in each case, since the most recent list provided by GEO and signed by a Financial Officer or other executive officer of GEO as of the last Business Day of such fiscal quarter, unless in any such case such information has been filed, and notice thereof furnished to the Administrative Agent, as described in </w:t>
      </w:r>
      <w:r>
        <w:rPr>
          <w:rFonts w:ascii="Times New Roman" w:hAnsi="Times New Roman"/>
          <w:sz w:val="20"/>
          <w:u w:val="single"/>
        </w:rPr>
        <w:t>Section 5.01(e)</w:t>
      </w:r>
      <w:r>
        <w:rPr>
          <w:rFonts w:ascii="Times New Roman" w:hAnsi="Times New Roman"/>
          <w:sz w:val="20"/>
        </w:rPr>
        <w:t xml:space="preserve">; and </w:t>
      </w:r>
    </w:p>
    <w:p>
      <w:pPr>
        <w:pStyle w:val="TextBody"/>
        <w:bidi w:val="0"/>
        <w:spacing w:before="240" w:after="0"/>
        <w:jc w:val="left"/>
        <w:rPr>
          <w:rFonts w:ascii="Times New Roman" w:hAnsi="Times New Roman"/>
          <w:sz w:val="20"/>
        </w:rPr>
      </w:pPr>
      <w:r>
        <w:rPr>
          <w:rFonts w:ascii="Times New Roman" w:hAnsi="Times New Roman"/>
          <w:sz w:val="20"/>
        </w:rPr>
        <w:t xml:space="preserve">(g) any other development that has resulted in, or could reasonably be expected to result in,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Each notice delivered under this Section shall be accompanied by a statement of a Financial Officer or other executive officer of GEO setting forth the details of the event or development requiring such notice and any action taken or proposed to be taken with respect thereto. </w:t>
      </w:r>
    </w:p>
    <w:p>
      <w:pPr>
        <w:pStyle w:val="TextBody"/>
        <w:bidi w:val="0"/>
        <w:spacing w:before="240" w:after="0"/>
        <w:jc w:val="left"/>
        <w:rPr>
          <w:rFonts w:ascii="Times New Roman" w:hAnsi="Times New Roman"/>
          <w:sz w:val="20"/>
        </w:rPr>
      </w:pPr>
      <w:r>
        <w:rPr>
          <w:rFonts w:ascii="Times New Roman" w:hAnsi="Times New Roman"/>
          <w:sz w:val="20"/>
        </w:rPr>
        <w:t xml:space="preserve">Section 5.03 </w:t>
      </w:r>
      <w:r>
        <w:rPr>
          <w:rFonts w:ascii="Times New Roman" w:hAnsi="Times New Roman"/>
          <w:sz w:val="20"/>
          <w:u w:val="single"/>
        </w:rPr>
        <w:t>Existence; Conduct of Business</w:t>
      </w:r>
      <w:r>
        <w:rPr>
          <w:rFonts w:ascii="Times New Roman" w:hAnsi="Times New Roman"/>
          <w:sz w:val="20"/>
        </w:rPr>
        <w:t xml:space="preserve">. Each Borrower will, and will cause each of its Restricted Subsidiaries to, do or cause to be done all things necessary to preserve, renew and keep in full force and effect its legal existence and the rights, licenses, permits, privileges and franchises material to the conduct of its business; </w:t>
      </w:r>
      <w:r>
        <w:rPr>
          <w:rFonts w:ascii="Times New Roman" w:hAnsi="Times New Roman"/>
          <w:sz w:val="20"/>
          <w:u w:val="single"/>
        </w:rPr>
        <w:t>provided</w:t>
      </w:r>
      <w:r>
        <w:rPr>
          <w:rFonts w:ascii="Times New Roman" w:hAnsi="Times New Roman"/>
          <w:sz w:val="20"/>
        </w:rPr>
        <w:t xml:space="preserve"> that the foregoing shall not prohibit any merger, consolidation, liquidation or dissolution permitted under </w:t>
      </w:r>
      <w:r>
        <w:rPr>
          <w:rFonts w:ascii="Times New Roman" w:hAnsi="Times New Roman"/>
          <w:sz w:val="20"/>
          <w:u w:val="single"/>
        </w:rPr>
        <w:t>Section 6.03</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5.04 </w:t>
      </w:r>
      <w:r>
        <w:rPr>
          <w:rFonts w:ascii="Times New Roman" w:hAnsi="Times New Roman"/>
          <w:sz w:val="20"/>
          <w:u w:val="single"/>
        </w:rPr>
        <w:t>Payment of Obligations</w:t>
      </w:r>
      <w:r>
        <w:rPr>
          <w:rFonts w:ascii="Times New Roman" w:hAnsi="Times New Roman"/>
          <w:sz w:val="20"/>
        </w:rPr>
        <w:t xml:space="preserve">. Each Borrower will, and will cause each of its Restricted Subsidiaries to pay its obligations, including Tax liabilities, that, if not paid, could result in a Material Adverse Effect, before the same shall become delinquent or in default beyond the period of grace, except where (a) the validity or amount thereof is being contested in good faith by appropriate proceedings, (b) GEO or such Restricted Subsidiary has set aside on its books adequate reserves with respect thereto in accordance with GAAP and (c) the failure to make payment pending such contest could not reasonably be expected to result in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5.05 </w:t>
      </w:r>
      <w:r>
        <w:rPr>
          <w:rFonts w:ascii="Times New Roman" w:hAnsi="Times New Roman"/>
          <w:sz w:val="20"/>
          <w:u w:val="single"/>
        </w:rPr>
        <w:t>Maintenance of Properties; Insurance</w:t>
      </w:r>
      <w:r>
        <w:rPr>
          <w:rFonts w:ascii="Times New Roman" w:hAnsi="Times New Roman"/>
          <w:sz w:val="20"/>
        </w:rPr>
        <w:t xml:space="preserve">. Each Borrower will, and will cause each of its Restricted Subsidiaries to, (a) keep and maintain all property material to the conduct of its business in good working order and condition, ordinary wear and tear excepted, and in the event of the presence of any Hazardous Materials on any of the Material Real Property which is in violation of Environmental Laws, promptly upon discovery thereof, shall (i) take all reasonable and necessary steps to initiate and expeditiously complete all response, corrective, and other action required under Environmental Law or by a Governmental Authority to mitigate and eliminate any such violation or potential liability, and (ii) keep the Administrative Agent informed of their actions and the results of such actions as the Administrative Agent or any Lender shall reasonably request, except where such presence or violation could not reasonably be expected to have, individually or in the aggregate, a Material Adverse Effect, and (b) maintain, with financially sound and reputable insurance companies, insurance in such amounts and against such risks as are customarily maintained by companies engaged in the same or similar businesses operating in the same or similar locations, with the Administrative Agent designated as the loss payee, lenders loss payable, mortgagee or additional named insured in respect of all such policies (other than any such policies (other than flood insurance policies) covering any real property interest, including improvements, that has a fair market value of less than $5,000,000), as applicable, and from time to time deliver to the Administrative Agent upon its request a detailed list of the insurance then in effect, stating the names of the insurance companies, the amounts and rates of the insurance, the dates of the expiration thereof and the properties and risks covered thereby; it being understood and agreed that, irrespective of the Administrative Agent’s designation as described above, as to any Casualty Event, GEO or the relevant Restricted Subsidiary shall be entitled to receive such proceeds directly (provided that the application thereof by GEO or such Restricted Subsidiary shall be subject to </w:t>
      </w:r>
      <w:r>
        <w:rPr>
          <w:rFonts w:ascii="Times New Roman" w:hAnsi="Times New Roman"/>
          <w:sz w:val="20"/>
          <w:u w:val="single"/>
        </w:rPr>
        <w:t>Section 2.10(b)</w:t>
      </w:r>
      <w:r>
        <w:rPr>
          <w:rFonts w:ascii="Times New Roman" w:hAnsi="Times New Roman"/>
          <w:sz w:val="20"/>
        </w:rPr>
        <w:t xml:space="preserve">). Except as otherwise expressly consented to by the Administrative Agent, such insurance policies shall provide that no cancellation, non-renewal or material change in coverage shall be effective until after 30 days’ prior written notice to the Administrative Agent. If any portion of the property covered by any Mortgage is located in Flood Zone, then GEO shall maintain, or cause its applicable Restricted Subsidiary to maintain, with a financially sound and reputable insurer, flood insurance in an amount as the Administrative Agent or any applicable Lender may from time to time reasonably require, but in no event less that an amount sufficient to comply with all applicable rules and regulations promulgated pursuant to such Flood Act, and shall otherwise comply with the National Flood Insurance Program as set forth in the Flood Disaster Protection Act of 1973, as amended from time to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5.06 </w:t>
      </w:r>
      <w:r>
        <w:rPr>
          <w:rFonts w:ascii="Times New Roman" w:hAnsi="Times New Roman"/>
          <w:sz w:val="20"/>
          <w:u w:val="single"/>
        </w:rPr>
        <w:t>Books and Records; Inspection Rights</w:t>
      </w:r>
      <w:r>
        <w:rPr>
          <w:rFonts w:ascii="Times New Roman" w:hAnsi="Times New Roman"/>
          <w:sz w:val="20"/>
        </w:rPr>
        <w:t xml:space="preserve">. Each Borrower will, and will cause each of its Restricted Subsidiaries to, keep proper books of record and account in which full, true and correct entries are made of its dealings and transactions in relation to its business and activities. Each Borrower will, and will cause each of its Subsidiaries to, permit any representatives designated by the Administrative Agent or any Lender, upon reasonable prior notice, to visit and inspect its properties, to examine and make extracts from its books and records, and to discuss its affairs, finances and condition with its officers and independent accountants, all at such reasonable times and as often as reasonably requested. </w:t>
      </w:r>
    </w:p>
    <w:p>
      <w:pPr>
        <w:pStyle w:val="TextBody"/>
        <w:bidi w:val="0"/>
        <w:spacing w:before="240" w:after="0"/>
        <w:jc w:val="left"/>
        <w:rPr>
          <w:rFonts w:ascii="Times New Roman" w:hAnsi="Times New Roman"/>
          <w:sz w:val="20"/>
        </w:rPr>
      </w:pPr>
      <w:r>
        <w:rPr>
          <w:rFonts w:ascii="Times New Roman" w:hAnsi="Times New Roman"/>
          <w:sz w:val="20"/>
        </w:rPr>
        <w:t xml:space="preserve">Section 5.07 </w:t>
      </w:r>
      <w:r>
        <w:rPr>
          <w:rFonts w:ascii="Times New Roman" w:hAnsi="Times New Roman"/>
          <w:sz w:val="20"/>
          <w:u w:val="single"/>
        </w:rPr>
        <w:t>Compliance with Laws</w:t>
      </w:r>
      <w:r>
        <w:rPr>
          <w:rFonts w:ascii="Times New Roman" w:hAnsi="Times New Roman"/>
          <w:sz w:val="20"/>
        </w:rPr>
        <w:t xml:space="preserve">. Each Borrower will, and will cause each of its Restricted Subsidiaries to, comply with all laws, rules, regulations and orders of any Governmental Authority applicable to it or its property, including ERISA and any Environmental Laws, except where the failure to do so, individually or in the aggregate, could not reasonably be expected to result in a Material Adverse Effect. GEO will maintain in effect and enforce policies and procedures reasonably designed to ensure compliance by GEO and its Subsidiaries and their respective directors, officers, employees and agents with Anti-Corruption Laws, applicable AML Laws and Sanctions. </w:t>
      </w:r>
    </w:p>
    <w:p>
      <w:pPr>
        <w:pStyle w:val="TextBody"/>
        <w:bidi w:val="0"/>
        <w:spacing w:before="240" w:after="0"/>
        <w:jc w:val="left"/>
        <w:rPr>
          <w:rFonts w:ascii="Times New Roman" w:hAnsi="Times New Roman"/>
          <w:sz w:val="20"/>
        </w:rPr>
      </w:pPr>
      <w:r>
        <w:rPr>
          <w:rFonts w:ascii="Times New Roman" w:hAnsi="Times New Roman"/>
          <w:sz w:val="20"/>
        </w:rPr>
        <w:t xml:space="preserve">Section 5.08 </w:t>
      </w:r>
      <w:r>
        <w:rPr>
          <w:rFonts w:ascii="Times New Roman" w:hAnsi="Times New Roman"/>
          <w:sz w:val="20"/>
          <w:u w:val="single"/>
        </w:rPr>
        <w:t>Use of Proceeds and Letters of Credit</w:t>
      </w:r>
      <w:r>
        <w:rPr>
          <w:rFonts w:ascii="Times New Roman" w:hAnsi="Times New Roman"/>
          <w:sz w:val="20"/>
        </w:rPr>
        <w:t xml:space="preserve">. The proceeds of the Loans and Letters of Credit will be used only (a) to finance the Effective Date Transactions on the Effective Date and to pay fees, commissions, costs and expenses incurred in connection with the Effective Date Transactions, (b) for working capital and general corporate purposes of GEO and its Restricted Subsidiaries, including the payment of fees, costs and expenses incurred in connection with the transactions contemplated by the Loan Documents, (c) to finance any Permitted Acquisition and any other acquisition permitted hereunder, (d) to fund Restricted Payments permitted hereunder and to make any other Investments permitted hereunder, (e) to refinance, redeem, repay or otherwise discharge in full any series of the Senior Notes or any other Indebtedness of GEO and its Restricted Subsidiaries, in each case to the extent permitted hereunder, (f) in the case of proceeds of Borrowings of or under Refinancing Term Loans or Refinancing Revolving Commitments, solely as provided in </w:t>
      </w:r>
      <w:r>
        <w:rPr>
          <w:rFonts w:ascii="Times New Roman" w:hAnsi="Times New Roman"/>
          <w:sz w:val="20"/>
          <w:u w:val="single"/>
        </w:rPr>
        <w:t>Section 2.22(a)</w:t>
      </w:r>
      <w:r>
        <w:rPr>
          <w:rFonts w:ascii="Times New Roman" w:hAnsi="Times New Roman"/>
          <w:sz w:val="20"/>
        </w:rPr>
        <w:t xml:space="preserve"> and </w:t>
      </w:r>
      <w:r>
        <w:rPr>
          <w:rFonts w:ascii="Times New Roman" w:hAnsi="Times New Roman"/>
          <w:sz w:val="20"/>
          <w:u w:val="single"/>
        </w:rPr>
        <w:t>Section 2.22(b)</w:t>
      </w:r>
      <w:r>
        <w:rPr>
          <w:rFonts w:ascii="Times New Roman" w:hAnsi="Times New Roman"/>
          <w:sz w:val="20"/>
        </w:rPr>
        <w:t xml:space="preserve">, respectively, and (g) in the case of proceeds of Incremental Term Loans, solely as provided in </w:t>
      </w:r>
      <w:r>
        <w:rPr>
          <w:rFonts w:ascii="Times New Roman" w:hAnsi="Times New Roman"/>
          <w:sz w:val="20"/>
          <w:u w:val="single"/>
        </w:rPr>
        <w:t>Section 2.01(e)</w:t>
      </w:r>
      <w:r>
        <w:rPr>
          <w:rFonts w:ascii="Times New Roman" w:hAnsi="Times New Roman"/>
          <w:sz w:val="20"/>
        </w:rPr>
        <w:t xml:space="preserve">. No part of the proceeds of any Loan will be used, whether directly or indirectly, for any purpose that entails a violation of any of the Regulations of the Board, including Regulations U and X. None of the Borrowers will request any Borrowing or Letter of Credit, and the Borrowers shall not, and shall cause the Subsidiaries and the Borrowers’ or such Subsidiaries’ respective directors, officers, employees, Affiliates and agents to not, directly or, to the knowledge of the Borrowers or such Subsidiaries, indirectly, use the proceeds of any Borrowing or Letter of Credit, or lend, contribute or otherwise make available such proceeds to any Subsidiary, other Affiliate, joint venture partner or other Person, (A) in furtherance of an offer, payment, promise to pay, or authorization of the payment or giving of money, or anything else of value, to any Person in violation of any Anti-Corruption Laws or AML Laws, (B) for the purpose of funding, financing or facilitating any activities, business or transaction of or with any Sanctioned Person, or in any Sanctioned Country, or (C) in any manner that would result in the violation of any Sanctions by any Person (including any Person participating in the Loans whether as Administrative Agent, lender, borrower, guarantor, arranger, underwriter, advisor, investor, agent or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5.09 </w:t>
      </w:r>
      <w:r>
        <w:rPr>
          <w:rFonts w:ascii="Times New Roman" w:hAnsi="Times New Roman"/>
          <w:sz w:val="20"/>
          <w:u w:val="single"/>
        </w:rPr>
        <w:t>Additional Subsidiaries; Restricted and Unrestricted Subsidiaries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Additional Subsidiary Guarantors</w:t>
      </w:r>
      <w:r>
        <w:rPr>
          <w:rFonts w:ascii="Times New Roman" w:hAnsi="Times New Roman"/>
          <w:sz w:val="20"/>
        </w:rPr>
        <w:t xml:space="preserve">. GEO shall notify the Administrative Agent of (i) each redesignation of an Unrestricted Subsidiary as a Restricted Subsidiary in accordance with </w:t>
      </w:r>
      <w:r>
        <w:rPr>
          <w:rFonts w:ascii="Times New Roman" w:hAnsi="Times New Roman"/>
          <w:sz w:val="20"/>
          <w:u w:val="single"/>
        </w:rPr>
        <w:t>Section 5.09(c)</w:t>
      </w:r>
      <w:r>
        <w:rPr>
          <w:rFonts w:ascii="Times New Roman" w:hAnsi="Times New Roman"/>
          <w:sz w:val="20"/>
        </w:rPr>
        <w:t xml:space="preserve"> and (ii) each creation or acquisition of any Restricted Subsidiary, and promptly thereafter (and in any event within 30 days (or such longer period as the Administrative Agent may approve in its sole discretion) thereafter), in each of the cases referred to in the foregoing </w:t>
      </w:r>
      <w:r>
        <w:rPr>
          <w:rFonts w:ascii="Times New Roman" w:hAnsi="Times New Roman"/>
          <w:sz w:val="20"/>
          <w:u w:val="single"/>
        </w:rPr>
        <w:t>clauses (i)</w:t>
      </w:r>
      <w:r>
        <w:rPr>
          <w:rFonts w:ascii="Times New Roman" w:hAnsi="Times New Roman"/>
          <w:sz w:val="20"/>
        </w:rPr>
        <w:t xml:space="preserve"> and </w:t>
      </w:r>
      <w:r>
        <w:rPr>
          <w:rFonts w:ascii="Times New Roman" w:hAnsi="Times New Roman"/>
          <w:sz w:val="20"/>
          <w:u w:val="single"/>
        </w:rPr>
        <w:t>(ii)</w:t>
      </w:r>
      <w:r>
        <w:rPr>
          <w:rFonts w:ascii="Times New Roman" w:hAnsi="Times New Roman"/>
          <w:sz w:val="20"/>
        </w:rPr>
        <w:t xml:space="preserve"> of this sentence, cause such Subsidiary (other than a Foreign Subsidiary) to (A) become a “Guarantor” by executing and delivering to the Administrative Agent a supplement to the Guaranty Agreement or such other document as the Administrative Agent shall deem appropriate for such purpose, (B) deliver to the Administrative Agent a duly executed Joinder Agreement and comply with the terms of each Security Document, (C) take such action (including delivering certificates and transfer powers in respect of Equity Interests and executing and delivering (as applicable) such UCC financing statements and account control agreements) as shall be necessary to create and perfect valid and enforceable Liens on substantially all of the personal property (other than Excluded Property) of such Subsidiary as collateral security for the obligations of such Subsidiary under the Loan Documents subject to no Liens other than Liens permitted by </w:t>
      </w:r>
      <w:r>
        <w:rPr>
          <w:rFonts w:ascii="Times New Roman" w:hAnsi="Times New Roman"/>
          <w:sz w:val="20"/>
          <w:u w:val="single"/>
        </w:rPr>
        <w:t>Section 6.02</w:t>
      </w:r>
      <w:r>
        <w:rPr>
          <w:rFonts w:ascii="Times New Roman" w:hAnsi="Times New Roman"/>
          <w:sz w:val="20"/>
        </w:rPr>
        <w:t xml:space="preserve">, (D) take all actions with respect to all Material Real Property owned or leased by such Subsidiary required by </w:t>
      </w:r>
      <w:r>
        <w:rPr>
          <w:rFonts w:ascii="Times New Roman" w:hAnsi="Times New Roman"/>
          <w:sz w:val="20"/>
          <w:u w:val="single"/>
        </w:rPr>
        <w:t>Section 5.10</w:t>
      </w:r>
      <w:r>
        <w:rPr>
          <w:rFonts w:ascii="Times New Roman" w:hAnsi="Times New Roman"/>
          <w:sz w:val="20"/>
        </w:rPr>
        <w:t xml:space="preserve"> (as if such Material Real Property had been acquired by a Subsidiary), (E) deliver to the Administrative Agent such proof of corporate action, incumbency of officers, opinions of counsel (which shall cover, among other things, the legality, validity, binding effect and enforceability of the documentation referred to in </w:t>
      </w:r>
      <w:r>
        <w:rPr>
          <w:rFonts w:ascii="Times New Roman" w:hAnsi="Times New Roman"/>
          <w:sz w:val="20"/>
          <w:u w:val="single"/>
        </w:rPr>
        <w:t>clauses (A)</w:t>
      </w:r>
      <w:r>
        <w:rPr>
          <w:rFonts w:ascii="Times New Roman" w:hAnsi="Times New Roman"/>
          <w:sz w:val="20"/>
        </w:rPr>
        <w:t xml:space="preserve">, </w:t>
      </w:r>
      <w:r>
        <w:rPr>
          <w:rFonts w:ascii="Times New Roman" w:hAnsi="Times New Roman"/>
          <w:sz w:val="20"/>
          <w:u w:val="single"/>
        </w:rPr>
        <w:t>(B)</w:t>
      </w:r>
      <w:r>
        <w:rPr>
          <w:rFonts w:ascii="Times New Roman" w:hAnsi="Times New Roman"/>
          <w:sz w:val="20"/>
        </w:rPr>
        <w:t xml:space="preserve">, </w:t>
      </w:r>
      <w:r>
        <w:rPr>
          <w:rFonts w:ascii="Times New Roman" w:hAnsi="Times New Roman"/>
          <w:sz w:val="20"/>
          <w:u w:val="single"/>
        </w:rPr>
        <w:t>(C)</w:t>
      </w:r>
      <w:r>
        <w:rPr>
          <w:rFonts w:ascii="Times New Roman" w:hAnsi="Times New Roman"/>
          <w:sz w:val="20"/>
        </w:rPr>
        <w:t xml:space="preserve"> and </w:t>
      </w:r>
      <w:r>
        <w:rPr>
          <w:rFonts w:ascii="Times New Roman" w:hAnsi="Times New Roman"/>
          <w:sz w:val="20"/>
          <w:u w:val="single"/>
        </w:rPr>
        <w:t>(D)</w:t>
      </w:r>
      <w:r>
        <w:rPr>
          <w:rFonts w:ascii="Times New Roman" w:hAnsi="Times New Roman"/>
          <w:sz w:val="20"/>
        </w:rPr>
        <w:t xml:space="preserve"> of this sentence) and other documents as is consistent with those delivered by GEO pursuant to </w:t>
      </w:r>
      <w:r>
        <w:rPr>
          <w:rFonts w:ascii="Times New Roman" w:hAnsi="Times New Roman"/>
          <w:sz w:val="20"/>
          <w:u w:val="single"/>
        </w:rPr>
        <w:t>Section 4.01</w:t>
      </w:r>
      <w:r>
        <w:rPr>
          <w:rFonts w:ascii="Times New Roman" w:hAnsi="Times New Roman"/>
          <w:sz w:val="20"/>
        </w:rPr>
        <w:t xml:space="preserve"> on the Effective Date, and (F) deliver to the Administrative Agent such other documents and closing certificates as may be reasonably requested by the Administrative Agent, all in form, content and scope reasonably satisfactory to the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Additional Foreign Subsidiaries</w:t>
      </w:r>
      <w:r>
        <w:rPr>
          <w:rFonts w:ascii="Times New Roman" w:hAnsi="Times New Roman"/>
          <w:sz w:val="20"/>
        </w:rPr>
        <w:t xml:space="preserve">. GEO shall notify the Administrative Agent at the time that any Person becomes a direct Foreign Subsidiary of any Borrower or any Guarantor, and at the request of the Administrative Agent, promptly thereafter (and in any event within 45 days after such request), cause (i) such Borrower or such Guarantor to deliver to the Administrative Agent a supplement to the Security Documents pledging 100% of all Equity Interests in such Foreign Subsidiary (together with, if applicable, original stock certificates (or the equivalent thereof pursuant to the applicable laws and practices of any relevant foreign jurisdiction) evidencing such Equity Interest of such Foreign Subsidiary, together with an appropriate undated stock power (or the equivalent thereof pursuant to the applicable laws and practices of any relevant foreign jurisdiction) for each certificate (or equivalent) duly executed in blank by the registered owner thereof), (ii) if requested by the Administrative Agent, such Borrower or such Guarantor to deliver to the Administrative Agent a favorable opinion of counsel (which shall cover, among other things, the legality, validity, binding effect and enforceability of such pledge), and (iii) such Borrower or such Guarantor to deliver to the Administrative Agent such other documents and closing certificates as may be reasonably requested by the Administrative Agent, all in form, content and scope reasonably satisfactory to the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Designation of Restricted Subsidiaries</w:t>
      </w:r>
      <w:r>
        <w:rPr>
          <w:rFonts w:ascii="Times New Roman" w:hAnsi="Times New Roman"/>
          <w:sz w:val="20"/>
        </w:rPr>
        <w:t xml:space="preserve">. GEO may, at any time and upon written notice to the Administrative Agent, designate an Unrestricted Subsidiary as a Restricted Subsidiary.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Designation of Unrestricted Subsidiaries</w:t>
      </w:r>
      <w:r>
        <w:rPr>
          <w:rFonts w:ascii="Times New Roman" w:hAnsi="Times New Roman"/>
          <w:sz w:val="20"/>
        </w:rPr>
        <w:t xml:space="preserve">. GEO may, on prior written notice to the Administrative Agent, designate any Restricted Subsidiary or newly acquired Subsidiary (in each case, other than (x) any Subsidiary that is a guarantor under any of the Senior Notes or (y) Corrections or any successor to Corrections or all or substantially all of its properties) as an Unrestricted Subsidiary so long as (1) no Default or Event of Default has occurred and is continuing or would result therefrom, (2) the designation of any Subsidiary as an Unrestricted Subsidiary shall constitute an Investment by Loan Parties therein at the date of designation in an amount equal to the fair market value of the applicable Loan Party’s Investment therein and such Investment is permitted pursuant to </w:t>
      </w:r>
      <w:r>
        <w:rPr>
          <w:rFonts w:ascii="Times New Roman" w:hAnsi="Times New Roman"/>
          <w:sz w:val="20"/>
          <w:u w:val="single"/>
        </w:rPr>
        <w:t>Section 6.04</w:t>
      </w:r>
      <w:r>
        <w:rPr>
          <w:rFonts w:ascii="Times New Roman" w:hAnsi="Times New Roman"/>
          <w:sz w:val="20"/>
        </w:rPr>
        <w:t xml:space="preserve"> at such time and (3) an authorized officer of GEO certifies to the Administrative Agent compliance with the preceding clauses (1) and (2). Any such designation shall have an effective date mutually acceptable to the Administrative Agent and GEO, but in no event earlier than five Business Days following receipt by the Administrative Agent of such written notice. Upon the effectiveness of any designation of a Restricted Subsidiary as an Unrestricted Subsidiary in accordance with this </w:t>
      </w:r>
      <w:r>
        <w:rPr>
          <w:rFonts w:ascii="Times New Roman" w:hAnsi="Times New Roman"/>
          <w:sz w:val="20"/>
          <w:u w:val="single"/>
        </w:rPr>
        <w:t>Section 5.09(d)</w:t>
      </w:r>
      <w:r>
        <w:rPr>
          <w:rFonts w:ascii="Times New Roman" w:hAnsi="Times New Roman"/>
          <w:sz w:val="20"/>
        </w:rPr>
        <w:t xml:space="preserve">, the Administrative Agent shall take any action requested by GEO that is necessary to release such Unrestricted Subsidiary and its assets from the Security Documents. Notwithstanding anything set forth in this Agreement to the contrary, (A) the Borrowers and the Restricted Subsidiaries shall not be permitted to contribute, dispose of or otherwise transfer legal title to, or license on an exclusive basis, any Material Intellectual Property to any Unrestricted Subsidiary, (B) GEO shall not be permitted to designate any Restricted Subsidiary that holds Material Intellectual Property as an Unrestricted Subsidiary and (C) in no event shall any Unrestricted Subsidiary own or exclusively license any Material Intellectual Property. </w:t>
      </w:r>
    </w:p>
    <w:p>
      <w:pPr>
        <w:pStyle w:val="TextBody"/>
        <w:bidi w:val="0"/>
        <w:spacing w:before="240" w:after="0"/>
        <w:jc w:val="left"/>
        <w:rPr>
          <w:rFonts w:ascii="Times New Roman" w:hAnsi="Times New Roman"/>
          <w:sz w:val="20"/>
        </w:rPr>
      </w:pPr>
      <w:r>
        <w:rPr>
          <w:rFonts w:ascii="Times New Roman" w:hAnsi="Times New Roman"/>
          <w:sz w:val="20"/>
        </w:rPr>
        <w:t xml:space="preserve">Section 5.10 </w:t>
      </w:r>
      <w:r>
        <w:rPr>
          <w:rFonts w:ascii="Times New Roman" w:hAnsi="Times New Roman"/>
          <w:sz w:val="20"/>
          <w:u w:val="single"/>
        </w:rPr>
        <w:t>Real Property Collateral Prior to Discharge of 2029 Senior Notes</w:t>
      </w:r>
      <w:r>
        <w:rPr>
          <w:rFonts w:ascii="Times New Roman" w:hAnsi="Times New Roman"/>
          <w:sz w:val="20"/>
        </w:rPr>
        <w:t xml:space="preserve">. (i) If, after the Effective Date but prior to the Discharge of 2029 Senior Notes, any Borrower or any Guarantor shall acquire any Material Real Property which has a net book value exceeding the Initial Material Real Property Threshold, (ii) if, after the Effective Date but prior to the Discharge of 2029 Senior Notes, any Borrower or any Guarantor shall make improvements upon any existing real property interest which is not already a Material Real Property subject to a Mortgage, resulting in such interest together with such improvements having a net book value exceeding the Initial Material Real Property Threshold, (iii) if, prior to the Discharge of 2029 Senior Notes, any existing real property interest which is not already a Material Real Property subject to a Mortgage shall otherwise have a net book value exceeding the Initial Material Real Property Threshold or (iv) if any existing real property interest which is not already a Material Real Property is designated in writing by the Borrowers as constituting a Material Real Property in order to satisfy the Initial Material Real Property Threshold, and, in each case, if the Administrative Agent elects to encumber such property, then, to the extent not previously delivered for such property: </w:t>
      </w:r>
    </w:p>
    <w:p>
      <w:pPr>
        <w:pStyle w:val="TextBody"/>
        <w:bidi w:val="0"/>
        <w:spacing w:before="120" w:after="0"/>
        <w:jc w:val="left"/>
        <w:rPr>
          <w:rFonts w:ascii="Times New Roman" w:hAnsi="Times New Roman"/>
          <w:sz w:val="20"/>
        </w:rPr>
      </w:pPr>
      <w:r>
        <w:rPr>
          <w:rFonts w:ascii="Times New Roman" w:hAnsi="Times New Roman"/>
          <w:sz w:val="20"/>
        </w:rPr>
        <w:t xml:space="preserve">(a) each Borrower will, and will cause each applicable Guarantor to, (x) no later than 10 Business Days prior to execution of a Mortgage encumbering any such Material Real Property not located in a Flood Zone, deliver a completed Federal Emergency Management Agency Standard Flood Hazard Determination from a third-party vendor with respect to such real property, (y) no later than 30 days prior to execution of a Mortgage encumbering any such Material Real Property any portion of which is located in a Flood Zone, furnish to Lenders (i) a written notice of the relevant Borrower or Guarantor’s intent to encumber such Material Real Property and that all or a portion of such Material Real Property is located in a Flood Zone and whether or not flood insurance coverage is available, (ii) a completed Federal Emergency Management Agency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Standard Flood Hazard Determination from a third-party vendor, and (iii) if required by the Flood Act, evidence of the required flood insurance as further described in </w:t>
      </w:r>
      <w:r>
        <w:rPr>
          <w:rFonts w:ascii="Times New Roman" w:hAnsi="Times New Roman"/>
          <w:sz w:val="20"/>
          <w:u w:val="single"/>
        </w:rPr>
        <w:t>clause (vi)</w:t>
      </w:r>
      <w:r>
        <w:rPr>
          <w:rFonts w:ascii="Times New Roman" w:hAnsi="Times New Roman"/>
          <w:sz w:val="20"/>
        </w:rPr>
        <w:t xml:space="preserve"> below; </w:t>
      </w:r>
      <w:r>
        <w:rPr>
          <w:rFonts w:ascii="Times New Roman" w:hAnsi="Times New Roman"/>
          <w:sz w:val="20"/>
          <w:u w:val="single"/>
        </w:rPr>
        <w:t>provided</w:t>
      </w:r>
      <w:r>
        <w:rPr>
          <w:rFonts w:ascii="Times New Roman" w:hAnsi="Times New Roman"/>
          <w:sz w:val="20"/>
        </w:rPr>
        <w:t xml:space="preserve"> that the applicable Borrower or the applicable Guarantor may enter into any such Mortgage prior to the notice period specified above if the Administrative Agent shall have received confirmation from each applicable Lender that such Lender has completed any necessary flood insurance due diligence to its reasonable satisfaction, and (z) no later than 120 days (or such longer period as the Administrative Agent may agree in its sole discretion) after such acquisition or designation, deliver to the Administrative Agent the following documents, all in form and substance substantially similar to what was previously delivered to the Administrative Agent (to the extent applicable); </w:t>
      </w:r>
      <w:r>
        <w:rPr>
          <w:rFonts w:ascii="Times New Roman" w:hAnsi="Times New Roman"/>
          <w:sz w:val="20"/>
          <w:u w:val="single"/>
        </w:rPr>
        <w:t>provided</w:t>
      </w:r>
      <w:r>
        <w:rPr>
          <w:rFonts w:ascii="Times New Roman" w:hAnsi="Times New Roman"/>
          <w:sz w:val="20"/>
        </w:rPr>
        <w:t xml:space="preserve"> that the Borrowers and the Guarantors shall not be required to deliver any of the following documents for any real property if doing so would result in fees and expenses (administrative or otherwise) that, in the Administrative Agent’s determination, would be materially disproportionate to the benefit obtained thereby: </w:t>
      </w:r>
    </w:p>
    <w:p>
      <w:pPr>
        <w:pStyle w:val="TextBody"/>
        <w:bidi w:val="0"/>
        <w:spacing w:before="120" w:after="0"/>
        <w:jc w:val="left"/>
        <w:rPr>
          <w:rFonts w:ascii="Times New Roman" w:hAnsi="Times New Roman"/>
          <w:sz w:val="20"/>
        </w:rPr>
      </w:pPr>
      <w:r>
        <w:rPr>
          <w:rFonts w:ascii="Times New Roman" w:hAnsi="Times New Roman"/>
          <w:sz w:val="20"/>
        </w:rPr>
        <w:t>(i) Mortgages in form and substance satisfactory to the Administrative Agent, duly executed (and, where appropriate in the applicable jurisdiction, acknowledged), and delivered by such Borrower or such Guarantor, as the case may be, in recordable form (in such number of copies as the Administrative Agent shall have requested) and, to the extent necessary with respect to any leasehold property to be subject to a Mortgage, use commercially reasonable efforts by GEO to obtain consents of the respective landlords with respect to such property and, to the extent necessary under applicable law, for filing in the appropriate county land office(s), UCC financing statements covering fixtures, in each case appropriately completed (the “</w:t>
      </w:r>
      <w:r>
        <w:rPr>
          <w:rFonts w:ascii="Times New Roman" w:hAnsi="Times New Roman"/>
          <w:sz w:val="20"/>
          <w:u w:val="single"/>
        </w:rPr>
        <w:t>Fixture Filings</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 Mortgage may be filed or recorded on any particular property until each Lender has received a completed Federal Emergency Management Agency Standard Flood Hazard Determination with respect to such property and, if applicable, customary evidence of any flood insurance required for such property satisfactory to the Administrative Agent and the Lenders; </w:t>
      </w:r>
    </w:p>
    <w:p>
      <w:pPr>
        <w:pStyle w:val="TextBody"/>
        <w:bidi w:val="0"/>
        <w:spacing w:before="120" w:after="0"/>
        <w:jc w:val="left"/>
        <w:rPr>
          <w:rFonts w:ascii="Times New Roman" w:hAnsi="Times New Roman"/>
          <w:sz w:val="20"/>
        </w:rPr>
      </w:pPr>
      <w:r>
        <w:rPr>
          <w:rFonts w:ascii="Times New Roman" w:hAnsi="Times New Roman"/>
          <w:sz w:val="20"/>
        </w:rPr>
        <w:t>(ii) one or more ALTA mortgagee policies of title insurance on forms of and issued by one or more title companies satisfactory to the Administrative Agent (the “</w:t>
      </w:r>
      <w:r>
        <w:rPr>
          <w:rFonts w:ascii="Times New Roman" w:hAnsi="Times New Roman"/>
          <w:sz w:val="20"/>
          <w:u w:val="single"/>
        </w:rPr>
        <w:t>Title Companies</w:t>
      </w:r>
      <w:r>
        <w:rPr>
          <w:rFonts w:ascii="Times New Roman" w:hAnsi="Times New Roman"/>
          <w:sz w:val="20"/>
        </w:rPr>
        <w:t xml:space="preserve">”), insuring the validity and priority of the Liens (in accordance of the terms of the Intercreditor Agreements) created under the Mortgages for and in amounts satisfactory to the Administrative Agent, subject only to such exceptions as are satisfactory to the Administrative Agent; each such title policy shall contain: (A) full coverage against mechanics’ liens (filed and inchoate) or such surety bonds or other additional collateral as may be satisfactory to the Administrative Agent in its sole discretion in lieu of such coverage, (B) a reference to the relevant survey with no survey exceptions except those theretofore approved by the Administrative Agent (such approval not to be unreasonably withheld or delayed) and (C) such affirmative insurance and endorsements as the Administrative Agent may reasonably require; </w:t>
      </w:r>
    </w:p>
    <w:p>
      <w:pPr>
        <w:pStyle w:val="TextBody"/>
        <w:bidi w:val="0"/>
        <w:spacing w:before="120" w:after="0"/>
        <w:jc w:val="left"/>
        <w:rPr>
          <w:rFonts w:ascii="Times New Roman" w:hAnsi="Times New Roman"/>
          <w:sz w:val="20"/>
        </w:rPr>
      </w:pPr>
      <w:r>
        <w:rPr>
          <w:rFonts w:ascii="Times New Roman" w:hAnsi="Times New Roman"/>
          <w:sz w:val="20"/>
        </w:rPr>
        <w:t xml:space="preserve">(iii) ALTA, or if not customary in such jurisdiction, as-built surveys of recent date of each of the Facilities to be covered by the Mortgages, showing such matters as may be required by the Administrative Agent, which surveys shall be in form and content acceptable to the Administrative Agent, and certified to the Administrative Agent and to each Lender and the Title Companies, and shall have been prepared by a registered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surveyor acceptable to the Administrative Agent or, with respect to existing surveys, an affidavit of an authorized signatory of the owner of such property stating that there have been no improvements or encroachments to the property since the date of the respective survey such that the existing survey is no longer accurate, in form acceptable to the Administrative Agent and the applicable Title Company in order to remove the standard survey exception; </w:t>
      </w:r>
    </w:p>
    <w:p>
      <w:pPr>
        <w:pStyle w:val="TextBody"/>
        <w:bidi w:val="0"/>
        <w:spacing w:before="120" w:after="0"/>
        <w:jc w:val="left"/>
        <w:rPr>
          <w:rFonts w:ascii="Times New Roman" w:hAnsi="Times New Roman"/>
          <w:sz w:val="20"/>
        </w:rPr>
      </w:pPr>
      <w:r>
        <w:rPr>
          <w:rFonts w:ascii="Times New Roman" w:hAnsi="Times New Roman"/>
          <w:sz w:val="20"/>
        </w:rPr>
        <w:t xml:space="preserve">(iv) certified copies of permanent and unconditional certificates of occupancy (or, if it is not the practice to issue certificates of occupancy in a jurisdiction in which the Facilities to be covered by the Mortgages are located, then such other evidence reasonably satisfactory to the Administrative Agent) permitting the fully functioning operation and occupancy of each such Facility and of such other permits necessary for the use and operation of each such Facility issued by the respective Governmental Authorities having jurisdiction over each such Facility; </w:t>
      </w:r>
    </w:p>
    <w:p>
      <w:pPr>
        <w:pStyle w:val="TextBody"/>
        <w:bidi w:val="0"/>
        <w:spacing w:before="120" w:after="0"/>
        <w:jc w:val="left"/>
        <w:rPr>
          <w:rFonts w:ascii="Times New Roman" w:hAnsi="Times New Roman"/>
          <w:sz w:val="20"/>
        </w:rPr>
      </w:pPr>
      <w:r>
        <w:rPr>
          <w:rFonts w:ascii="Times New Roman" w:hAnsi="Times New Roman"/>
          <w:sz w:val="20"/>
        </w:rPr>
        <w:t xml:space="preserve">(v) opinions of local counsel in the respective jurisdictions in which the properties covered by the Mortgages are located, regarding the enforceability of such Mortgages, and to the extent not covered in such local counsel opinions, opinions of the applicable Borrower’s or Guarantor’s counsel regarding the due authorization, execution and delivery of the Mortgages, in each case reasonably satisfactory in form and substance to the Administrative Agent (and each Borrower for itself and on behalf of each Guarantor hereby instructs such counsel to deliver such opinion(s) to the Lenders and the Administrative Agent); </w:t>
      </w:r>
    </w:p>
    <w:p>
      <w:pPr>
        <w:pStyle w:val="TextBody"/>
        <w:bidi w:val="0"/>
        <w:spacing w:before="120" w:after="0"/>
        <w:jc w:val="left"/>
        <w:rPr>
          <w:rFonts w:ascii="Times New Roman" w:hAnsi="Times New Roman"/>
          <w:sz w:val="20"/>
        </w:rPr>
      </w:pPr>
      <w:r>
        <w:rPr>
          <w:rFonts w:ascii="Times New Roman" w:hAnsi="Times New Roman"/>
          <w:sz w:val="20"/>
        </w:rPr>
        <w:t xml:space="preserve">(vi) each of (x) a completed Federal Emergency Management Agency Standard Flood Hazard Determination with respect to each property covered by a Mortgage and (y) if applicable, customary evidence of any insurance for such Material Real Property required by the final sentence of </w:t>
      </w:r>
      <w:r>
        <w:rPr>
          <w:rFonts w:ascii="Times New Roman" w:hAnsi="Times New Roman"/>
          <w:sz w:val="20"/>
          <w:u w:val="single"/>
        </w:rPr>
        <w:t>Section 5.05</w:t>
      </w:r>
      <w:r>
        <w:rPr>
          <w:rFonts w:ascii="Times New Roman" w:hAnsi="Times New Roman"/>
          <w:sz w:val="20"/>
        </w:rPr>
        <w:t xml:space="preserve">; and </w:t>
      </w:r>
    </w:p>
    <w:p>
      <w:pPr>
        <w:pStyle w:val="TextBody"/>
        <w:bidi w:val="0"/>
        <w:spacing w:before="120" w:after="0"/>
        <w:jc w:val="left"/>
        <w:rPr>
          <w:rFonts w:ascii="Times New Roman" w:hAnsi="Times New Roman"/>
          <w:sz w:val="20"/>
        </w:rPr>
      </w:pPr>
      <w:r>
        <w:rPr>
          <w:rFonts w:ascii="Times New Roman" w:hAnsi="Times New Roman"/>
          <w:sz w:val="20"/>
        </w:rPr>
        <w:t xml:space="preserve">(vii) such affidavits, certificates, information (including financial data) and instruments of indemnification (including a so-called “gap” indemnification) as shall be required to induce the Title Companies to issue the title policies and endorsements contemplated above; </w:t>
      </w:r>
    </w:p>
    <w:p>
      <w:pPr>
        <w:pStyle w:val="TextBody"/>
        <w:bidi w:val="0"/>
        <w:spacing w:before="240" w:after="0"/>
        <w:jc w:val="left"/>
        <w:rPr>
          <w:rFonts w:ascii="Times New Roman" w:hAnsi="Times New Roman"/>
          <w:sz w:val="20"/>
        </w:rPr>
      </w:pPr>
      <w:r>
        <w:rPr>
          <w:rFonts w:ascii="Times New Roman" w:hAnsi="Times New Roman"/>
          <w:sz w:val="20"/>
        </w:rPr>
        <w:t xml:space="preserve">(b) GEO shall have paid or caused to be paid to the Title Companies (i) all expenses and premiums of the Title Companies in connection with the issuance of such policies and (ii) an amount equal to the recording, mortgage, intangibles, transfer and stamp taxes payable in connection with recording the Mortgages and the Fixture Filings in the appropriate county land office(s); and </w:t>
      </w:r>
    </w:p>
    <w:p>
      <w:pPr>
        <w:pStyle w:val="TextBody"/>
        <w:bidi w:val="0"/>
        <w:spacing w:before="240" w:after="0"/>
        <w:jc w:val="left"/>
        <w:rPr>
          <w:rFonts w:ascii="Times New Roman" w:hAnsi="Times New Roman"/>
          <w:sz w:val="20"/>
        </w:rPr>
      </w:pPr>
      <w:r>
        <w:rPr>
          <w:rFonts w:ascii="Times New Roman" w:hAnsi="Times New Roman"/>
          <w:sz w:val="20"/>
        </w:rPr>
        <w:t xml:space="preserve">(c) promptly after the acquisition, GEO shall diligently pursue and use all reasonable efforts to obtain landlord consents, estoppel letters or consents and waivers, in form and substance reasonably acceptable to the Administrative Agent, in respect of collateral held on leased premises.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5.11 </w:t>
      </w:r>
      <w:r>
        <w:rPr>
          <w:rFonts w:ascii="Times New Roman" w:hAnsi="Times New Roman"/>
          <w:sz w:val="20"/>
          <w:u w:val="single"/>
        </w:rPr>
        <w:t>Further Assurances; Certain Real Estate Deliverables Upon a Springing Mortgage Trigger Event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Further Assurances</w:t>
      </w:r>
      <w:r>
        <w:rPr>
          <w:rFonts w:ascii="Times New Roman" w:hAnsi="Times New Roman"/>
          <w:sz w:val="20"/>
        </w:rPr>
        <w:t xml:space="preserve">. Each Borrower will, and will cause each of the Restricted Subsidiaries to, take such action from time to time as shall reasonably be requested by the Administrative Agent to effectuate the purposes and objectives of this Agreement and the Security Documents. Without limiting the generality of the foregoing, each Borrower will, and will cause each of its Restricted Subsidiaries to, take such action from time to time (including filing appropriate UCC financing statements and executing and delivering such assignments, security agreements, account control agreements and other instruments) as shall be reasonably requested by the Administrative Agent to create, in favor of the Administrative Agent for the benefit of the Secured Parties, perfected security interests and Liens in substantially all of the personal property (and to the extent required by this Agreement, such Material Real Property) of the Borrowers and the Guarantors (other than, in each case, Excluded Property) as collateral security for obligations of the Loan Parties under the Loan Documents as and to the extent provided in the Security Documents and the Intercreditor Agreements.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Certain Real Estate Deliverables Upon a Springing Mortgage Trigger Event</w:t>
      </w:r>
      <w:r>
        <w:rPr>
          <w:rFonts w:ascii="Times New Roman" w:hAnsi="Times New Roman"/>
          <w:sz w:val="20"/>
        </w:rPr>
        <w:t xml:space="preserve">. Each Borrower will and will cause each applicable Guarantor to, upon the written instruction from the Administrative Agent acting at the written direction of the Supermajority Required Lenders, no later than 120 days (or such longer period as the Administrative Agent may agree in its sole discretion) after the date on which a Springing Mortgage Trigger Event occurs, deliver to the Administrative Agent with respect to each Material Real Property: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Opinion(s) of Local Counsel</w:t>
      </w:r>
      <w:r>
        <w:rPr>
          <w:rFonts w:ascii="Times New Roman" w:hAnsi="Times New Roman"/>
          <w:sz w:val="20"/>
        </w:rPr>
        <w:t xml:space="preserve">. Opinions of local counsel in the respective jurisdictions in which the properties covered by the Mortgages are located, regarding the enforceability of such Mortgages, and to the extent not covered in such local counsel opinions, opinions of the applicable Borrower’s or Guarantor’s counsel regarding the due authorization, execution and delivery of the Mortgages, in each case reasonably satisfactory in form and substance to the Administrative Agent (and each Borrower for itself and on behalf of each Guarantor hereby instructs such counsel to deliver such opinion(s) to the Lenders and the Administrative Agent).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Mortgages and Title Insurance</w:t>
      </w:r>
      <w:r>
        <w:rPr>
          <w:rFonts w:ascii="Times New Roman" w:hAnsi="Times New Roman"/>
          <w:sz w:val="20"/>
        </w:rPr>
        <w:t xml:space="preserve">. The following documents, each of which shall be executed (and, where appropriate, acknowledged) by Persons satisfactory to the Administrative Agent; </w:t>
      </w:r>
      <w:r>
        <w:rPr>
          <w:rFonts w:ascii="Times New Roman" w:hAnsi="Times New Roman"/>
          <w:sz w:val="20"/>
          <w:u w:val="single"/>
        </w:rPr>
        <w:t>provided</w:t>
      </w:r>
      <w:r>
        <w:rPr>
          <w:rFonts w:ascii="Times New Roman" w:hAnsi="Times New Roman"/>
          <w:sz w:val="20"/>
        </w:rPr>
        <w:t xml:space="preserve"> that GEO shall not be required to deliver the following documents for any property that is a Material Real Property if doing so would result in costs (administrative or otherwise) that, in the determination of the Administrative Agent in its sole discretion, would be materially disproportionate to the benefit obtained thereby: </w:t>
      </w:r>
    </w:p>
    <w:p>
      <w:pPr>
        <w:pStyle w:val="TextBody"/>
        <w:bidi w:val="0"/>
        <w:spacing w:before="120" w:after="0"/>
        <w:jc w:val="left"/>
        <w:rPr>
          <w:rFonts w:ascii="Times New Roman" w:hAnsi="Times New Roman"/>
          <w:sz w:val="20"/>
        </w:rPr>
      </w:pPr>
      <w:r>
        <w:rPr>
          <w:rFonts w:ascii="Times New Roman" w:hAnsi="Times New Roman"/>
          <w:sz w:val="20"/>
        </w:rPr>
        <w:t xml:space="preserve">(A) For all Material Real Property, Mortgages in form and substance reasonably satisfactory to the Administrative Agent, duly executed (and, where appropriate in the applicable jurisdiction, acknowledged) and delivered by such Borrower or such Guarantor, as the case may be, in recordable form (in such number of copies as the Administrative Agent shall have requested) and, to the extent necessary with respect to any leasehold property to be subject to a Mortgage, use commercially reasonable efforts by GEO to obtain consents of the respective landlords with respect to such property and, to the extent necessary under applicable law, for filing in the appropriate county land office(s), Fixture Filings;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provided however, that no Mortgage may be filed or recorded on any particular property until each Lender has received a completed Federal Emergency Management Agency Standard Flood Hazard Determination with respect to such property and, if applicable, customary evidence of any flood insurance required for such property satisfactory to the Administrative Agent and the Lenders;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one or more ALTA mortgagee policies of title insurance on forms of and issued by the Title Companies, insuring the validity and first lien priority of the Liens created under such Mortgages (as they may be amended) for and in amounts satisfactory to the Administrative Agent, subject only to such exceptions as are satisfactory to the Administrative Agent and to the terms of the Intercreditor Agreements; each such title policy shall contain: (A) full coverage against mechanics’ liens (filed and inchoate) or such surety bonds or other additional collateral as may be satisfactory to the Administrative Agent in its sole discretion in lieu of such coverage, (B) a reference to the relevant survey with no survey exceptions except those theretofore approved by the Administrative Agent (such approval not to be unreasonably withheld or delayed) and (C) such affirmative insurance and endorsements as the Administrative Agent may reasonably require; </w:t>
      </w:r>
    </w:p>
    <w:p>
      <w:pPr>
        <w:pStyle w:val="TextBody"/>
        <w:bidi w:val="0"/>
        <w:spacing w:before="120" w:after="0"/>
        <w:jc w:val="left"/>
        <w:rPr>
          <w:rFonts w:ascii="Times New Roman" w:hAnsi="Times New Roman"/>
          <w:sz w:val="20"/>
        </w:rPr>
      </w:pPr>
      <w:r>
        <w:rPr>
          <w:rFonts w:ascii="Times New Roman" w:hAnsi="Times New Roman"/>
          <w:sz w:val="20"/>
        </w:rPr>
        <w:t xml:space="preserve">(C) ALTA, or if not customary in such jurisdiction, as-built surveys of recent date of each of the Facilities to be covered by the Mortgages, showing such matters as may be required by the Administrative Agent, which surveys shall be in form and content acceptable to the Administrative Agent, and certified to the Administrative Agent and to each Lender and the Title Companies, and shall have been prepared by a registered surveyor acceptable to the Administrative Agent or, with respect to existing surveys, an affidavit of an authorized signatory of the owner of such property stating that there have been no improvements or encroachments to the property since the date of the respective survey such that the existing survey is no longer accurate, in form acceptable to the Administrative Agent and the applicable Title Company in order to remove the standard survey exception; </w:t>
      </w:r>
    </w:p>
    <w:p>
      <w:pPr>
        <w:pStyle w:val="TextBody"/>
        <w:bidi w:val="0"/>
        <w:spacing w:before="120" w:after="0"/>
        <w:jc w:val="left"/>
        <w:rPr>
          <w:rFonts w:ascii="Times New Roman" w:hAnsi="Times New Roman"/>
          <w:sz w:val="20"/>
        </w:rPr>
      </w:pPr>
      <w:r>
        <w:rPr>
          <w:rFonts w:ascii="Times New Roman" w:hAnsi="Times New Roman"/>
          <w:sz w:val="20"/>
        </w:rPr>
        <w:t xml:space="preserve">(D) such affidavits, certificates, information (including financial data) and instruments of indemnification (including a so-called “gap” indemnification) as shall be required to induce the Title Companies to issue the title policies and endorsements contemplated above; and </w:t>
      </w:r>
    </w:p>
    <w:p>
      <w:pPr>
        <w:pStyle w:val="TextBody"/>
        <w:bidi w:val="0"/>
        <w:spacing w:before="120" w:after="0"/>
        <w:jc w:val="left"/>
        <w:rPr>
          <w:rFonts w:ascii="Times New Roman" w:hAnsi="Times New Roman"/>
          <w:sz w:val="20"/>
        </w:rPr>
      </w:pPr>
      <w:r>
        <w:rPr>
          <w:rFonts w:ascii="Times New Roman" w:hAnsi="Times New Roman"/>
          <w:sz w:val="20"/>
        </w:rPr>
        <w:t xml:space="preserve">(E) such other certificates, documents and information as are reasonably requested by the Administrative Agent or the Lenders, including, without limitation, engineering and structural reports, permanent certificates of occupancy and evidence of zoning compliance, each in form and substance reasonably satisfactory to the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In addition, GEO shall have paid to the Title Companies (i) all expenses and premiums of the Title Companies in connection with the issuance of such policies and (ii) an amount equal to the recording, mortgage, intangibles, transfer and stamp taxes payable in connection with recording the Mortgages, any amendments to the Mortgages and the Fixture Filings in the appropriate county land office(s).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Deliverables for Increases of the Revolving Credit Commitments, Incremental Term Loans, Etc</w:t>
      </w:r>
      <w:r>
        <w:rPr>
          <w:rFonts w:ascii="Times New Roman" w:hAnsi="Times New Roman"/>
          <w:sz w:val="20"/>
        </w:rPr>
        <w:t xml:space="preserve">. GEO will and will cause each Restricted Subsidiary to, (x) if at such time (A) any improved real property of GEO and its Restricted Subsidiaries subject to a Mortgage is located (in whole or in part) in a Flood Zone, no later than 30 days, or (B) no improved real property of GEO and its Restricted Subsidiaries subject to a Mortgage is located (in whole or in part) in a Flood Zone, no later than 10 Business Days, in each case prior to the effectiveness of any Revolving Credit Commitment Increase, any Incremental Term Loan, any extension of any Term Loan Maturity Date or the Revolving Credit Commitment Termination Date, or any transaction contemplated by </w:t>
      </w:r>
      <w:r>
        <w:rPr>
          <w:rFonts w:ascii="Times New Roman" w:hAnsi="Times New Roman"/>
          <w:sz w:val="20"/>
          <w:u w:val="single"/>
        </w:rPr>
        <w:t>Section 9.02(c)</w:t>
      </w:r>
      <w:r>
        <w:rPr>
          <w:rFonts w:ascii="Times New Roman" w:hAnsi="Times New Roman"/>
          <w:sz w:val="20"/>
        </w:rPr>
        <w:t>, furnish to the Lenders a written notice indicating generically that a transaction of the type described hereinabove is under consideration and listing each real property of GEO and its Restricted Subsidiaries then subject to a Mortgage and indicating which (if any) of such properties are located (in whole or in part) in a Flood Zone and, for each such Flood Zone property, whether or not such property is improved, and (y) no later than 90 days (or such longer period as the Administrative Agent may agree in its sole discretion) after any Revolving Credit Commitment Increase and Incremental Term Loan, deliver to the Administrative Agent such amendments to Mortgages (each, a “</w:t>
      </w:r>
      <w:r>
        <w:rPr>
          <w:rFonts w:ascii="Times New Roman" w:hAnsi="Times New Roman"/>
          <w:sz w:val="20"/>
          <w:u w:val="single"/>
        </w:rPr>
        <w:t>Mortgage Amendment</w:t>
      </w:r>
      <w:r>
        <w:rPr>
          <w:rFonts w:ascii="Times New Roman" w:hAnsi="Times New Roman"/>
          <w:sz w:val="20"/>
        </w:rPr>
        <w:t xml:space="preserve">”), title insurance and opinions of counsel as reasonably requested by the Administrative Agent in connection with such Revolving Credit Commitment Increase and Incremental Term Loan;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notwithstanding anything herein or in any of the Loan Documents to the contrary, the Administrative Agent may waive the requirement for any Borrower or any Restricted Subsidiary to obtain new mortgagee title insurance policies, or to obtain date-down endorsements to previously issued mortgagee title insurance policies, and opinions of counsel in connection with the Mortgage Amendments entered into from time to time, which waiver may be made in Administrative Agent’s sole discretion for any reason (including but not limited to, in the event that (x) the applicable title insurance regulations for the State (including, but not limited to, Texas, New Mexico and New Jersey) in which the related real property is located do not provide for the issuance of the requested endorsement such that a new mortgagee title insurance policy would otherwise be required (or premium charges substantially equivalent thereto would be incurred by any Borrower or any Restricted Subsidiary in connection with any endorsement); </w:t>
      </w:r>
      <w:r>
        <w:rPr>
          <w:rFonts w:ascii="Times New Roman" w:hAnsi="Times New Roman"/>
          <w:sz w:val="20"/>
          <w:u w:val="single"/>
        </w:rPr>
        <w:t>provided</w:t>
      </w:r>
      <w:r>
        <w:rPr>
          <w:rFonts w:ascii="Times New Roman" w:hAnsi="Times New Roman"/>
          <w:sz w:val="20"/>
        </w:rPr>
        <w:t xml:space="preserve"> that, in such event, any Borrower or Restricted Subsidiary shall endeavor to obtain an endorsement, if available, to such previously issued mortgagee title insurance policies that insures that the title insurance coverage provided by the original mortgagee title insurance policy is not affected by the recording of any Mortgage Amendment, provided the cost for such endorsement is nominal or (y) the relevant property subject to a Mortgage does not qualify as a Material Real Property). </w:t>
      </w:r>
    </w:p>
    <w:p>
      <w:pPr>
        <w:pStyle w:val="TextBody"/>
        <w:bidi w:val="0"/>
        <w:spacing w:before="240" w:after="0"/>
        <w:jc w:val="left"/>
        <w:rPr>
          <w:rFonts w:ascii="Times New Roman" w:hAnsi="Times New Roman"/>
          <w:sz w:val="20"/>
        </w:rPr>
      </w:pPr>
      <w:r>
        <w:rPr>
          <w:rFonts w:ascii="Times New Roman" w:hAnsi="Times New Roman"/>
          <w:sz w:val="20"/>
        </w:rPr>
        <w:t xml:space="preserve">Section 5.12 </w:t>
      </w:r>
      <w:r>
        <w:rPr>
          <w:rFonts w:ascii="Times New Roman" w:hAnsi="Times New Roman"/>
          <w:sz w:val="20"/>
          <w:u w:val="single"/>
        </w:rPr>
        <w:t>Fiscal Year</w:t>
      </w:r>
      <w:r>
        <w:rPr>
          <w:rFonts w:ascii="Times New Roman" w:hAnsi="Times New Roman"/>
          <w:sz w:val="20"/>
        </w:rPr>
        <w:t xml:space="preserve">. GEO will not change its fiscal year from the calendar year. </w:t>
      </w:r>
    </w:p>
    <w:p>
      <w:pPr>
        <w:pStyle w:val="TextBody"/>
        <w:bidi w:val="0"/>
        <w:spacing w:before="240" w:after="0"/>
        <w:jc w:val="left"/>
        <w:rPr>
          <w:rFonts w:ascii="Times New Roman" w:hAnsi="Times New Roman"/>
          <w:sz w:val="20"/>
        </w:rPr>
      </w:pPr>
      <w:r>
        <w:rPr>
          <w:rFonts w:ascii="Times New Roman" w:hAnsi="Times New Roman"/>
          <w:sz w:val="20"/>
        </w:rPr>
        <w:t xml:space="preserve">Section 5.13 </w:t>
      </w:r>
      <w:r>
        <w:rPr>
          <w:rFonts w:ascii="Times New Roman" w:hAnsi="Times New Roman"/>
          <w:sz w:val="20"/>
          <w:u w:val="single"/>
        </w:rPr>
        <w:t>Maintenance of Ratings</w:t>
      </w:r>
      <w:r>
        <w:rPr>
          <w:rFonts w:ascii="Times New Roman" w:hAnsi="Times New Roman"/>
          <w:sz w:val="20"/>
        </w:rPr>
        <w:t xml:space="preserve">. GEO shall use commercially reasonable efforts to maintain (x) public ratings for the Term Loans, if any, Incremental Term Loans, if any, and the Refinancing Term Loans, if any, from at least two of S&amp;P, Moody’s, Fitch and any other credit ratings agency acceptable to the Administrative Agent, and (y) a public corporate credit rating and a public corporate family rating in respect of GEO from at least two of S&amp;P, Moody’s, Fitch or any other credit ratings agency acceptable to the Administrative Agent, respectively; provided that in no event shall GEO be required to maintain any specific ratings levels.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5.14 </w:t>
      </w:r>
      <w:r>
        <w:rPr>
          <w:rFonts w:ascii="Times New Roman" w:hAnsi="Times New Roman"/>
          <w:sz w:val="20"/>
          <w:u w:val="single"/>
        </w:rPr>
        <w:t>Post-Closing Matters</w:t>
      </w:r>
      <w:r>
        <w:rPr>
          <w:rFonts w:ascii="Times New Roman" w:hAnsi="Times New Roman"/>
          <w:sz w:val="20"/>
        </w:rPr>
        <w:t xml:space="preserve">. Notwithstanding anything to the contrary contained in this Agreement or the other Loan Documents, the parties hereto acknowledge and agree that within the time periods set forth in </w:t>
      </w:r>
      <w:r>
        <w:rPr>
          <w:rFonts w:ascii="Times New Roman" w:hAnsi="Times New Roman"/>
          <w:sz w:val="20"/>
          <w:u w:val="single"/>
        </w:rPr>
        <w:t>Schedule 5.14</w:t>
      </w:r>
      <w:r>
        <w:rPr>
          <w:rFonts w:ascii="Times New Roman" w:hAnsi="Times New Roman"/>
          <w:sz w:val="20"/>
        </w:rPr>
        <w:t xml:space="preserve"> or within such longer period or periods that the Administrative Agent in its sole discretion may permit in writing, the Borrowers and the Restricted Subsidiaries shall deliver to the Administrative Agent the documents, and perform the actions, set forth in </w:t>
      </w:r>
      <w:r>
        <w:rPr>
          <w:rFonts w:ascii="Times New Roman" w:hAnsi="Times New Roman"/>
          <w:sz w:val="20"/>
          <w:u w:val="single"/>
        </w:rPr>
        <w:t>Schedule 5.14</w:t>
      </w:r>
      <w:r>
        <w:rPr>
          <w:rFonts w:ascii="Times New Roman" w:hAnsi="Times New Roman"/>
          <w:sz w:val="20"/>
        </w:rPr>
        <w:t xml:space="preserve">. </w:t>
      </w:r>
    </w:p>
    <w:p>
      <w:pPr>
        <w:pStyle w:val="TextBody"/>
        <w:bidi w:val="0"/>
        <w:spacing w:before="480" w:after="0"/>
        <w:jc w:val="center"/>
        <w:rPr>
          <w:rFonts w:ascii="Times New Roman" w:hAnsi="Times New Roman"/>
          <w:sz w:val="20"/>
        </w:rPr>
      </w:pPr>
      <w:r>
        <w:rPr>
          <w:rFonts w:ascii="Times New Roman" w:hAnsi="Times New Roman"/>
          <w:sz w:val="20"/>
        </w:rPr>
        <w:t xml:space="preserve">ARTICLE VI </w:t>
      </w:r>
    </w:p>
    <w:p>
      <w:pPr>
        <w:pStyle w:val="TextBody"/>
        <w:bidi w:val="0"/>
        <w:spacing w:before="120" w:after="0"/>
        <w:jc w:val="center"/>
        <w:rPr>
          <w:rFonts w:ascii="Times New Roman" w:hAnsi="Times New Roman"/>
          <w:sz w:val="20"/>
        </w:rPr>
      </w:pPr>
      <w:r>
        <w:rPr>
          <w:rFonts w:ascii="Times New Roman" w:hAnsi="Times New Roman"/>
          <w:sz w:val="20"/>
        </w:rPr>
        <w:t xml:space="preserve">NEGATIVE COVENANTS </w:t>
      </w:r>
    </w:p>
    <w:p>
      <w:pPr>
        <w:pStyle w:val="TextBody"/>
        <w:bidi w:val="0"/>
        <w:spacing w:before="240" w:after="0"/>
        <w:jc w:val="left"/>
        <w:rPr>
          <w:rFonts w:ascii="Times New Roman" w:hAnsi="Times New Roman"/>
          <w:sz w:val="20"/>
        </w:rPr>
      </w:pPr>
      <w:r>
        <w:rPr>
          <w:rFonts w:ascii="Times New Roman" w:hAnsi="Times New Roman"/>
          <w:sz w:val="20"/>
        </w:rPr>
        <w:t xml:space="preserve">Until the Commitments have expired or been terminated and the principal of and interest on each Loan and all fees payable hereunder have been paid in full, and all Letters of Credit have expired or been terminated and all LC Disbursements shall have been reimbursed, each Borrower covenants and agrees with the Lenders that: </w:t>
      </w:r>
    </w:p>
    <w:p>
      <w:pPr>
        <w:pStyle w:val="TextBody"/>
        <w:bidi w:val="0"/>
        <w:spacing w:before="120" w:after="0"/>
        <w:jc w:val="left"/>
        <w:rPr>
          <w:rFonts w:ascii="Times New Roman" w:hAnsi="Times New Roman"/>
          <w:sz w:val="20"/>
        </w:rPr>
      </w:pPr>
      <w:r>
        <w:rPr>
          <w:rFonts w:ascii="Times New Roman" w:hAnsi="Times New Roman"/>
          <w:sz w:val="20"/>
        </w:rPr>
        <w:t xml:space="preserve">Section 6.01 </w:t>
      </w:r>
      <w:r>
        <w:rPr>
          <w:rFonts w:ascii="Times New Roman" w:hAnsi="Times New Roman"/>
          <w:sz w:val="20"/>
          <w:u w:val="single"/>
        </w:rPr>
        <w:t>Indebtedness</w:t>
      </w:r>
      <w:r>
        <w:rPr>
          <w:rFonts w:ascii="Times New Roman" w:hAnsi="Times New Roman"/>
          <w:sz w:val="20"/>
        </w:rPr>
        <w:t xml:space="preserve">. No Borrower will, nor will it permit any of its Restricted Subsidiaries to, create, incur, assume or permit to exist any Indebtedness, except: </w:t>
      </w:r>
    </w:p>
    <w:p>
      <w:pPr>
        <w:pStyle w:val="TextBody"/>
        <w:bidi w:val="0"/>
        <w:spacing w:before="120" w:after="0"/>
        <w:jc w:val="left"/>
        <w:rPr>
          <w:rFonts w:ascii="Times New Roman" w:hAnsi="Times New Roman"/>
          <w:sz w:val="20"/>
        </w:rPr>
      </w:pPr>
      <w:r>
        <w:rPr>
          <w:rFonts w:ascii="Times New Roman" w:hAnsi="Times New Roman"/>
          <w:sz w:val="20"/>
        </w:rPr>
        <w:t xml:space="preserve">(a) Indebtedness created under the Loan Documents; </w:t>
      </w:r>
    </w:p>
    <w:p>
      <w:pPr>
        <w:pStyle w:val="TextBody"/>
        <w:bidi w:val="0"/>
        <w:spacing w:before="240" w:after="0"/>
        <w:jc w:val="left"/>
        <w:rPr>
          <w:rFonts w:ascii="Times New Roman" w:hAnsi="Times New Roman"/>
          <w:sz w:val="20"/>
        </w:rPr>
      </w:pPr>
      <w:r>
        <w:rPr>
          <w:rFonts w:ascii="Times New Roman" w:hAnsi="Times New Roman"/>
          <w:sz w:val="20"/>
        </w:rPr>
        <w:t xml:space="preserve">(b) Indebtedness existing on the Effective Date and set forth in </w:t>
      </w:r>
      <w:r>
        <w:rPr>
          <w:rFonts w:ascii="Times New Roman" w:hAnsi="Times New Roman"/>
          <w:sz w:val="20"/>
          <w:u w:val="single"/>
        </w:rPr>
        <w:t>Part A of Schedule 3.14</w:t>
      </w:r>
      <w:r>
        <w:rPr>
          <w:rFonts w:ascii="Times New Roman" w:hAnsi="Times New Roman"/>
          <w:sz w:val="20"/>
        </w:rPr>
        <w:t xml:space="preserve"> of the Disclosure Supplement (or, to the extent not meeting the minimum thresholds for required listing on said </w:t>
      </w:r>
      <w:r>
        <w:rPr>
          <w:rFonts w:ascii="Times New Roman" w:hAnsi="Times New Roman"/>
          <w:sz w:val="20"/>
          <w:u w:val="single"/>
        </w:rPr>
        <w:t>Schedule 3.14</w:t>
      </w:r>
      <w:r>
        <w:rPr>
          <w:rFonts w:ascii="Times New Roman" w:hAnsi="Times New Roman"/>
          <w:sz w:val="20"/>
        </w:rPr>
        <w:t xml:space="preserve"> pursuant to </w:t>
      </w:r>
      <w:r>
        <w:rPr>
          <w:rFonts w:ascii="Times New Roman" w:hAnsi="Times New Roman"/>
          <w:sz w:val="20"/>
          <w:u w:val="single"/>
        </w:rPr>
        <w:t>Section 3.14</w:t>
      </w:r>
      <w:r>
        <w:rPr>
          <w:rFonts w:ascii="Times New Roman" w:hAnsi="Times New Roman"/>
          <w:sz w:val="20"/>
        </w:rPr>
        <w:t xml:space="preserve">, in an aggregate amount not exceeding $10,000,000) and extensions, renewals, refinancings and replacements of all or any part of any such Indebtedness that do not result in an increase of the outstanding principal amount thereof by more than the amount required to pay any penalty, premium, accrued and unpaid interest, and transaction fees and expenses incurred in connection with such extension, renewal, refinancing or replacement; </w:t>
      </w:r>
    </w:p>
    <w:p>
      <w:pPr>
        <w:pStyle w:val="TextBody"/>
        <w:bidi w:val="0"/>
        <w:spacing w:before="240" w:after="0"/>
        <w:jc w:val="left"/>
        <w:rPr>
          <w:rFonts w:ascii="Times New Roman" w:hAnsi="Times New Roman"/>
          <w:sz w:val="20"/>
        </w:rPr>
      </w:pPr>
      <w:r>
        <w:rPr>
          <w:rFonts w:ascii="Times New Roman" w:hAnsi="Times New Roman"/>
          <w:sz w:val="20"/>
        </w:rPr>
        <w:t xml:space="preserve">(c) Guarantees by GEO and its Restricted Subsidiaries of Indebtedness of GEO and its Restricted Subsidiaries permitted by this </w:t>
      </w:r>
      <w:r>
        <w:rPr>
          <w:rFonts w:ascii="Times New Roman" w:hAnsi="Times New Roman"/>
          <w:sz w:val="20"/>
          <w:u w:val="single"/>
        </w:rPr>
        <w:t>Section 6.01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Guarantees permitted by </w:t>
      </w:r>
      <w:r>
        <w:rPr>
          <w:rFonts w:ascii="Times New Roman" w:hAnsi="Times New Roman"/>
          <w:sz w:val="20"/>
          <w:u w:val="single"/>
        </w:rPr>
        <w:t>Section 6.04</w:t>
      </w:r>
      <w:r>
        <w:rPr>
          <w:rFonts w:ascii="Times New Roman" w:hAnsi="Times New Roman"/>
          <w:sz w:val="20"/>
        </w:rPr>
        <w:t xml:space="preserve"> (other than </w:t>
      </w:r>
      <w:r>
        <w:rPr>
          <w:rFonts w:ascii="Times New Roman" w:hAnsi="Times New Roman"/>
          <w:sz w:val="20"/>
          <w:u w:val="single"/>
        </w:rPr>
        <w:t>Section 6.04(h)</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(x) Guarantees by GEO and its Restricted Subsidiaries of Unrestricted Subsidiary Debt; </w:t>
      </w:r>
      <w:r>
        <w:rPr>
          <w:rFonts w:ascii="Times New Roman" w:hAnsi="Times New Roman"/>
          <w:sz w:val="20"/>
          <w:u w:val="single"/>
        </w:rPr>
        <w:t>provided</w:t>
      </w:r>
      <w:r>
        <w:rPr>
          <w:rFonts w:ascii="Times New Roman" w:hAnsi="Times New Roman"/>
          <w:sz w:val="20"/>
        </w:rPr>
        <w:t xml:space="preserve"> that the aggregate principal amount of such Guarantees (other than the assignment of rights under any Government Contract by GEO or any of its Restricted Subsidiaries to secure Unrestricted Subsidiary Debt related to such Government Contract) of Unrestricted Subsidiary Debt shall not exceed $125,000,000 at any time outstanding; and (y) the assignment by GEO or any of its Restricted Subsidiaries of rights under Immaterial Government Contracts pertaining to a Facility or Facilities owned by any Unrestricted Subsidiary to secure related Indebtedness of such Unrestricted Subsidiary; </w:t>
      </w:r>
    </w:p>
    <w:p>
      <w:pPr>
        <w:pStyle w:val="TextBody"/>
        <w:bidi w:val="0"/>
        <w:spacing w:before="240" w:after="0"/>
        <w:jc w:val="left"/>
        <w:rPr>
          <w:rFonts w:ascii="Times New Roman" w:hAnsi="Times New Roman"/>
          <w:sz w:val="20"/>
        </w:rPr>
      </w:pPr>
      <w:r>
        <w:rPr>
          <w:rFonts w:ascii="Times New Roman" w:hAnsi="Times New Roman"/>
          <w:sz w:val="20"/>
        </w:rPr>
        <w:t xml:space="preserve">(f) Indebtedness of GEO or any Restricted Subsidiary incurred to finance the acquisition, construction or improvement of any assets, including Capital Leases and any Indebtedness assumed in connection with the acquisition of any assets or secured by a Lien on any assets prior to the acquisition thereof and Guarantees by GEO or any Restricted Subsidiary of any such Indebtedness, and extensions, renewals and replacements of any such Indebtedness and Guarantees that do not increase the outstanding principal amount thereof; </w:t>
      </w:r>
      <w:r>
        <w:rPr>
          <w:rFonts w:ascii="Times New Roman" w:hAnsi="Times New Roman"/>
          <w:sz w:val="20"/>
          <w:u w:val="single"/>
        </w:rPr>
        <w:t>provided</w:t>
      </w:r>
      <w:r>
        <w:rPr>
          <w:rFonts w:ascii="Times New Roman" w:hAnsi="Times New Roman"/>
          <w:sz w:val="20"/>
        </w:rPr>
        <w:t xml:space="preserve"> that (i) such Indebtedness is incurred prior to or within 90 days after such acquisition or the completion of such construction or improvement and (ii) the aggregate principal amount of all Indebtedness permitted by this </w:t>
      </w:r>
      <w:r>
        <w:rPr>
          <w:rFonts w:ascii="Times New Roman" w:hAnsi="Times New Roman"/>
          <w:sz w:val="20"/>
          <w:u w:val="single"/>
        </w:rPr>
        <w:t>Section 6.01(f)</w:t>
      </w:r>
      <w:r>
        <w:rPr>
          <w:rFonts w:ascii="Times New Roman" w:hAnsi="Times New Roman"/>
          <w:sz w:val="20"/>
        </w:rPr>
        <w:t xml:space="preserve"> shall not exceed $100,000,000 at any time outstanding;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Indebtedness owing (x) by GEO to any Loan Party or, (y) by any Loan Party to GEO or to any other Loan Party, in each case arising from intercompany loans permitted by </w:t>
      </w:r>
      <w:r>
        <w:rPr>
          <w:rFonts w:ascii="Times New Roman" w:hAnsi="Times New Roman"/>
          <w:sz w:val="20"/>
          <w:u w:val="single"/>
        </w:rPr>
        <w:t>Section 6.04(d)</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such Indebtedness shall be subordinate in all respects to the Obligations hereunder; </w:t>
      </w:r>
    </w:p>
    <w:p>
      <w:pPr>
        <w:pStyle w:val="TextBody"/>
        <w:bidi w:val="0"/>
        <w:spacing w:before="240" w:after="0"/>
        <w:jc w:val="left"/>
        <w:rPr>
          <w:rFonts w:ascii="Times New Roman" w:hAnsi="Times New Roman"/>
          <w:sz w:val="20"/>
        </w:rPr>
      </w:pPr>
      <w:r>
        <w:rPr>
          <w:rFonts w:ascii="Times New Roman" w:hAnsi="Times New Roman"/>
          <w:sz w:val="20"/>
        </w:rPr>
        <w:t xml:space="preserve">(h) unsecured Indebtedness of GEO or any Restricted Subsidiary (x) for borrowed money, including by means of the issuance of notes and bonds, or (y) incurred in respect of letter of credit facilities of GEO or any Restricted Subsidiary; </w:t>
      </w:r>
      <w:r>
        <w:rPr>
          <w:rFonts w:ascii="Times New Roman" w:hAnsi="Times New Roman"/>
          <w:sz w:val="20"/>
          <w:u w:val="single"/>
        </w:rPr>
        <w:t>provided</w:t>
      </w:r>
      <w:r>
        <w:rPr>
          <w:rFonts w:ascii="Times New Roman" w:hAnsi="Times New Roman"/>
          <w:sz w:val="20"/>
        </w:rPr>
        <w:t xml:space="preserve"> that (A) the maturity of such Indebtedness shall not be earlier than the latest Maturity Date, (B) the weighted average-life-to-maturity for such Indebtedness shall not be shorter than the weighted average-life-to-maturity for the Term Loans and the Revolving Credit Loans, (C) immediately before and after giving effect to the incurrence of such Indebtedness, the Pro Forma Total Leverage Ratio does not exceed 4.50:1.00 and (D) immediately before and after giving effect to the incurrence of such Indebtedness, the Interest Coverage Ratio is greater than 1.75 to 1.00; </w:t>
      </w:r>
    </w:p>
    <w:p>
      <w:pPr>
        <w:pStyle w:val="TextBody"/>
        <w:bidi w:val="0"/>
        <w:spacing w:before="240" w:after="0"/>
        <w:jc w:val="left"/>
        <w:rPr>
          <w:rFonts w:ascii="Times New Roman" w:hAnsi="Times New Roman"/>
          <w:sz w:val="20"/>
        </w:rPr>
      </w:pPr>
      <w:r>
        <w:rPr>
          <w:rFonts w:ascii="Times New Roman" w:hAnsi="Times New Roman"/>
          <w:sz w:val="20"/>
        </w:rPr>
        <w:t xml:space="preserve">(i) Indebtedness of Loan Parties in an aggregate principal amount not exceeding $50,000,000 at any time outstanding; </w:t>
      </w:r>
    </w:p>
    <w:p>
      <w:pPr>
        <w:pStyle w:val="TextBody"/>
        <w:bidi w:val="0"/>
        <w:spacing w:before="240" w:after="0"/>
        <w:jc w:val="left"/>
        <w:rPr>
          <w:rFonts w:ascii="Times New Roman" w:hAnsi="Times New Roman"/>
          <w:sz w:val="20"/>
        </w:rPr>
      </w:pPr>
      <w:r>
        <w:rPr>
          <w:rFonts w:ascii="Times New Roman" w:hAnsi="Times New Roman"/>
          <w:sz w:val="20"/>
        </w:rPr>
        <w:t xml:space="preserve">(j) Indebtedness of any Person that becomes a Loan Party after the Effective Date pursuant to a Permitted Acquisition or any other acquisition permitted to be made hereunder by GEO or any Restricted Subsidiary; </w:t>
      </w:r>
      <w:r>
        <w:rPr>
          <w:rFonts w:ascii="Times New Roman" w:hAnsi="Times New Roman"/>
          <w:sz w:val="20"/>
          <w:u w:val="single"/>
        </w:rPr>
        <w:t>provided</w:t>
      </w:r>
      <w:r>
        <w:rPr>
          <w:rFonts w:ascii="Times New Roman" w:hAnsi="Times New Roman"/>
          <w:sz w:val="20"/>
        </w:rPr>
        <w:t xml:space="preserve"> that (i) such Indebtedness exists at the time of such acquisition and is not created in contemplation of or in connection with such acquisition, and (ii) the aggregate principal amount of all Indebtedness permitted by this </w:t>
      </w:r>
      <w:r>
        <w:rPr>
          <w:rFonts w:ascii="Times New Roman" w:hAnsi="Times New Roman"/>
          <w:sz w:val="20"/>
          <w:u w:val="single"/>
        </w:rPr>
        <w:t>Section 6.01(j)</w:t>
      </w:r>
      <w:r>
        <w:rPr>
          <w:rFonts w:ascii="Times New Roman" w:hAnsi="Times New Roman"/>
          <w:sz w:val="20"/>
        </w:rPr>
        <w:t xml:space="preserve"> shall not exceed $100,000,000 at any time outstanding; and extensions, renewals, refinancings and replacements of any such Indebtedness that does not result in an increase of the outstanding principal amount thereof by more than the amount required to pay any penalty, premium, accrued and unpaid interest, and transaction fees and expenses incurred in connection with such extension, renewal, refinancing or replacement; </w:t>
      </w:r>
    </w:p>
    <w:p>
      <w:pPr>
        <w:pStyle w:val="TextBody"/>
        <w:bidi w:val="0"/>
        <w:spacing w:before="240" w:after="0"/>
        <w:jc w:val="left"/>
        <w:rPr>
          <w:rFonts w:ascii="Times New Roman" w:hAnsi="Times New Roman"/>
          <w:sz w:val="20"/>
        </w:rPr>
      </w:pPr>
      <w:r>
        <w:rPr>
          <w:rFonts w:ascii="Times New Roman" w:hAnsi="Times New Roman"/>
          <w:sz w:val="20"/>
        </w:rPr>
        <w:t xml:space="preserve">(k) [Reserved]; </w:t>
      </w:r>
    </w:p>
    <w:p>
      <w:pPr>
        <w:pStyle w:val="TextBody"/>
        <w:bidi w:val="0"/>
        <w:spacing w:before="240" w:after="0"/>
        <w:jc w:val="left"/>
        <w:rPr>
          <w:rFonts w:ascii="Times New Roman" w:hAnsi="Times New Roman"/>
          <w:sz w:val="20"/>
        </w:rPr>
      </w:pPr>
      <w:r>
        <w:rPr>
          <w:rFonts w:ascii="Times New Roman" w:hAnsi="Times New Roman"/>
          <w:sz w:val="20"/>
        </w:rPr>
        <w:t xml:space="preserve">(l) Indebtedness of GEO or any Restricted Subsidiary in respect to Incremental Equivalent Debt permitted by </w:t>
      </w:r>
      <w:r>
        <w:rPr>
          <w:rFonts w:ascii="Times New Roman" w:hAnsi="Times New Roman"/>
          <w:sz w:val="20"/>
          <w:u w:val="single"/>
        </w:rPr>
        <w:t>Section 2.01(f)</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(m) Indebtedness of GEO or any Restricted Subsidiary secured on a junior basis to the Liens securing the Obligations in an aggregate principal amount not exceeding $200,000,000; and </w:t>
      </w:r>
    </w:p>
    <w:p>
      <w:pPr>
        <w:pStyle w:val="TextBody"/>
        <w:bidi w:val="0"/>
        <w:spacing w:before="240" w:after="0"/>
        <w:jc w:val="left"/>
        <w:rPr>
          <w:rFonts w:ascii="Times New Roman" w:hAnsi="Times New Roman"/>
          <w:sz w:val="20"/>
        </w:rPr>
      </w:pPr>
      <w:r>
        <w:rPr>
          <w:rFonts w:ascii="Times New Roman" w:hAnsi="Times New Roman"/>
          <w:sz w:val="20"/>
        </w:rPr>
        <w:t xml:space="preserve">(n) Indebtedness of GEO or any Restricted Subsidiary consisting of mortgage financings in respect of real property interests that are excluded in any determination made by GEO when delivering the related Springing Mortgage Material Real Property Certificate pursuant to </w:t>
      </w:r>
      <w:r>
        <w:rPr>
          <w:rFonts w:ascii="Times New Roman" w:hAnsi="Times New Roman"/>
          <w:sz w:val="20"/>
          <w:u w:val="single"/>
        </w:rPr>
        <w:t>Section 5.01(h)</w:t>
      </w:r>
      <w:r>
        <w:rPr>
          <w:rFonts w:ascii="Times New Roman" w:hAnsi="Times New Roman"/>
          <w:sz w:val="20"/>
        </w:rPr>
        <w:t xml:space="preserve"> as of the date of the creation, incurrence or assumption of such Indebtedness, in an aggregate principal amount not exceeding $200,000,000 at any time outstanding; </w:t>
      </w:r>
      <w:r>
        <w:rPr>
          <w:rFonts w:ascii="Times New Roman" w:hAnsi="Times New Roman"/>
          <w:sz w:val="20"/>
          <w:u w:val="single"/>
        </w:rPr>
        <w:t>provided</w:t>
      </w:r>
      <w:r>
        <w:rPr>
          <w:rFonts w:ascii="Times New Roman" w:hAnsi="Times New Roman"/>
          <w:sz w:val="20"/>
        </w:rPr>
        <w:t xml:space="preserve"> that, after giving effect to the creation, incurrence or assumption, as applicable, of such Indebtedness, the Pro Forma First Lien Leverage Ratio does not exceed does not exceed 2:75:1.00.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 purposes of determining compliance with this </w:t>
      </w:r>
      <w:r>
        <w:rPr>
          <w:rFonts w:ascii="Times New Roman" w:hAnsi="Times New Roman"/>
          <w:sz w:val="20"/>
          <w:u w:val="single"/>
        </w:rPr>
        <w:t>Section 6.01</w:t>
      </w:r>
      <w:r>
        <w:rPr>
          <w:rFonts w:ascii="Times New Roman" w:hAnsi="Times New Roman"/>
          <w:sz w:val="20"/>
        </w:rPr>
        <w:t xml:space="preserve">, in the event that an item of Indebtedness (or any portion thereof) meets the criteria of more than one of the categories of Indebtedness permitted hereby, the Borrowers may, in their reasonable discretion, at the time of incurrence or issuance, divide, classify or reclassify, or at any later time divide, classify or reclassify, such item of Indebtedness (or any portion thereof) in any manner that complies with this </w:t>
      </w:r>
      <w:r>
        <w:rPr>
          <w:rFonts w:ascii="Times New Roman" w:hAnsi="Times New Roman"/>
          <w:sz w:val="20"/>
          <w:u w:val="single"/>
        </w:rPr>
        <w:t>Section 6.01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6.02 </w:t>
      </w:r>
      <w:r>
        <w:rPr>
          <w:rFonts w:ascii="Times New Roman" w:hAnsi="Times New Roman"/>
          <w:sz w:val="20"/>
          <w:u w:val="single"/>
        </w:rPr>
        <w:t>Liens</w:t>
      </w:r>
      <w:r>
        <w:rPr>
          <w:rFonts w:ascii="Times New Roman" w:hAnsi="Times New Roman"/>
          <w:sz w:val="20"/>
        </w:rPr>
        <w:t xml:space="preserve">. No Borrower will, nor will it permit any of its Restricted Subsidiaries to, create, incur, assume or permit to exist any Lien on any property or asset now owned or hereafter acquired by it, except: </w:t>
      </w:r>
    </w:p>
    <w:p>
      <w:pPr>
        <w:pStyle w:val="TextBody"/>
        <w:bidi w:val="0"/>
        <w:spacing w:before="120" w:after="0"/>
        <w:jc w:val="left"/>
        <w:rPr>
          <w:rFonts w:ascii="Times New Roman" w:hAnsi="Times New Roman"/>
          <w:sz w:val="20"/>
        </w:rPr>
      </w:pPr>
      <w:r>
        <w:rPr>
          <w:rFonts w:ascii="Times New Roman" w:hAnsi="Times New Roman"/>
          <w:sz w:val="20"/>
        </w:rPr>
        <w:t xml:space="preserve">(a) Liens created pursuant to the Security Documents; </w:t>
      </w:r>
    </w:p>
    <w:p>
      <w:pPr>
        <w:pStyle w:val="TextBody"/>
        <w:bidi w:val="0"/>
        <w:spacing w:before="240" w:after="0"/>
        <w:jc w:val="left"/>
        <w:rPr>
          <w:rFonts w:ascii="Times New Roman" w:hAnsi="Times New Roman"/>
          <w:sz w:val="20"/>
        </w:rPr>
      </w:pPr>
      <w:r>
        <w:rPr>
          <w:rFonts w:ascii="Times New Roman" w:hAnsi="Times New Roman"/>
          <w:sz w:val="20"/>
        </w:rPr>
        <w:t xml:space="preserve">(b) Permitted Encumbrances; </w:t>
      </w:r>
    </w:p>
    <w:p>
      <w:pPr>
        <w:pStyle w:val="TextBody"/>
        <w:bidi w:val="0"/>
        <w:spacing w:before="240" w:after="0"/>
        <w:jc w:val="left"/>
        <w:rPr>
          <w:rFonts w:ascii="Times New Roman" w:hAnsi="Times New Roman"/>
          <w:sz w:val="20"/>
        </w:rPr>
      </w:pPr>
      <w:r>
        <w:rPr>
          <w:rFonts w:ascii="Times New Roman" w:hAnsi="Times New Roman"/>
          <w:sz w:val="20"/>
        </w:rPr>
        <w:t xml:space="preserve">(c) any Lien on any property or asset of GEO or any of its Restricted Subsidiaries existing on the date hereof and set forth in </w:t>
      </w:r>
      <w:r>
        <w:rPr>
          <w:rFonts w:ascii="Times New Roman" w:hAnsi="Times New Roman"/>
          <w:sz w:val="20"/>
          <w:u w:val="single"/>
        </w:rPr>
        <w:t>Part B of Schedule 3.14</w:t>
      </w:r>
      <w:r>
        <w:rPr>
          <w:rFonts w:ascii="Times New Roman" w:hAnsi="Times New Roman"/>
          <w:sz w:val="20"/>
        </w:rPr>
        <w:t xml:space="preserve"> of the Disclosure Supplement (or, to the extent not meeting the minimum thresholds for required listing on said </w:t>
      </w:r>
      <w:r>
        <w:rPr>
          <w:rFonts w:ascii="Times New Roman" w:hAnsi="Times New Roman"/>
          <w:sz w:val="20"/>
          <w:u w:val="single"/>
        </w:rPr>
        <w:t>Schedule 3.14</w:t>
      </w:r>
      <w:r>
        <w:rPr>
          <w:rFonts w:ascii="Times New Roman" w:hAnsi="Times New Roman"/>
          <w:sz w:val="20"/>
        </w:rPr>
        <w:t xml:space="preserve"> pursuant to </w:t>
      </w:r>
      <w:r>
        <w:rPr>
          <w:rFonts w:ascii="Times New Roman" w:hAnsi="Times New Roman"/>
          <w:sz w:val="20"/>
          <w:u w:val="single"/>
        </w:rPr>
        <w:t>Section 3.14</w:t>
      </w:r>
      <w:r>
        <w:rPr>
          <w:rFonts w:ascii="Times New Roman" w:hAnsi="Times New Roman"/>
          <w:sz w:val="20"/>
        </w:rPr>
        <w:t xml:space="preserve">, in an aggregate amount not exceeding $10,000,000); </w:t>
      </w:r>
      <w:r>
        <w:rPr>
          <w:rFonts w:ascii="Times New Roman" w:hAnsi="Times New Roman"/>
          <w:sz w:val="20"/>
          <w:u w:val="single"/>
        </w:rPr>
        <w:t>provided</w:t>
      </w:r>
      <w:r>
        <w:rPr>
          <w:rFonts w:ascii="Times New Roman" w:hAnsi="Times New Roman"/>
          <w:sz w:val="20"/>
        </w:rPr>
        <w:t xml:space="preserve"> that (i) no such Lien shall extend to any other property or asset of GEO or any of its Restricted Subsidiaries and (ii) any such Lien shall secure only those obligations which it secures on the date hereof and extensions, renewals and replacements thereof that do not increase the outstanding principal amount thereof by more than the amount required to pay any penalty, premium, accrued and unpaid interest, and transaction fees and expenses incurred in connection with such extension, renewal, refinancing or replacement; </w:t>
      </w:r>
    </w:p>
    <w:p>
      <w:pPr>
        <w:pStyle w:val="TextBody"/>
        <w:bidi w:val="0"/>
        <w:spacing w:before="240" w:after="0"/>
        <w:jc w:val="left"/>
        <w:rPr>
          <w:rFonts w:ascii="Times New Roman" w:hAnsi="Times New Roman"/>
          <w:sz w:val="20"/>
        </w:rPr>
      </w:pPr>
      <w:r>
        <w:rPr>
          <w:rFonts w:ascii="Times New Roman" w:hAnsi="Times New Roman"/>
          <w:sz w:val="20"/>
        </w:rPr>
        <w:t xml:space="preserve">(d) Liens on assets acquired, constructed or improved by GEO or any of its Restricted Subsidiaries; </w:t>
      </w:r>
      <w:r>
        <w:rPr>
          <w:rFonts w:ascii="Times New Roman" w:hAnsi="Times New Roman"/>
          <w:sz w:val="20"/>
          <w:u w:val="single"/>
        </w:rPr>
        <w:t>provided</w:t>
      </w:r>
      <w:r>
        <w:rPr>
          <w:rFonts w:ascii="Times New Roman" w:hAnsi="Times New Roman"/>
          <w:sz w:val="20"/>
        </w:rPr>
        <w:t xml:space="preserve"> that (i) such Liens secure Indebtedness permitted by </w:t>
      </w:r>
      <w:r>
        <w:rPr>
          <w:rFonts w:ascii="Times New Roman" w:hAnsi="Times New Roman"/>
          <w:sz w:val="20"/>
          <w:u w:val="single"/>
        </w:rPr>
        <w:t>Section 6.01(f)</w:t>
      </w:r>
      <w:r>
        <w:rPr>
          <w:rFonts w:ascii="Times New Roman" w:hAnsi="Times New Roman"/>
          <w:sz w:val="20"/>
        </w:rPr>
        <w:t xml:space="preserve">, (ii) such Liens and the Indebtedness secured thereby are incurred prior to or within 90 days after such acquisition or the completion of such construction or improvement, (iii) the Indebtedness secured thereby does not exceed 100% of the cost of acquiring, constructing or improving such fixed or capital assets and (iv) such Liens shall not apply to any other property or assets of GEO or any Restricted Subsidiary; </w:t>
      </w:r>
    </w:p>
    <w:p>
      <w:pPr>
        <w:pStyle w:val="TextBody"/>
        <w:bidi w:val="0"/>
        <w:spacing w:before="240" w:after="0"/>
        <w:jc w:val="left"/>
        <w:rPr>
          <w:rFonts w:ascii="Times New Roman" w:hAnsi="Times New Roman"/>
          <w:sz w:val="20"/>
        </w:rPr>
      </w:pPr>
      <w:r>
        <w:rPr>
          <w:rFonts w:ascii="Times New Roman" w:hAnsi="Times New Roman"/>
          <w:sz w:val="20"/>
        </w:rPr>
        <w:t xml:space="preserve">(e) Liens securing Indebtedness permitted by </w:t>
      </w:r>
      <w:r>
        <w:rPr>
          <w:rFonts w:ascii="Times New Roman" w:hAnsi="Times New Roman"/>
          <w:sz w:val="20"/>
          <w:u w:val="single"/>
        </w:rPr>
        <w:t>Section 6.01(i)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 the assignment by GEO or any of its Restricted Subsidiaries of rights under Immaterial Government Contracts pertaining to a Facility or Facilities owned by any Unrestricted Subsidiary to secure related Indebtedness of such Unrestricted Subsidiary; </w:t>
      </w:r>
    </w:p>
    <w:p>
      <w:pPr>
        <w:pStyle w:val="TextBody"/>
        <w:bidi w:val="0"/>
        <w:spacing w:before="240" w:after="0"/>
        <w:jc w:val="left"/>
        <w:rPr>
          <w:rFonts w:ascii="Times New Roman" w:hAnsi="Times New Roman"/>
          <w:sz w:val="20"/>
        </w:rPr>
      </w:pPr>
      <w:r>
        <w:rPr>
          <w:rFonts w:ascii="Times New Roman" w:hAnsi="Times New Roman"/>
          <w:sz w:val="20"/>
        </w:rPr>
        <w:t xml:space="preserve">(g) any Lien existing on any property or asset prior to the acquisition thereof by GEO or any Restricted Subsidiary; </w:t>
      </w:r>
      <w:r>
        <w:rPr>
          <w:rFonts w:ascii="Times New Roman" w:hAnsi="Times New Roman"/>
          <w:sz w:val="20"/>
          <w:u w:val="single"/>
        </w:rPr>
        <w:t>provided</w:t>
      </w:r>
      <w:r>
        <w:rPr>
          <w:rFonts w:ascii="Times New Roman" w:hAnsi="Times New Roman"/>
          <w:sz w:val="20"/>
        </w:rPr>
        <w:t xml:space="preserve"> that (i) such Lien is not created in contemplation of or in connection with such acquisition, (ii) such Lien shall not apply to any other property or assets of GEO or any Restricted Subsidiary, (iii) such Lien shall secure only those obligations which it secures on the date of such acquisition, and (iv) such property or asset is acquired pursuant to a Permitted Acquisition or any other acquisition permitted to be made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Liens on the GEO HQ granted pursuant to a real property mortgage (and associated security instruments); </w:t>
      </w:r>
      <w:r>
        <w:rPr>
          <w:rFonts w:ascii="Times New Roman" w:hAnsi="Times New Roman"/>
          <w:sz w:val="20"/>
          <w:u w:val="single"/>
        </w:rPr>
        <w:t>provided</w:t>
      </w:r>
      <w:r>
        <w:rPr>
          <w:rFonts w:ascii="Times New Roman" w:hAnsi="Times New Roman"/>
          <w:sz w:val="20"/>
        </w:rPr>
        <w:t xml:space="preserve"> that such Liens (i) secure solely GEO HQ Indebtedness or any obligations or liabilities under any related Hedging Agreements and (ii) shall not apply to or otherwise encumber any other property or assets of GEO or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(i) Liens on property or assets of GEO or any Restricted Subsidiaries securing Incremental Equivalent Debt permitted by </w:t>
      </w:r>
      <w:r>
        <w:rPr>
          <w:rFonts w:ascii="Times New Roman" w:hAnsi="Times New Roman"/>
          <w:sz w:val="20"/>
          <w:u w:val="single"/>
        </w:rPr>
        <w:t>Section 2.01(f)</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(j) Liens securing Indebtedness permitted by </w:t>
      </w:r>
      <w:r>
        <w:rPr>
          <w:rFonts w:ascii="Times New Roman" w:hAnsi="Times New Roman"/>
          <w:sz w:val="20"/>
          <w:u w:val="single"/>
        </w:rPr>
        <w:t>Section 6.01(m)</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such Liens shall be subordinated to the Liens securing the Obligations pursuant to an Intercreditor Agreement in form and substance satisfactory to the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(k) [reserved]; </w:t>
      </w:r>
    </w:p>
    <w:p>
      <w:pPr>
        <w:pStyle w:val="TextBody"/>
        <w:bidi w:val="0"/>
        <w:spacing w:before="240" w:after="0"/>
        <w:jc w:val="left"/>
        <w:rPr>
          <w:rFonts w:ascii="Times New Roman" w:hAnsi="Times New Roman"/>
          <w:sz w:val="20"/>
        </w:rPr>
      </w:pPr>
      <w:r>
        <w:rPr>
          <w:rFonts w:ascii="Times New Roman" w:hAnsi="Times New Roman"/>
          <w:sz w:val="20"/>
        </w:rPr>
        <w:t xml:space="preserve">(l) [reserved]; </w:t>
      </w:r>
    </w:p>
    <w:p>
      <w:pPr>
        <w:pStyle w:val="TextBody"/>
        <w:bidi w:val="0"/>
        <w:spacing w:before="240" w:after="0"/>
        <w:jc w:val="left"/>
        <w:rPr>
          <w:rFonts w:ascii="Times New Roman" w:hAnsi="Times New Roman"/>
          <w:sz w:val="20"/>
        </w:rPr>
      </w:pPr>
      <w:r>
        <w:rPr>
          <w:rFonts w:ascii="Times New Roman" w:hAnsi="Times New Roman"/>
          <w:sz w:val="20"/>
        </w:rPr>
        <w:t xml:space="preserve">(m) [reserved]; </w:t>
      </w:r>
    </w:p>
    <w:p>
      <w:pPr>
        <w:pStyle w:val="TextBody"/>
        <w:bidi w:val="0"/>
        <w:spacing w:before="240" w:after="0"/>
        <w:jc w:val="left"/>
        <w:rPr>
          <w:rFonts w:ascii="Times New Roman" w:hAnsi="Times New Roman"/>
          <w:sz w:val="20"/>
        </w:rPr>
      </w:pPr>
      <w:r>
        <w:rPr>
          <w:rFonts w:ascii="Times New Roman" w:hAnsi="Times New Roman"/>
          <w:sz w:val="20"/>
        </w:rPr>
        <w:t xml:space="preserve">(n) any Lien or cash resulting from the deposit of funds into an irrevocable escrow in satisfaction of the Maturity Reserve Condition; and </w:t>
      </w:r>
    </w:p>
    <w:p>
      <w:pPr>
        <w:pStyle w:val="TextBody"/>
        <w:bidi w:val="0"/>
        <w:spacing w:before="240" w:after="0"/>
        <w:jc w:val="left"/>
        <w:rPr>
          <w:rFonts w:ascii="Times New Roman" w:hAnsi="Times New Roman"/>
          <w:sz w:val="20"/>
        </w:rPr>
      </w:pPr>
      <w:r>
        <w:rPr>
          <w:rFonts w:ascii="Times New Roman" w:hAnsi="Times New Roman"/>
          <w:sz w:val="20"/>
        </w:rPr>
        <w:t xml:space="preserve">(o) Liens on real property interests that do not constitute Material Real Property as of the date of the creation, incurrence or assumption of the Indebtedness permitted by </w:t>
      </w:r>
      <w:r>
        <w:rPr>
          <w:rFonts w:ascii="Times New Roman" w:hAnsi="Times New Roman"/>
          <w:sz w:val="20"/>
          <w:u w:val="single"/>
        </w:rPr>
        <w:t>Section 6.01(n)</w:t>
      </w:r>
      <w:r>
        <w:rPr>
          <w:rFonts w:ascii="Times New Roman" w:hAnsi="Times New Roman"/>
          <w:sz w:val="20"/>
        </w:rPr>
        <w:t xml:space="preserve"> which is secured by such real property interests. </w:t>
      </w:r>
    </w:p>
    <w:p>
      <w:pPr>
        <w:pStyle w:val="TextBody"/>
        <w:bidi w:val="0"/>
        <w:spacing w:before="240" w:after="0"/>
        <w:jc w:val="left"/>
        <w:rPr>
          <w:rFonts w:ascii="Times New Roman" w:hAnsi="Times New Roman"/>
          <w:sz w:val="20"/>
        </w:rPr>
      </w:pPr>
      <w:r>
        <w:rPr>
          <w:rFonts w:ascii="Times New Roman" w:hAnsi="Times New Roman"/>
          <w:sz w:val="20"/>
        </w:rPr>
        <w:t xml:space="preserve">Section 6.03 </w:t>
      </w:r>
      <w:r>
        <w:rPr>
          <w:rFonts w:ascii="Times New Roman" w:hAnsi="Times New Roman"/>
          <w:sz w:val="20"/>
          <w:u w:val="single"/>
        </w:rPr>
        <w:t>Fundamental Changes</w:t>
      </w:r>
      <w:r>
        <w:rPr>
          <w:rFonts w:ascii="Times New Roman" w:hAnsi="Times New Roman"/>
          <w:sz w:val="20"/>
        </w:rPr>
        <w:t xml:space="preserve">. No Borrower will, nor will it permit any of its Restricted Subsidiaries to, enter into any transaction of merger or consolidation or amalgamation, or liquidate, wind up or dissolve itself (or suffer any liquidation or dissolution). No Borrower will, nor will it permit any of its Restricted Subsidiaries to, acquire any business or property from, or capital stock of, or be a party to any acquisition of, any Person except for purchases of inventory and other property (other than assets and related rights constituting an ongoing business) to be sold or used in the ordinary course of business and Investments permitted under </w:t>
      </w:r>
      <w:r>
        <w:rPr>
          <w:rFonts w:ascii="Times New Roman" w:hAnsi="Times New Roman"/>
          <w:sz w:val="20"/>
          <w:u w:val="single"/>
        </w:rPr>
        <w:t>Section 6.04</w:t>
      </w:r>
      <w:r>
        <w:rPr>
          <w:rFonts w:ascii="Times New Roman" w:hAnsi="Times New Roman"/>
          <w:sz w:val="20"/>
        </w:rPr>
        <w:t xml:space="preserve">. No Borrower will, nor will it permit any of its Restricted Subsidiaries to, convey, sell, lease, transfer or otherwise dispose of, in one transaction or a series of transactions, any part of its business or property, whether now owned or hereafter acquired (including receivables and leasehold interests, but excluding (x) property or assets no longer used in its business, (y) any inventory or other property sold or disposed of in the ordinary course of business and on ordinary business terms, and (z) any Disposition resulting from a Casualty Event).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provisions of this Section, if no Default shall have occurred and be continuing or would result therefrom: </w:t>
      </w:r>
    </w:p>
    <w:p>
      <w:pPr>
        <w:pStyle w:val="TextBody"/>
        <w:bidi w:val="0"/>
        <w:spacing w:before="120" w:after="0"/>
        <w:jc w:val="left"/>
        <w:rPr>
          <w:rFonts w:ascii="Times New Roman" w:hAnsi="Times New Roman"/>
          <w:sz w:val="20"/>
        </w:rPr>
      </w:pPr>
      <w:r>
        <w:rPr>
          <w:rFonts w:ascii="Times New Roman" w:hAnsi="Times New Roman"/>
          <w:sz w:val="20"/>
        </w:rPr>
        <w:t xml:space="preserve">(a) any Restricted Subsidiary may be merged or consolidated with or into GEO or any other Restricted Subsidiary; </w:t>
      </w:r>
      <w:r>
        <w:rPr>
          <w:rFonts w:ascii="Times New Roman" w:hAnsi="Times New Roman"/>
          <w:sz w:val="20"/>
          <w:u w:val="single"/>
        </w:rPr>
        <w:t>provided</w:t>
      </w:r>
      <w:r>
        <w:rPr>
          <w:rFonts w:ascii="Times New Roman" w:hAnsi="Times New Roman"/>
          <w:sz w:val="20"/>
        </w:rPr>
        <w:t xml:space="preserve"> that (i) if any such transaction shall be between a Restricted Subsidiary and a Borrower, either such Borrower shall be the continuing or surviving entity, or the continuing or surviving Person (which shall be the successor to such Borrower by operation of law (which successor shall have been a Domestic Subsidiary immediately prior to such merger or consolidation) or shall be a wholly-owned Domestic Subsidiary of GEO) shall expressly assume,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confirm and reaffirm its continuing obligations as a Borrower under the Loan Documents and each Guarantor, unless it is the other party to such merger or consolidation, shall have reaffirmed that its Guarantee of, and grant of any Liens as security for, the Obligations shall apply to such surviving Person’s obligations under this Agreement, in each case pursuant to a confirmation, reaffirmation or other agreements or documentation in form and substance satisfactory to the Administrative Agent and the condition described in </w:t>
      </w:r>
      <w:r>
        <w:rPr>
          <w:rFonts w:ascii="Times New Roman" w:hAnsi="Times New Roman"/>
          <w:sz w:val="20"/>
          <w:u w:val="single"/>
        </w:rPr>
        <w:t xml:space="preserve">Section 4.01(o) </w:t>
      </w:r>
      <w:r>
        <w:rPr>
          <w:rFonts w:ascii="Times New Roman" w:hAnsi="Times New Roman"/>
          <w:sz w:val="20"/>
        </w:rPr>
        <w:t xml:space="preserve">shall have been satisfied with respect to such continuing or surviving Person (and if any such transaction shall be between GEO and Corrections, GEO shall be the continuing or surviving entity or, if Corrections is the surviving entity, Corrections shall expressly confirm and reaffirm its continuing obligations as a Borrower under the Loan Documents (including its assumption of all such obligations with respect to all Term Loans and Incremental Term Loans) pursuant to a confirmation, reaffirmation or other agreement or documentation in form and substance satisfactory to the Administrative Agent), and (ii) if any such transaction shall be between a Restricted Subsidiary that is a Guarantor, on the one hand, and a Restricted Subsidiary that is not a Guarantor, on the other hand, such Guarantor shall be the continuing or surviving entity; </w:t>
      </w:r>
    </w:p>
    <w:p>
      <w:pPr>
        <w:pStyle w:val="TextBody"/>
        <w:bidi w:val="0"/>
        <w:spacing w:before="240" w:after="0"/>
        <w:jc w:val="left"/>
        <w:rPr>
          <w:rFonts w:ascii="Times New Roman" w:hAnsi="Times New Roman"/>
          <w:sz w:val="20"/>
        </w:rPr>
      </w:pPr>
      <w:r>
        <w:rPr>
          <w:rFonts w:ascii="Times New Roman" w:hAnsi="Times New Roman"/>
          <w:sz w:val="20"/>
        </w:rPr>
        <w:t xml:space="preserve">(b) any Restricted Subsidiary formed in connection with (and in contemplation of) a Permitted Acquisition may merge with and into the Person such Restricted Subsidiary was formed to acquire in connection with such Permitted Acquisition; </w:t>
      </w:r>
    </w:p>
    <w:p>
      <w:pPr>
        <w:pStyle w:val="TextBody"/>
        <w:bidi w:val="0"/>
        <w:spacing w:before="240" w:after="0"/>
        <w:jc w:val="left"/>
        <w:rPr>
          <w:rFonts w:ascii="Times New Roman" w:hAnsi="Times New Roman"/>
          <w:sz w:val="20"/>
        </w:rPr>
      </w:pPr>
      <w:r>
        <w:rPr>
          <w:rFonts w:ascii="Times New Roman" w:hAnsi="Times New Roman"/>
          <w:sz w:val="20"/>
        </w:rPr>
        <w:t xml:space="preserve">(c) any Restricted Subsidiary (other than Corrections) may sell, lease, transfer or otherwise dispose of any or all of its property (upon voluntary liquidation or otherwise) to GEO or any other Restricted Subsidiary; </w:t>
      </w:r>
      <w:r>
        <w:rPr>
          <w:rFonts w:ascii="Times New Roman" w:hAnsi="Times New Roman"/>
          <w:sz w:val="20"/>
          <w:u w:val="single"/>
        </w:rPr>
        <w:t>provided</w:t>
      </w:r>
      <w:r>
        <w:rPr>
          <w:rFonts w:ascii="Times New Roman" w:hAnsi="Times New Roman"/>
          <w:sz w:val="20"/>
        </w:rPr>
        <w:t xml:space="preserve"> that if any such transaction shall be between a Restricted Subsidiary that is a Guarantor and a Restricted Subsidiary that is not a Guarantor, such Guarantor shall be the recipient of such property; </w:t>
      </w:r>
    </w:p>
    <w:p>
      <w:pPr>
        <w:pStyle w:val="TextBody"/>
        <w:bidi w:val="0"/>
        <w:spacing w:before="240" w:after="0"/>
        <w:jc w:val="left"/>
        <w:rPr>
          <w:rFonts w:ascii="Times New Roman" w:hAnsi="Times New Roman"/>
          <w:sz w:val="20"/>
        </w:rPr>
      </w:pPr>
      <w:r>
        <w:rPr>
          <w:rFonts w:ascii="Times New Roman" w:hAnsi="Times New Roman"/>
          <w:sz w:val="20"/>
        </w:rPr>
        <w:t xml:space="preserve">(d) the capital stock of any Subsidiary of GEO may be sold, transferred or otherwise disposed of to any Borrower or any Guarantor; </w:t>
      </w:r>
    </w:p>
    <w:p>
      <w:pPr>
        <w:pStyle w:val="TextBody"/>
        <w:bidi w:val="0"/>
        <w:spacing w:before="240" w:after="0"/>
        <w:jc w:val="left"/>
        <w:rPr>
          <w:rFonts w:ascii="Times New Roman" w:hAnsi="Times New Roman"/>
          <w:sz w:val="20"/>
        </w:rPr>
      </w:pPr>
      <w:r>
        <w:rPr>
          <w:rFonts w:ascii="Times New Roman" w:hAnsi="Times New Roman"/>
          <w:sz w:val="20"/>
        </w:rPr>
        <w:t xml:space="preserve">(e) GEO or any Restricted Subsidiary may sell to any Governmental Authority for fair market value (which shall be determined in good faith by the board of directors of GEO) (or, if less, the net book value when required by such Governmental Authority) any Facility managed or operated by GEO or such Restricted Subsidiary pursuant to a Government Contract with such Governmental Authority so long as the aggregate amount of non-cash proceeds from all such sales do not exceed $150,000,000 at any time outstanding; </w:t>
      </w:r>
    </w:p>
    <w:p>
      <w:pPr>
        <w:pStyle w:val="TextBody"/>
        <w:bidi w:val="0"/>
        <w:spacing w:before="240" w:after="0"/>
        <w:jc w:val="left"/>
        <w:rPr>
          <w:rFonts w:ascii="Times New Roman" w:hAnsi="Times New Roman"/>
          <w:sz w:val="20"/>
        </w:rPr>
      </w:pPr>
      <w:r>
        <w:rPr>
          <w:rFonts w:ascii="Times New Roman" w:hAnsi="Times New Roman"/>
          <w:sz w:val="20"/>
        </w:rPr>
        <w:t xml:space="preserve">(f) GEO or any Restricted Subsidiary may sell or discount without recourse accounts receivable arising in the ordinary course of business in connection with the compromise or collection thereof in the ordinary course of business; </w:t>
      </w:r>
      <w:r>
        <w:rPr>
          <w:rFonts w:ascii="Times New Roman" w:hAnsi="Times New Roman"/>
          <w:sz w:val="20"/>
          <w:u w:val="single"/>
        </w:rPr>
        <w:t>provided</w:t>
      </w:r>
      <w:r>
        <w:rPr>
          <w:rFonts w:ascii="Times New Roman" w:hAnsi="Times New Roman"/>
          <w:sz w:val="20"/>
        </w:rPr>
        <w:t xml:space="preserve"> that the aggregate face or principal amount of all such accounts receivable sold at less than par value or otherwise discounted after the Effective Date shall not exceed $50,000,000; </w:t>
      </w:r>
    </w:p>
    <w:p>
      <w:pPr>
        <w:pStyle w:val="TextBody"/>
        <w:bidi w:val="0"/>
        <w:spacing w:before="240" w:after="0"/>
        <w:jc w:val="left"/>
        <w:rPr>
          <w:rFonts w:ascii="Times New Roman" w:hAnsi="Times New Roman"/>
          <w:sz w:val="20"/>
        </w:rPr>
      </w:pPr>
      <w:r>
        <w:rPr>
          <w:rFonts w:ascii="Times New Roman" w:hAnsi="Times New Roman"/>
          <w:sz w:val="20"/>
        </w:rPr>
        <w:t xml:space="preserve">(g) GEO or any Restricted Subsidiary may sell or otherwise dispose of assets (including to Affiliates, subject to </w:t>
      </w:r>
      <w:r>
        <w:rPr>
          <w:rFonts w:ascii="Times New Roman" w:hAnsi="Times New Roman"/>
          <w:sz w:val="20"/>
          <w:u w:val="single"/>
        </w:rPr>
        <w:t>Section 6.06</w:t>
      </w:r>
      <w:r>
        <w:rPr>
          <w:rFonts w:ascii="Times New Roman" w:hAnsi="Times New Roman"/>
          <w:sz w:val="20"/>
        </w:rPr>
        <w:t xml:space="preserve">) not otherwise permitted by this </w:t>
      </w:r>
      <w:r>
        <w:rPr>
          <w:rFonts w:ascii="Times New Roman" w:hAnsi="Times New Roman"/>
          <w:sz w:val="20"/>
          <w:u w:val="single"/>
        </w:rPr>
        <w:t>Section 6.03</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(i) such sale or disposition shall be for cash (including by Installment Sale or similar transaction involving periodic cash payments over time) for fair market value (which, if in excess of $50,000,000, shall be determined in good faith by the board of directors of GEO), (ii) in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case of any such sale or disposition to an Affiliate, such sale or disposition shall be at a price and on terms and conditions not less favorable to GEO or such Restricted Subsidiary than could be obtained on an arm’s-length basis from unrelated third parties and (iii) GEO shall deliver to the Administrative Agent the certification required by the final sentence of </w:t>
      </w:r>
      <w:r>
        <w:rPr>
          <w:rFonts w:ascii="Times New Roman" w:hAnsi="Times New Roman"/>
          <w:sz w:val="20"/>
          <w:u w:val="single"/>
        </w:rPr>
        <w:t>Section 2.10(b)(ii)</w:t>
      </w:r>
      <w:r>
        <w:rPr>
          <w:rFonts w:ascii="Times New Roman" w:hAnsi="Times New Roman"/>
          <w:sz w:val="20"/>
        </w:rPr>
        <w:t xml:space="preserve"> with respect to such Disposition; </w:t>
      </w:r>
    </w:p>
    <w:p>
      <w:pPr>
        <w:pStyle w:val="TextBody"/>
        <w:bidi w:val="0"/>
        <w:spacing w:before="240" w:after="0"/>
        <w:jc w:val="left"/>
        <w:rPr>
          <w:rFonts w:ascii="Times New Roman" w:hAnsi="Times New Roman"/>
          <w:sz w:val="20"/>
        </w:rPr>
      </w:pPr>
      <w:r>
        <w:rPr>
          <w:rFonts w:ascii="Times New Roman" w:hAnsi="Times New Roman"/>
          <w:sz w:val="20"/>
        </w:rPr>
        <w:t xml:space="preserve">(h) GEO or any Restricted Subsidiary may sell any property, business or assets acquired in any acquisition permitted hereunder, including any Permitted Acquisition, to the extent that the same is not related to the construction, design, operation or development of any Facility; </w:t>
      </w:r>
    </w:p>
    <w:p>
      <w:pPr>
        <w:pStyle w:val="TextBody"/>
        <w:bidi w:val="0"/>
        <w:spacing w:before="240" w:after="0"/>
        <w:jc w:val="left"/>
        <w:rPr>
          <w:rFonts w:ascii="Times New Roman" w:hAnsi="Times New Roman"/>
          <w:sz w:val="20"/>
        </w:rPr>
      </w:pPr>
      <w:r>
        <w:rPr>
          <w:rFonts w:ascii="Times New Roman" w:hAnsi="Times New Roman"/>
          <w:sz w:val="20"/>
        </w:rPr>
        <w:t xml:space="preserve">(i) GEO or any Restricted Subsidiary may sell Permitted Investments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(j) GEO or any Restricted Subsidiary may make Permitted Acquisitions; </w:t>
      </w:r>
    </w:p>
    <w:p>
      <w:pPr>
        <w:pStyle w:val="TextBody"/>
        <w:bidi w:val="0"/>
        <w:spacing w:before="240" w:after="0"/>
        <w:jc w:val="left"/>
        <w:rPr>
          <w:rFonts w:ascii="Times New Roman" w:hAnsi="Times New Roman"/>
          <w:sz w:val="20"/>
        </w:rPr>
      </w:pPr>
      <w:r>
        <w:rPr>
          <w:rFonts w:ascii="Times New Roman" w:hAnsi="Times New Roman"/>
          <w:sz w:val="20"/>
        </w:rPr>
        <w:t xml:space="preserve">(k) any Restricted Subsidiary may be merged or consolidated into any Unrestricted Subsidiary provided that GEO designates the continuing or surviving entity as an Unrestricted Subsidiary in compliance with </w:t>
      </w:r>
      <w:r>
        <w:rPr>
          <w:rFonts w:ascii="Times New Roman" w:hAnsi="Times New Roman"/>
          <w:sz w:val="20"/>
          <w:u w:val="single"/>
        </w:rPr>
        <w:t>Section 5.09(d)</w:t>
      </w:r>
      <w:r>
        <w:rPr>
          <w:rFonts w:ascii="Times New Roman" w:hAnsi="Times New Roman"/>
          <w:sz w:val="20"/>
        </w:rPr>
        <w:t xml:space="preserve"> hereof; </w:t>
      </w:r>
    </w:p>
    <w:p>
      <w:pPr>
        <w:pStyle w:val="TextBody"/>
        <w:bidi w:val="0"/>
        <w:spacing w:before="240" w:after="0"/>
        <w:jc w:val="left"/>
        <w:rPr>
          <w:rFonts w:ascii="Times New Roman" w:hAnsi="Times New Roman"/>
          <w:sz w:val="20"/>
        </w:rPr>
      </w:pPr>
      <w:r>
        <w:rPr>
          <w:rFonts w:ascii="Times New Roman" w:hAnsi="Times New Roman"/>
          <w:sz w:val="20"/>
        </w:rPr>
        <w:t xml:space="preserve">(l) BII Holding Corporation or any of its Subsidiaries may sell Investments referred to in </w:t>
      </w:r>
      <w:r>
        <w:rPr>
          <w:rFonts w:ascii="Times New Roman" w:hAnsi="Times New Roman"/>
          <w:sz w:val="20"/>
          <w:u w:val="single"/>
        </w:rPr>
        <w:t>Section 6.04(o)</w:t>
      </w:r>
      <w:r>
        <w:rPr>
          <w:rFonts w:ascii="Times New Roman" w:hAnsi="Times New Roman"/>
          <w:sz w:val="20"/>
        </w:rPr>
        <w:t xml:space="preserve">, and amounts owing to it or any of them under operating leases, in the ordinary course of business substantially as conducted by it or any of them prior to the time that BII Holding Corporation became a Subsidiary of GEO; and </w:t>
      </w:r>
    </w:p>
    <w:p>
      <w:pPr>
        <w:pStyle w:val="TextBody"/>
        <w:bidi w:val="0"/>
        <w:spacing w:before="240" w:after="0"/>
        <w:jc w:val="left"/>
        <w:rPr>
          <w:rFonts w:ascii="Times New Roman" w:hAnsi="Times New Roman"/>
          <w:sz w:val="20"/>
        </w:rPr>
      </w:pPr>
      <w:r>
        <w:rPr>
          <w:rFonts w:ascii="Times New Roman" w:hAnsi="Times New Roman"/>
          <w:sz w:val="20"/>
        </w:rPr>
        <w:t xml:space="preserve">(m) (i) GEO may sell, lease, transfer or otherwise dispose of any of its property or assets to Corrections or to any Restricted Subsidiary that is a Guarantor and (ii) Corrections may sell, lease, transfer or otherwise dispose of any of its property or assets to GEO or any Restricted Subsidiary that is a Guarantor.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w:t>
      </w:r>
      <w:r>
        <w:rPr>
          <w:rFonts w:ascii="Times New Roman" w:hAnsi="Times New Roman"/>
          <w:sz w:val="20"/>
          <w:u w:val="single"/>
        </w:rPr>
        <w:t>Section 6.03</w:t>
      </w:r>
      <w:r>
        <w:rPr>
          <w:rFonts w:ascii="Times New Roman" w:hAnsi="Times New Roman"/>
          <w:sz w:val="20"/>
        </w:rPr>
        <w:t xml:space="preserve">, all determinations of fair market value of any Facility shall include consideration of rights under any Government Contract transferred in connection therewith. For avoidance of doubt, transfers of real property otherwise permitted under this </w:t>
      </w:r>
      <w:r>
        <w:rPr>
          <w:rFonts w:ascii="Times New Roman" w:hAnsi="Times New Roman"/>
          <w:sz w:val="20"/>
          <w:u w:val="single"/>
        </w:rPr>
        <w:t>Section 6.03</w:t>
      </w:r>
      <w:r>
        <w:rPr>
          <w:rFonts w:ascii="Times New Roman" w:hAnsi="Times New Roman"/>
          <w:sz w:val="20"/>
        </w:rPr>
        <w:t xml:space="preserve"> may be effected pursuant to the provisions of Section 1031 of the Code. </w:t>
      </w:r>
    </w:p>
    <w:p>
      <w:pPr>
        <w:pStyle w:val="TextBody"/>
        <w:bidi w:val="0"/>
        <w:spacing w:before="240" w:after="0"/>
        <w:jc w:val="left"/>
        <w:rPr>
          <w:rFonts w:ascii="Times New Roman" w:hAnsi="Times New Roman"/>
          <w:sz w:val="20"/>
        </w:rPr>
      </w:pPr>
      <w:r>
        <w:rPr>
          <w:rFonts w:ascii="Times New Roman" w:hAnsi="Times New Roman"/>
          <w:sz w:val="20"/>
        </w:rPr>
        <w:t xml:space="preserve">Section 6.04 </w:t>
      </w:r>
      <w:r>
        <w:rPr>
          <w:rFonts w:ascii="Times New Roman" w:hAnsi="Times New Roman"/>
          <w:sz w:val="20"/>
          <w:u w:val="single"/>
        </w:rPr>
        <w:t>Investments</w:t>
      </w:r>
      <w:r>
        <w:rPr>
          <w:rFonts w:ascii="Times New Roman" w:hAnsi="Times New Roman"/>
          <w:sz w:val="20"/>
        </w:rPr>
        <w:t xml:space="preserve">. No Borrower will, nor will it permit any of its Restricted Subsidiaries to, make or permit to remain outstanding any Investments except: </w:t>
      </w:r>
    </w:p>
    <w:p>
      <w:pPr>
        <w:pStyle w:val="TextBody"/>
        <w:bidi w:val="0"/>
        <w:spacing w:before="120" w:after="0"/>
        <w:jc w:val="left"/>
        <w:rPr>
          <w:rFonts w:ascii="Times New Roman" w:hAnsi="Times New Roman"/>
          <w:sz w:val="20"/>
        </w:rPr>
      </w:pPr>
      <w:r>
        <w:rPr>
          <w:rFonts w:ascii="Times New Roman" w:hAnsi="Times New Roman"/>
          <w:sz w:val="20"/>
        </w:rPr>
        <w:t xml:space="preserve">(a) Investments outstanding on the date hereof and identified in </w:t>
      </w:r>
      <w:r>
        <w:rPr>
          <w:rFonts w:ascii="Times New Roman" w:hAnsi="Times New Roman"/>
          <w:sz w:val="20"/>
          <w:u w:val="single"/>
        </w:rPr>
        <w:t>Part B of Schedule 3.16</w:t>
      </w:r>
      <w:r>
        <w:rPr>
          <w:rFonts w:ascii="Times New Roman" w:hAnsi="Times New Roman"/>
          <w:sz w:val="20"/>
        </w:rPr>
        <w:t xml:space="preserve"> of the Disclosure Supplement; </w:t>
      </w:r>
    </w:p>
    <w:p>
      <w:pPr>
        <w:pStyle w:val="TextBody"/>
        <w:bidi w:val="0"/>
        <w:spacing w:before="240" w:after="0"/>
        <w:jc w:val="left"/>
        <w:rPr>
          <w:rFonts w:ascii="Times New Roman" w:hAnsi="Times New Roman"/>
          <w:sz w:val="20"/>
        </w:rPr>
      </w:pPr>
      <w:r>
        <w:rPr>
          <w:rFonts w:ascii="Times New Roman" w:hAnsi="Times New Roman"/>
          <w:sz w:val="20"/>
        </w:rPr>
        <w:t xml:space="preserve">(b) Permitted Acquisitions; </w:t>
      </w:r>
    </w:p>
    <w:p>
      <w:pPr>
        <w:pStyle w:val="TextBody"/>
        <w:bidi w:val="0"/>
        <w:spacing w:before="240" w:after="0"/>
        <w:jc w:val="left"/>
        <w:rPr>
          <w:rFonts w:ascii="Times New Roman" w:hAnsi="Times New Roman"/>
          <w:sz w:val="20"/>
        </w:rPr>
      </w:pPr>
      <w:r>
        <w:rPr>
          <w:rFonts w:ascii="Times New Roman" w:hAnsi="Times New Roman"/>
          <w:sz w:val="20"/>
        </w:rPr>
        <w:t xml:space="preserve">(c) Permitted Investments; </w:t>
      </w:r>
    </w:p>
    <w:p>
      <w:pPr>
        <w:pStyle w:val="TextBody"/>
        <w:bidi w:val="0"/>
        <w:spacing w:before="240" w:after="0"/>
        <w:jc w:val="left"/>
        <w:rPr>
          <w:rFonts w:ascii="Times New Roman" w:hAnsi="Times New Roman"/>
          <w:sz w:val="20"/>
        </w:rPr>
      </w:pPr>
      <w:r>
        <w:rPr>
          <w:rFonts w:ascii="Times New Roman" w:hAnsi="Times New Roman"/>
          <w:sz w:val="20"/>
        </w:rPr>
        <w:t xml:space="preserve">(d) intercompany loans made by GEO to any Loan Party and by any Loan Party to GEO or to any other Loan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Hedging Agreements entered into to hedge, manage or mitigate risks to which GEO or any Restricted Subsidiary is exposed in the conduct of its business or the management of its liabilities; </w:t>
      </w:r>
    </w:p>
    <w:p>
      <w:pPr>
        <w:pStyle w:val="TextBody"/>
        <w:bidi w:val="0"/>
        <w:spacing w:before="240" w:after="0"/>
        <w:jc w:val="left"/>
        <w:rPr>
          <w:rFonts w:ascii="Times New Roman" w:hAnsi="Times New Roman"/>
          <w:sz w:val="20"/>
        </w:rPr>
      </w:pPr>
      <w:r>
        <w:rPr>
          <w:rFonts w:ascii="Times New Roman" w:hAnsi="Times New Roman"/>
          <w:sz w:val="20"/>
        </w:rPr>
        <w:t xml:space="preserve">(f) operating deposit accounts with banks; </w:t>
      </w:r>
    </w:p>
    <w:p>
      <w:pPr>
        <w:pStyle w:val="TextBody"/>
        <w:bidi w:val="0"/>
        <w:spacing w:before="240" w:after="0"/>
        <w:jc w:val="left"/>
        <w:rPr>
          <w:rFonts w:ascii="Times New Roman" w:hAnsi="Times New Roman"/>
          <w:sz w:val="20"/>
        </w:rPr>
      </w:pPr>
      <w:r>
        <w:rPr>
          <w:rFonts w:ascii="Times New Roman" w:hAnsi="Times New Roman"/>
          <w:sz w:val="20"/>
        </w:rPr>
        <w:t xml:space="preserve">(g) to the extent they constitute Investments, contributions to Plans and Multiemployer Plans; </w:t>
      </w:r>
    </w:p>
    <w:p>
      <w:pPr>
        <w:pStyle w:val="TextBody"/>
        <w:bidi w:val="0"/>
        <w:spacing w:before="240" w:after="0"/>
        <w:jc w:val="left"/>
        <w:rPr>
          <w:rFonts w:ascii="Times New Roman" w:hAnsi="Times New Roman"/>
          <w:sz w:val="20"/>
        </w:rPr>
      </w:pPr>
      <w:r>
        <w:rPr>
          <w:rFonts w:ascii="Times New Roman" w:hAnsi="Times New Roman"/>
          <w:sz w:val="20"/>
        </w:rPr>
        <w:t xml:space="preserve">(h) Guarantees or other Indebtedness permitted by </w:t>
      </w:r>
      <w:r>
        <w:rPr>
          <w:rFonts w:ascii="Times New Roman" w:hAnsi="Times New Roman"/>
          <w:sz w:val="20"/>
          <w:u w:val="single"/>
        </w:rPr>
        <w:t>Section 6.01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Investments consisting of security deposits with utilities and other like Persons made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(j) Investments in Unrestricted Subsidiaries, Restricted Subsidiaries that are not Guarantors, joint ventures and/or Other Consolidated Persons (x) in an aggregate amount for all such Investments made after the Effective Date not to exceed $200,000,000 (the “</w:t>
      </w:r>
      <w:r>
        <w:rPr>
          <w:rFonts w:ascii="Times New Roman" w:hAnsi="Times New Roman"/>
          <w:sz w:val="20"/>
          <w:u w:val="single"/>
        </w:rPr>
        <w:t>Cumulative Cap</w:t>
      </w:r>
      <w:r>
        <w:rPr>
          <w:rFonts w:ascii="Times New Roman" w:hAnsi="Times New Roman"/>
          <w:sz w:val="20"/>
        </w:rPr>
        <w:t xml:space="preserve">”) or (y) made for the purpose of GEO or a Subsidiary acquiring Facilities or constructing or improving Facilities owned by GEO or a Subsidiary, </w:t>
      </w:r>
      <w:r>
        <w:rPr>
          <w:rFonts w:ascii="Times New Roman" w:hAnsi="Times New Roman"/>
          <w:sz w:val="20"/>
          <w:u w:val="single"/>
        </w:rPr>
        <w:t>provided</w:t>
      </w:r>
      <w:r>
        <w:rPr>
          <w:rFonts w:ascii="Times New Roman" w:hAnsi="Times New Roman"/>
          <w:sz w:val="20"/>
        </w:rPr>
        <w:t xml:space="preserve"> that (i) the Cumulative Cap shall be increased from time to time by the aggregate amount of dividends, distributions, returns of capital or other payments received in cash after the Effective Date by GEO and the Restricted Subsidiaries from Unrestricted Subsidiaries in respect of Equity Interests of Unrestricted Subsidiaries (except that any such amount included in Net Income shall increase the Cumulative Cap by only 50% of such amount) and (ii) in the case of Investments made as permitted by the foregoing clause (y), (A) all such Investments made in Persons that are not wholly-owned Unrestricted Subsidiaries shall be in the form of senior secured or unsecured loans, shall have no contractual restrictions or limitations on repayment and shall be evidenced by promissory notes delivered in pledge under the Collateral Agreement, and (B) the aggregate amount of such Investments shall not exceed $150,000,000 at any time outstanding (calculated as the aggregate amount invested </w:t>
      </w:r>
      <w:r>
        <w:rPr>
          <w:rFonts w:ascii="Times New Roman" w:hAnsi="Times New Roman"/>
          <w:sz w:val="20"/>
          <w:u w:val="single"/>
        </w:rPr>
        <w:t>minus</w:t>
      </w:r>
      <w:r>
        <w:rPr>
          <w:rFonts w:ascii="Times New Roman" w:hAnsi="Times New Roman"/>
          <w:sz w:val="20"/>
        </w:rPr>
        <w:t xml:space="preserve"> the aggregate amount recovered in respect of such Investment); </w:t>
      </w:r>
    </w:p>
    <w:p>
      <w:pPr>
        <w:pStyle w:val="TextBody"/>
        <w:bidi w:val="0"/>
        <w:spacing w:before="240" w:after="0"/>
        <w:jc w:val="left"/>
        <w:rPr>
          <w:rFonts w:ascii="Times New Roman" w:hAnsi="Times New Roman"/>
          <w:sz w:val="20"/>
        </w:rPr>
      </w:pPr>
      <w:r>
        <w:rPr>
          <w:rFonts w:ascii="Times New Roman" w:hAnsi="Times New Roman"/>
          <w:sz w:val="20"/>
        </w:rPr>
        <w:t xml:space="preserve">(k) [reserved]; </w:t>
      </w:r>
    </w:p>
    <w:p>
      <w:pPr>
        <w:pStyle w:val="TextBody"/>
        <w:bidi w:val="0"/>
        <w:spacing w:before="240" w:after="0"/>
        <w:jc w:val="left"/>
        <w:rPr>
          <w:rFonts w:ascii="Times New Roman" w:hAnsi="Times New Roman"/>
          <w:sz w:val="20"/>
        </w:rPr>
      </w:pPr>
      <w:r>
        <w:rPr>
          <w:rFonts w:ascii="Times New Roman" w:hAnsi="Times New Roman"/>
          <w:sz w:val="20"/>
        </w:rPr>
        <w:t xml:space="preserve">(l) Investments in an aggregate amount, so long as made or paid in cash (excluding Equity Interests of GEO and/or its Subsidiaries but including the assumption of Indebtedness in connection with such Investments), made after the date hereof not exceeding the amount of Net Available Proceeds from Equity Issuances consummated after the date hereof, not used to make Permitted Acquisitions and Not Otherwise Applied; </w:t>
      </w:r>
    </w:p>
    <w:p>
      <w:pPr>
        <w:pStyle w:val="TextBody"/>
        <w:bidi w:val="0"/>
        <w:spacing w:before="240" w:after="0"/>
        <w:jc w:val="left"/>
        <w:rPr>
          <w:rFonts w:ascii="Times New Roman" w:hAnsi="Times New Roman"/>
          <w:sz w:val="20"/>
        </w:rPr>
      </w:pPr>
      <w:r>
        <w:rPr>
          <w:rFonts w:ascii="Times New Roman" w:hAnsi="Times New Roman"/>
          <w:sz w:val="20"/>
        </w:rPr>
        <w:t xml:space="preserve">(m) additional Investments in Persons other than Unrestricted Subsidiaries not exceeding $75,000,000 in the aggregate at any time outstanding; </w:t>
      </w:r>
    </w:p>
    <w:p>
      <w:pPr>
        <w:pStyle w:val="TextBody"/>
        <w:bidi w:val="0"/>
        <w:spacing w:before="240" w:after="0"/>
        <w:jc w:val="left"/>
        <w:rPr>
          <w:rFonts w:ascii="Times New Roman" w:hAnsi="Times New Roman"/>
          <w:sz w:val="20"/>
        </w:rPr>
      </w:pPr>
      <w:r>
        <w:rPr>
          <w:rFonts w:ascii="Times New Roman" w:hAnsi="Times New Roman"/>
          <w:sz w:val="20"/>
        </w:rPr>
        <w:t xml:space="preserve">(n) Investments in Subsidiaries of GEO outstanding on the Effective Date (and any replacements thereof provided that the aggregate principal amount thereof is not increased); </w:t>
      </w:r>
    </w:p>
    <w:p>
      <w:pPr>
        <w:pStyle w:val="TextBody"/>
        <w:bidi w:val="0"/>
        <w:spacing w:before="240" w:after="0"/>
        <w:jc w:val="left"/>
        <w:rPr>
          <w:rFonts w:ascii="Times New Roman" w:hAnsi="Times New Roman"/>
          <w:sz w:val="20"/>
        </w:rPr>
      </w:pPr>
      <w:r>
        <w:rPr>
          <w:rFonts w:ascii="Times New Roman" w:hAnsi="Times New Roman"/>
          <w:sz w:val="20"/>
        </w:rPr>
        <w:t xml:space="preserve">(o) Investments made in the ordinary course of business in customers constituting capital leases entered into with such customers;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 [reserved]; </w:t>
      </w:r>
    </w:p>
    <w:p>
      <w:pPr>
        <w:pStyle w:val="TextBody"/>
        <w:bidi w:val="0"/>
        <w:spacing w:before="240" w:after="0"/>
        <w:jc w:val="left"/>
        <w:rPr>
          <w:rFonts w:ascii="Times New Roman" w:hAnsi="Times New Roman"/>
          <w:sz w:val="20"/>
        </w:rPr>
      </w:pPr>
      <w:r>
        <w:rPr>
          <w:rFonts w:ascii="Times New Roman" w:hAnsi="Times New Roman"/>
          <w:sz w:val="20"/>
        </w:rPr>
        <w:t xml:space="preserve">(q) Investments in Restricted Subsidiaries that are Corrections or Guarantors; </w:t>
      </w:r>
    </w:p>
    <w:p>
      <w:pPr>
        <w:pStyle w:val="TextBody"/>
        <w:bidi w:val="0"/>
        <w:spacing w:before="240" w:after="0"/>
        <w:jc w:val="left"/>
        <w:rPr>
          <w:rFonts w:ascii="Times New Roman" w:hAnsi="Times New Roman"/>
          <w:sz w:val="20"/>
        </w:rPr>
      </w:pPr>
      <w:r>
        <w:rPr>
          <w:rFonts w:ascii="Times New Roman" w:hAnsi="Times New Roman"/>
          <w:sz w:val="20"/>
        </w:rPr>
        <w:t xml:space="preserve">(r) Investments in Persons that are not Affiliates or joint ventures of GEO or its Subsidiaries, nor Other Consolidated Persons, made for the purpose of acquiring, constructing or improving Facilities owned or leased by such Persons and operated by GEO or a Restricted Subsidiary pursuant to a contract that has been assigned pursuant to the Collateral Assignment, in an aggregate amount not exceeding 5.0% of consolidated total assets of GEO, its Subsidiaries and the Other Consolidated Persons (calculated on a consolidated basis without duplication in accordance with GAAP) at any time outstanding (such Investments under this </w:t>
      </w:r>
      <w:r>
        <w:rPr>
          <w:rFonts w:ascii="Times New Roman" w:hAnsi="Times New Roman"/>
          <w:sz w:val="20"/>
          <w:u w:val="single"/>
        </w:rPr>
        <w:t>clause (r)</w:t>
      </w:r>
      <w:r>
        <w:rPr>
          <w:rFonts w:ascii="Times New Roman" w:hAnsi="Times New Roman"/>
          <w:sz w:val="20"/>
        </w:rPr>
        <w:t>, “</w:t>
      </w:r>
      <w:r>
        <w:rPr>
          <w:rFonts w:ascii="Times New Roman" w:hAnsi="Times New Roman"/>
          <w:sz w:val="20"/>
          <w:u w:val="single"/>
        </w:rPr>
        <w:t>Developmental Investments</w:t>
      </w:r>
      <w:r>
        <w:rPr>
          <w:rFonts w:ascii="Times New Roman" w:hAnsi="Times New Roman"/>
          <w:sz w:val="20"/>
        </w:rPr>
        <w:t xml:space="preserve">”); and </w:t>
      </w:r>
    </w:p>
    <w:p>
      <w:pPr>
        <w:pStyle w:val="TextBody"/>
        <w:bidi w:val="0"/>
        <w:spacing w:before="240" w:after="0"/>
        <w:jc w:val="left"/>
        <w:rPr>
          <w:rFonts w:ascii="Times New Roman" w:hAnsi="Times New Roman"/>
          <w:sz w:val="20"/>
        </w:rPr>
      </w:pPr>
      <w:r>
        <w:rPr>
          <w:rFonts w:ascii="Times New Roman" w:hAnsi="Times New Roman"/>
          <w:sz w:val="20"/>
        </w:rPr>
        <w:t xml:space="preserve">(s) so long as no Default or Event of Default shall have occurred and be continuing or would result therefrom, Investments in Unrestricted Subsidiaries in an aggregate amount not to exceed the Available Amount.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w:t>
      </w:r>
      <w:r>
        <w:rPr>
          <w:rFonts w:ascii="Times New Roman" w:hAnsi="Times New Roman"/>
          <w:sz w:val="20"/>
          <w:u w:val="single"/>
        </w:rPr>
        <w:t>Section 6.04(m)</w:t>
      </w:r>
      <w:r>
        <w:rPr>
          <w:rFonts w:ascii="Times New Roman" w:hAnsi="Times New Roman"/>
          <w:sz w:val="20"/>
        </w:rPr>
        <w:t xml:space="preserve">, the aggregate outstanding amount of an Investment at any time shall be deemed to be equal to (A) the aggregate amount of cash, together with the aggregate fair market value of property, loaned, advanced, contributed, transferred or otherwise invested that gives rise to such Investment </w:t>
      </w:r>
      <w:r>
        <w:rPr>
          <w:rFonts w:ascii="Times New Roman" w:hAnsi="Times New Roman"/>
          <w:sz w:val="20"/>
          <w:u w:val="single"/>
        </w:rPr>
        <w:t>minus</w:t>
      </w:r>
      <w:r>
        <w:rPr>
          <w:rFonts w:ascii="Times New Roman" w:hAnsi="Times New Roman"/>
          <w:sz w:val="20"/>
        </w:rPr>
        <w:t xml:space="preserve"> (B) the aggregate amount of dividends, distributions or other payments received in cash or property in respect of such Investment; the amount of an Investment shall not in any event be reduced by reason of any write-off of such Investment nor increased by any increase in the amount of earnings retained in the Person in which such Investment is made that have not been dividended, distributed or otherwise paid out.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w:t>
      </w:r>
      <w:r>
        <w:rPr>
          <w:rFonts w:ascii="Times New Roman" w:hAnsi="Times New Roman"/>
          <w:sz w:val="20"/>
          <w:u w:val="single"/>
        </w:rPr>
        <w:t>Section 6.04</w:t>
      </w:r>
      <w:r>
        <w:rPr>
          <w:rFonts w:ascii="Times New Roman" w:hAnsi="Times New Roman"/>
          <w:sz w:val="20"/>
        </w:rPr>
        <w:t xml:space="preserve">, if any Investment (or a portion thereof) would be permitted pursuant to one or more provisions described above and/or one or more of the exceptions contained in the definition of “Permitted Investments,” the Borrowers may divide and classify such Investment (or a portion thereof) in any manner that complies with this </w:t>
      </w:r>
      <w:r>
        <w:rPr>
          <w:rFonts w:ascii="Times New Roman" w:hAnsi="Times New Roman"/>
          <w:sz w:val="20"/>
          <w:u w:val="single"/>
        </w:rPr>
        <w:t>Section 6.04</w:t>
      </w:r>
      <w:r>
        <w:rPr>
          <w:rFonts w:ascii="Times New Roman" w:hAnsi="Times New Roman"/>
          <w:sz w:val="20"/>
        </w:rPr>
        <w:t xml:space="preserve"> and may later divide and reclassify any such Investment so long as the Investment (as so divided and/or reclassified) would be permitted to be made in reliance on the applicable exception as of the date of such reclassification. </w:t>
      </w:r>
    </w:p>
    <w:p>
      <w:pPr>
        <w:pStyle w:val="TextBody"/>
        <w:bidi w:val="0"/>
        <w:spacing w:before="240" w:after="0"/>
        <w:jc w:val="left"/>
        <w:rPr>
          <w:rFonts w:ascii="Times New Roman" w:hAnsi="Times New Roman"/>
          <w:sz w:val="20"/>
        </w:rPr>
      </w:pPr>
      <w:r>
        <w:rPr>
          <w:rFonts w:ascii="Times New Roman" w:hAnsi="Times New Roman"/>
          <w:sz w:val="20"/>
        </w:rPr>
        <w:t xml:space="preserve">Section 6.05 </w:t>
      </w:r>
      <w:r>
        <w:rPr>
          <w:rFonts w:ascii="Times New Roman" w:hAnsi="Times New Roman"/>
          <w:sz w:val="20"/>
          <w:u w:val="single"/>
        </w:rPr>
        <w:t>Restricted Payments</w:t>
      </w:r>
      <w:r>
        <w:rPr>
          <w:rFonts w:ascii="Times New Roman" w:hAnsi="Times New Roman"/>
          <w:sz w:val="20"/>
        </w:rPr>
        <w:t xml:space="preserve">. No Borrower will, nor will any Borrower permit any of its Restricted Subsidiaries to, declare or make, or agree to pay or make, directly or indirectly, any Restricted Payment, except that: </w:t>
      </w:r>
    </w:p>
    <w:p>
      <w:pPr>
        <w:pStyle w:val="TextBody"/>
        <w:bidi w:val="0"/>
        <w:spacing w:before="120" w:after="0"/>
        <w:jc w:val="left"/>
        <w:rPr>
          <w:rFonts w:ascii="Times New Roman" w:hAnsi="Times New Roman"/>
          <w:sz w:val="20"/>
        </w:rPr>
      </w:pPr>
      <w:r>
        <w:rPr>
          <w:rFonts w:ascii="Times New Roman" w:hAnsi="Times New Roman"/>
          <w:sz w:val="20"/>
        </w:rPr>
        <w:t xml:space="preserve">(a) to the extent constituting a Restricted Payment, any payment on account of a “call spread,” “capped call” or similar Hedging Agreement or other transaction involving any convertible debt securities, made by delivery of common stock of GEO or funded from the incurrence of Indebtedness permitted by Section 6.01 to refinance such convertible debt securities or from the set-off, exercise or settlement of any related transaction;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so long as no Default or Event of Default shall have occurred and be continuing or would result therefrom and the Pro Forma Total Leverage Ratio does not exceed 3.50:1.00, GEO may declare and make Restricted Payments in an aggregate amount that, when taken together with all other Restricted Payments made (or to be made as a result of a declaration thereof) pursuant to this clause (b), shall not exceed in the aggregate the sum of: </w:t>
      </w:r>
    </w:p>
    <w:p>
      <w:pPr>
        <w:pStyle w:val="TextBody"/>
        <w:bidi w:val="0"/>
        <w:spacing w:before="120" w:after="0"/>
        <w:jc w:val="left"/>
        <w:rPr>
          <w:rFonts w:ascii="Times New Roman" w:hAnsi="Times New Roman"/>
          <w:sz w:val="20"/>
        </w:rPr>
      </w:pPr>
      <w:r>
        <w:rPr>
          <w:rFonts w:ascii="Times New Roman" w:hAnsi="Times New Roman"/>
          <w:sz w:val="20"/>
        </w:rPr>
        <w:t xml:space="preserve">(1) commencing January 1, 2026, the greater of (x) the ECF Amount and (y) $50,000,000 per fiscal year, with unused amounts under this clause (y) carried over to future years, </w:t>
      </w:r>
      <w:r>
        <w:rPr>
          <w:rFonts w:ascii="Times New Roman" w:hAnsi="Times New Roman"/>
          <w:sz w:val="20"/>
          <w:u w:val="single"/>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(2) an additional amount, so long as made or paid in cash, equal to the aggregate amount of Net Available Proceeds of Equity Issuances of GEO received after the Effective Date and Not Otherwise Applied (the amount available at any time of determination to be utilized for Restricted Payments under this clause (b), the “</w:t>
      </w:r>
      <w:r>
        <w:rPr>
          <w:rFonts w:ascii="Times New Roman" w:hAnsi="Times New Roman"/>
          <w:sz w:val="20"/>
          <w:u w:val="single"/>
        </w:rPr>
        <w:t>Available Amount</w:t>
      </w:r>
      <w:r>
        <w:rPr>
          <w:rFonts w:ascii="Times New Roman" w:hAnsi="Times New Roman"/>
          <w:sz w:val="20"/>
        </w:rPr>
        <w:t xml:space="preserve">”); </w:t>
      </w:r>
      <w:r>
        <w:rPr>
          <w:rFonts w:ascii="Times New Roman" w:hAnsi="Times New Roman"/>
          <w:sz w:val="20"/>
          <w:u w:val="single"/>
        </w:rPr>
        <w:t>minus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(3) the amount of Investments made pursuant to </w:t>
      </w:r>
      <w:r>
        <w:rPr>
          <w:rFonts w:ascii="Times New Roman" w:hAnsi="Times New Roman"/>
          <w:sz w:val="20"/>
          <w:u w:val="single"/>
        </w:rPr>
        <w:t>Section 6.04(s)</w:t>
      </w:r>
      <w:r>
        <w:rPr>
          <w:rFonts w:ascii="Times New Roman" w:hAnsi="Times New Roman"/>
          <w:sz w:val="20"/>
        </w:rPr>
        <w:t xml:space="preserve"> from and after the Effective Date; </w:t>
      </w:r>
    </w:p>
    <w:p>
      <w:pPr>
        <w:pStyle w:val="TextBody"/>
        <w:bidi w:val="0"/>
        <w:spacing w:before="12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for avoidance of doubt, the full amount described in clause (1) hereof (subject to clause (3) hereof), shall be available to GEO as of the Effective Date to make Restricted Payments from and after the Effective Date; </w:t>
      </w:r>
    </w:p>
    <w:p>
      <w:pPr>
        <w:pStyle w:val="TextBody"/>
        <w:bidi w:val="0"/>
        <w:spacing w:before="240" w:after="0"/>
        <w:jc w:val="left"/>
        <w:rPr>
          <w:rFonts w:ascii="Times New Roman" w:hAnsi="Times New Roman"/>
          <w:sz w:val="20"/>
        </w:rPr>
      </w:pPr>
      <w:r>
        <w:rPr>
          <w:rFonts w:ascii="Times New Roman" w:hAnsi="Times New Roman"/>
          <w:sz w:val="20"/>
        </w:rPr>
        <w:t xml:space="preserve">(c) so long as no Default or Event of Default shall have occurred and be continuing or would result therefrom, GEO may make Equity Repurchase Restricted Payments from the Net Available Proceeds of Dispositions of the Loan Parties received on or after July 31, 2026, and Not Otherwise Applied, in an aggregate amount that, when taken together with all other Equity Repurchase Restricted Payments made (or to be made as a result of a declaration thereof) pursuant to this clause (c), shall not exceed in the aggregate $2,500,000,000; </w:t>
      </w:r>
    </w:p>
    <w:p>
      <w:pPr>
        <w:pStyle w:val="TextBody"/>
        <w:bidi w:val="0"/>
        <w:spacing w:before="240" w:after="0"/>
        <w:jc w:val="left"/>
        <w:rPr>
          <w:rFonts w:ascii="Times New Roman" w:hAnsi="Times New Roman"/>
          <w:sz w:val="20"/>
        </w:rPr>
      </w:pPr>
      <w:r>
        <w:rPr>
          <w:rFonts w:ascii="Times New Roman" w:hAnsi="Times New Roman"/>
          <w:sz w:val="20"/>
        </w:rPr>
        <w:t xml:space="preserve">(d) (x) Restricted Subsidiaries that are not Loan Parties may make Restricted Payments to other Restricted Subsidiaries or to GEO, and (y) Restricted Subsidiaries that are Loan Parties may make Restricted Payments to other Loan Parties; </w:t>
      </w:r>
    </w:p>
    <w:p>
      <w:pPr>
        <w:pStyle w:val="TextBody"/>
        <w:bidi w:val="0"/>
        <w:spacing w:before="240" w:after="0"/>
        <w:jc w:val="left"/>
        <w:rPr>
          <w:rFonts w:ascii="Times New Roman" w:hAnsi="Times New Roman"/>
          <w:sz w:val="20"/>
        </w:rPr>
      </w:pPr>
      <w:r>
        <w:rPr>
          <w:rFonts w:ascii="Times New Roman" w:hAnsi="Times New Roman"/>
          <w:sz w:val="20"/>
        </w:rPr>
        <w:t xml:space="preserve">(e) GEO may declare and pay non-cash dividends with respect to its capital stock payable in additional shares of common stock of GEO (it being understood that such non-cash dividends may be paid concurrently with any other dividends (including those payable in cash) otherwise expressly permitted to be declared and made hereunder); </w:t>
      </w:r>
    </w:p>
    <w:p>
      <w:pPr>
        <w:pStyle w:val="TextBody"/>
        <w:bidi w:val="0"/>
        <w:spacing w:before="240" w:after="0"/>
        <w:jc w:val="left"/>
        <w:rPr>
          <w:rFonts w:ascii="Times New Roman" w:hAnsi="Times New Roman"/>
          <w:sz w:val="20"/>
        </w:rPr>
      </w:pPr>
      <w:r>
        <w:rPr>
          <w:rFonts w:ascii="Times New Roman" w:hAnsi="Times New Roman"/>
          <w:sz w:val="20"/>
        </w:rPr>
        <w:t xml:space="preserve">(f) GEO may (x) make Restricted Payments pursuant to and in accordance with customary stock option plans or other benefit plans established in the ordinary course of business for directors, management, employees or consultants of GEO and its Subsidiaries in any fiscal year of GEO in an aggregate amount of (1) $2,500,000, </w:t>
      </w:r>
      <w:r>
        <w:rPr>
          <w:rFonts w:ascii="Times New Roman" w:hAnsi="Times New Roman"/>
          <w:sz w:val="20"/>
          <w:u w:val="single"/>
        </w:rPr>
        <w:t>plus</w:t>
      </w:r>
      <w:r>
        <w:rPr>
          <w:rFonts w:ascii="Times New Roman" w:hAnsi="Times New Roman"/>
          <w:sz w:val="20"/>
        </w:rPr>
        <w:t xml:space="preserve"> (2), commencing with the 2025 fiscal year, that portion of any such $2,500,000 in allowable Restricted Payments for each preceding fiscal year (commencing with the 2024 fiscal year) that shall not have been made during such applicable preceding fiscal year, </w:t>
      </w:r>
      <w:r>
        <w:rPr>
          <w:rFonts w:ascii="Times New Roman" w:hAnsi="Times New Roman"/>
          <w:sz w:val="20"/>
          <w:u w:val="single"/>
        </w:rPr>
        <w:t>plus</w:t>
      </w:r>
      <w:r>
        <w:rPr>
          <w:rFonts w:ascii="Times New Roman" w:hAnsi="Times New Roman"/>
          <w:sz w:val="20"/>
        </w:rPr>
        <w:t xml:space="preserve"> (3) the amount of any repurchases deemed to occur upon the withholding of a portion of the equity interests or options granted or awarded to such directors, management, employees or consultants to pay for the Taxes payable by such Person upon such grant or award (or upon the vesting thereof) and (y) pay dividends upon the vesting of any awards issued under customary stock option plans or other benefit plans established in the ordinary course of business for directors, management, employees or consultants of GEO and its Subsidiaries at a time when GEO was classified as a real estate investment trust under the Code, in an aggregate amount not to exceed $3,000,000;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GEO may repurchase its common stock in an aggregate amount not to exceed an amount equal to 10% of the original principal amount of convertible debt securities repurchased in connection with a Tax Savings Repurchase Event; </w:t>
      </w:r>
    </w:p>
    <w:p>
      <w:pPr>
        <w:pStyle w:val="TextBody"/>
        <w:bidi w:val="0"/>
        <w:spacing w:before="240" w:after="0"/>
        <w:jc w:val="left"/>
        <w:rPr>
          <w:rFonts w:ascii="Times New Roman" w:hAnsi="Times New Roman"/>
          <w:sz w:val="20"/>
        </w:rPr>
      </w:pPr>
      <w:r>
        <w:rPr>
          <w:rFonts w:ascii="Times New Roman" w:hAnsi="Times New Roman"/>
          <w:sz w:val="20"/>
        </w:rPr>
        <w:t xml:space="preserve">(h) [Reserved]; </w:t>
      </w:r>
    </w:p>
    <w:p>
      <w:pPr>
        <w:pStyle w:val="TextBody"/>
        <w:bidi w:val="0"/>
        <w:spacing w:before="240" w:after="0"/>
        <w:jc w:val="left"/>
        <w:rPr>
          <w:rFonts w:ascii="Times New Roman" w:hAnsi="Times New Roman"/>
          <w:sz w:val="20"/>
        </w:rPr>
      </w:pPr>
      <w:r>
        <w:rPr>
          <w:rFonts w:ascii="Times New Roman" w:hAnsi="Times New Roman"/>
          <w:sz w:val="20"/>
        </w:rPr>
        <w:t xml:space="preserve">(i) so long as no Default or Event of Default shall have occurred and be continuing or would result therefrom and GEO shall be in compliance, on a pro forma basis, with the Interest Coverage Ratio contained in </w:t>
      </w:r>
      <w:r>
        <w:rPr>
          <w:rFonts w:ascii="Times New Roman" w:hAnsi="Times New Roman"/>
          <w:sz w:val="20"/>
          <w:u w:val="single"/>
        </w:rPr>
        <w:t>Section 6.09</w:t>
      </w:r>
      <w:r>
        <w:rPr>
          <w:rFonts w:ascii="Times New Roman" w:hAnsi="Times New Roman"/>
          <w:sz w:val="20"/>
        </w:rPr>
        <w:t xml:space="preserve">, and the Pro Forma Total Leverage Ratio and Pro Forma First Lien Leverage Ratio do not exceed the requirements of </w:t>
      </w:r>
      <w:r>
        <w:rPr>
          <w:rFonts w:ascii="Times New Roman" w:hAnsi="Times New Roman"/>
          <w:sz w:val="20"/>
          <w:u w:val="single"/>
        </w:rPr>
        <w:t>Section 6.09</w:t>
      </w:r>
      <w:r>
        <w:rPr>
          <w:rFonts w:ascii="Times New Roman" w:hAnsi="Times New Roman"/>
          <w:sz w:val="20"/>
        </w:rPr>
        <w:t xml:space="preserve">), GEO may declare and make Restricted Payments in an aggregate amount that, when taken together with all other Restricted Payments made after the Effective Date (or to be made as a result of a declaration thereof) pursuant to this clause (i), shall not exceed $200,000,000; and </w:t>
      </w:r>
    </w:p>
    <w:p>
      <w:pPr>
        <w:pStyle w:val="TextBody"/>
        <w:bidi w:val="0"/>
        <w:spacing w:before="240" w:after="0"/>
        <w:jc w:val="left"/>
        <w:rPr>
          <w:rFonts w:ascii="Times New Roman" w:hAnsi="Times New Roman"/>
          <w:sz w:val="20"/>
        </w:rPr>
      </w:pPr>
      <w:r>
        <w:rPr>
          <w:rFonts w:ascii="Times New Roman" w:hAnsi="Times New Roman"/>
          <w:sz w:val="20"/>
        </w:rPr>
        <w:t xml:space="preserve">(j) so long as the Discharge of 2029 Senior Notes has occurred and no Default or Event of Default shall have occurred and be continuing or would result therefrom and the Pro Forma Total Leverage Ratio does not exceed 2.25:1.00, GEO may declare and make Restricted Payments. </w:t>
      </w:r>
    </w:p>
    <w:p>
      <w:pPr>
        <w:pStyle w:val="TextBody"/>
        <w:bidi w:val="0"/>
        <w:spacing w:before="240" w:after="0"/>
        <w:jc w:val="left"/>
        <w:rPr>
          <w:rFonts w:ascii="Times New Roman" w:hAnsi="Times New Roman"/>
          <w:sz w:val="20"/>
        </w:rPr>
      </w:pPr>
      <w:r>
        <w:rPr>
          <w:rFonts w:ascii="Times New Roman" w:hAnsi="Times New Roman"/>
          <w:sz w:val="20"/>
        </w:rPr>
        <w:t xml:space="preserve">Section 6.06 </w:t>
      </w:r>
      <w:r>
        <w:rPr>
          <w:rFonts w:ascii="Times New Roman" w:hAnsi="Times New Roman"/>
          <w:sz w:val="20"/>
          <w:u w:val="single"/>
        </w:rPr>
        <w:t>Transactions with Affiliates</w:t>
      </w:r>
      <w:r>
        <w:rPr>
          <w:rFonts w:ascii="Times New Roman" w:hAnsi="Times New Roman"/>
          <w:sz w:val="20"/>
        </w:rPr>
        <w:t xml:space="preserve">. No Borrower will, nor will it permit any of its Restricted Subsidiaries to, sell, lease or otherwise transfer any property or assets to, or purchase, lease or otherwise acquire any property or assets from, or otherwise engage in any other transactions with, any of its Affiliates, except (a) transactions at prices and on terms and conditions not less favorable to such Borrower or such Subsidiary than could be obtained on an arm’s-length basis from unrelated third parties; (b) transactions between or among the Borrowers and the Restricted Subsidiaries not involving any other Affiliate, (c) transactions expressly permitted to be undertaken with or for the benefit of Affiliates by any of </w:t>
      </w:r>
      <w:r>
        <w:rPr>
          <w:rFonts w:ascii="Times New Roman" w:hAnsi="Times New Roman"/>
          <w:sz w:val="20"/>
          <w:u w:val="single"/>
        </w:rPr>
        <w:t>Sections 6.01</w:t>
      </w:r>
      <w:r>
        <w:rPr>
          <w:rFonts w:ascii="Times New Roman" w:hAnsi="Times New Roman"/>
          <w:sz w:val="20"/>
        </w:rPr>
        <w:t xml:space="preserve">, </w:t>
      </w:r>
      <w:r>
        <w:rPr>
          <w:rFonts w:ascii="Times New Roman" w:hAnsi="Times New Roman"/>
          <w:sz w:val="20"/>
          <w:u w:val="single"/>
        </w:rPr>
        <w:t>6.03</w:t>
      </w:r>
      <w:r>
        <w:rPr>
          <w:rFonts w:ascii="Times New Roman" w:hAnsi="Times New Roman"/>
          <w:sz w:val="20"/>
        </w:rPr>
        <w:t xml:space="preserve">, and </w:t>
      </w:r>
      <w:r>
        <w:rPr>
          <w:rFonts w:ascii="Times New Roman" w:hAnsi="Times New Roman"/>
          <w:sz w:val="20"/>
          <w:u w:val="single"/>
        </w:rPr>
        <w:t>6.04</w:t>
      </w:r>
      <w:r>
        <w:rPr>
          <w:rFonts w:ascii="Times New Roman" w:hAnsi="Times New Roman"/>
          <w:sz w:val="20"/>
        </w:rPr>
        <w:t xml:space="preserve">, and (d) Restricted Payments permitted by </w:t>
      </w:r>
      <w:r>
        <w:rPr>
          <w:rFonts w:ascii="Times New Roman" w:hAnsi="Times New Roman"/>
          <w:sz w:val="20"/>
          <w:u w:val="single"/>
        </w:rPr>
        <w:t>Section 6.05</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6.07 </w:t>
      </w:r>
      <w:r>
        <w:rPr>
          <w:rFonts w:ascii="Times New Roman" w:hAnsi="Times New Roman"/>
          <w:sz w:val="20"/>
          <w:u w:val="single"/>
        </w:rPr>
        <w:t>Restrictive Agreements</w:t>
      </w:r>
      <w:r>
        <w:rPr>
          <w:rFonts w:ascii="Times New Roman" w:hAnsi="Times New Roman"/>
          <w:sz w:val="20"/>
        </w:rPr>
        <w:t xml:space="preserve">. No Borrower will, nor will it permit any of the Restricted Subsidiaries to, directly or indirectly, enter into, incur or permit to exist any agreement, other arrangement or negative pledge that prohibits, restricts or imposes any condition upon (a) the ability of GEO or any Restricted Subsidiary to create, incur or permit to exist any Lien upon any of its assets or to grant a security interest in or mortgage the requisite Material Real Property upon the occurrence of a Springing Mortgage Trigger Event or during a Springing Mortgage Period, or (b) the ability of any Restricted Subsidiary to pay dividends or other distributions with respect to any of its Equity Interests on a </w:t>
      </w:r>
      <w:r>
        <w:rPr>
          <w:rFonts w:ascii="Times New Roman" w:hAnsi="Times New Roman"/>
          <w:i/>
          <w:sz w:val="20"/>
        </w:rPr>
        <w:t>pro rata</w:t>
      </w:r>
      <w:r>
        <w:rPr>
          <w:rFonts w:ascii="Times New Roman" w:hAnsi="Times New Roman"/>
          <w:sz w:val="20"/>
        </w:rPr>
        <w:t xml:space="preserve"> basis in respect of any class of Equity Interests of such Restricted Subsidiary; </w:t>
      </w:r>
      <w:r>
        <w:rPr>
          <w:rFonts w:ascii="Times New Roman" w:hAnsi="Times New Roman"/>
          <w:sz w:val="20"/>
          <w:u w:val="single"/>
        </w:rPr>
        <w:t>provided</w:t>
      </w:r>
      <w:r>
        <w:rPr>
          <w:rFonts w:ascii="Times New Roman" w:hAnsi="Times New Roman"/>
          <w:sz w:val="20"/>
        </w:rPr>
        <w:t xml:space="preserve"> that: </w:t>
      </w:r>
    </w:p>
    <w:p>
      <w:pPr>
        <w:pStyle w:val="TextBody"/>
        <w:bidi w:val="0"/>
        <w:spacing w:before="120" w:after="0"/>
        <w:jc w:val="left"/>
        <w:rPr>
          <w:rFonts w:ascii="Times New Roman" w:hAnsi="Times New Roman"/>
          <w:sz w:val="20"/>
        </w:rPr>
      </w:pPr>
      <w:r>
        <w:rPr>
          <w:rFonts w:ascii="Times New Roman" w:hAnsi="Times New Roman"/>
          <w:sz w:val="20"/>
        </w:rPr>
        <w:t xml:space="preserve">(i) the foregoing shall not apply to (x) restrictions and conditions imposed by any of the Senior Note Indentures, by law or by any Loan Document, (y) restrictions and conditions existing on the date hereof identified on </w:t>
      </w:r>
      <w:r>
        <w:rPr>
          <w:rFonts w:ascii="Times New Roman" w:hAnsi="Times New Roman"/>
          <w:sz w:val="20"/>
          <w:u w:val="single"/>
        </w:rPr>
        <w:t>Schedule 6.07</w:t>
      </w:r>
      <w:r>
        <w:rPr>
          <w:rFonts w:ascii="Times New Roman" w:hAnsi="Times New Roman"/>
          <w:sz w:val="20"/>
        </w:rPr>
        <w:t xml:space="preserve"> of the Disclosure Supplement (but shall apply to any extension or renewal of, or any amendment or modification expanding the scope of, any such restriction or condition) and (z) customary restrictions and conditions contained in agreements relating to the sale of a Restricted Subsidiary pending such sale; </w:t>
      </w:r>
      <w:r>
        <w:rPr>
          <w:rFonts w:ascii="Times New Roman" w:hAnsi="Times New Roman"/>
          <w:sz w:val="20"/>
          <w:u w:val="single"/>
        </w:rPr>
        <w:t>provided</w:t>
      </w:r>
      <w:r>
        <w:rPr>
          <w:rFonts w:ascii="Times New Roman" w:hAnsi="Times New Roman"/>
          <w:sz w:val="20"/>
        </w:rPr>
        <w:t xml:space="preserve"> that such restrictions and conditions apply only to the Restricted Subsidiary that is to be sold and such sale is permitted hereunder;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clause (a) of the foregoing shall not apply to (x) restrictions or conditions imposed by any agreement relating to secured Indebtedness permitted by this Agreement if such restrictions or conditions apply only to the property or assets securing such Indebtedness, (y) customary provisions in leases and other contracts restricting the assignment thereof and (z) customary restrictions imposed on any real estate investment trust by the terms of preferred stock issued by such real estate investment trust requiring the prior payment of dividends to its holders of such preferred stock; </w:t>
      </w:r>
      <w:r>
        <w:rPr>
          <w:rFonts w:ascii="Times New Roman" w:hAnsi="Times New Roman"/>
          <w:sz w:val="20"/>
          <w:u w:val="single"/>
        </w:rPr>
        <w:t>provided</w:t>
      </w:r>
      <w:r>
        <w:rPr>
          <w:rFonts w:ascii="Times New Roman" w:hAnsi="Times New Roman"/>
          <w:sz w:val="20"/>
        </w:rPr>
        <w:t xml:space="preserve"> that the aggregate amount of such dividends payable on all such preferred stock containing such restrictions held by Persons other than GEO and its Restricted Subsidiaries shall not exceed $75,000 for any calendar year. </w:t>
      </w:r>
    </w:p>
    <w:p>
      <w:pPr>
        <w:pStyle w:val="TextBody"/>
        <w:bidi w:val="0"/>
        <w:spacing w:before="240" w:after="0"/>
        <w:jc w:val="left"/>
        <w:rPr>
          <w:rFonts w:ascii="Times New Roman" w:hAnsi="Times New Roman"/>
          <w:sz w:val="20"/>
        </w:rPr>
      </w:pPr>
      <w:r>
        <w:rPr>
          <w:rFonts w:ascii="Times New Roman" w:hAnsi="Times New Roman"/>
          <w:sz w:val="20"/>
        </w:rPr>
        <w:t xml:space="preserve">Section 6.08 </w:t>
      </w:r>
      <w:r>
        <w:rPr>
          <w:rFonts w:ascii="Times New Roman" w:hAnsi="Times New Roman"/>
          <w:sz w:val="20"/>
          <w:u w:val="single"/>
        </w:rPr>
        <w:t>Modifications of Certain Documents</w:t>
      </w:r>
      <w:r>
        <w:rPr>
          <w:rFonts w:ascii="Times New Roman" w:hAnsi="Times New Roman"/>
          <w:sz w:val="20"/>
        </w:rPr>
        <w:t xml:space="preserve">. No Borrower will, nor will it permit any of its Restricted Subsidiaries to, consent to any modification, supplement or waiver of any of the provisions of any of the Senior Note Indentures without the consent of the Administrative Agent (not to be unreasonably withheld), except for the addition of guarantors in accordance with the terms of any of the Senior Note Indentures (provided that all such guarantors shall be or immediately become Guarantors) and such other modifications, supplements or waivers not materially adverse to the Administrative Agent or the Lenders. </w:t>
      </w:r>
    </w:p>
    <w:p>
      <w:pPr>
        <w:pStyle w:val="TextBody"/>
        <w:bidi w:val="0"/>
        <w:spacing w:before="240" w:after="0"/>
        <w:jc w:val="left"/>
        <w:rPr>
          <w:rFonts w:ascii="Times New Roman" w:hAnsi="Times New Roman"/>
          <w:sz w:val="20"/>
        </w:rPr>
      </w:pPr>
      <w:r>
        <w:rPr>
          <w:rFonts w:ascii="Times New Roman" w:hAnsi="Times New Roman"/>
          <w:sz w:val="20"/>
        </w:rPr>
        <w:t xml:space="preserve">Section 6.09 </w:t>
      </w:r>
      <w:r>
        <w:rPr>
          <w:rFonts w:ascii="Times New Roman" w:hAnsi="Times New Roman"/>
          <w:sz w:val="20"/>
          <w:u w:val="single"/>
        </w:rPr>
        <w:t>Certain Financial Covenants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Total Leverage Ratio</w:t>
      </w:r>
      <w:r>
        <w:rPr>
          <w:rFonts w:ascii="Times New Roman" w:hAnsi="Times New Roman"/>
          <w:sz w:val="20"/>
        </w:rPr>
        <w:t xml:space="preserve">. GEO will not permit the Total Leverage Ratio on the last day of each of GEO’s fiscal quarters during any period set forth in the following table to exceed the ratio set forth therein with respect to such period: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631"/>
        <w:gridCol w:w="240"/>
        <w:gridCol w:w="60"/>
        <w:gridCol w:w="945"/>
        <w:gridCol w:w="63"/>
      </w:tblGrid>
      <w:tr>
        <w:trPr/>
        <w:tc>
          <w:tcPr>
            <w:tcW w:w="5631" w:type="dxa"/>
            <w:tcBorders/>
            <w:vAlign w:val="center"/>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63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Period</w:t>
            </w:r>
          </w:p>
        </w:tc>
        <w:tc>
          <w:tcPr>
            <w:tcW w:w="240" w:type="dxa"/>
            <w:tcBorders/>
            <w:vAlign w:val="bottom"/>
          </w:tcPr>
          <w:p>
            <w:pPr>
              <w:pStyle w:val="TableContents"/>
              <w:bidi w:val="0"/>
              <w:spacing w:before="0" w:after="283"/>
              <w:jc w:val="left"/>
              <w:rPr/>
            </w:pPr>
            <w:r>
              <w:rPr/>
              <w:t>  </w:t>
            </w:r>
          </w:p>
        </w:tc>
        <w:tc>
          <w:tcPr>
            <w:tcW w:w="10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Ratio</w:t>
            </w:r>
          </w:p>
        </w:tc>
        <w:tc>
          <w:tcPr>
            <w:tcW w:w="63" w:type="dxa"/>
            <w:tcBorders/>
            <w:vAlign w:val="bottom"/>
          </w:tcPr>
          <w:p>
            <w:pPr>
              <w:pStyle w:val="TableContents"/>
              <w:bidi w:val="0"/>
              <w:spacing w:before="0" w:after="283"/>
              <w:jc w:val="left"/>
              <w:rPr/>
            </w:pPr>
            <w:r>
              <w:rPr/>
              <w:t> </w:t>
            </w:r>
          </w:p>
        </w:tc>
      </w:tr>
      <w:tr>
        <w:trPr/>
        <w:tc>
          <w:tcPr>
            <w:tcW w:w="56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Effective Date and thereafter</w:t>
            </w:r>
          </w:p>
        </w:tc>
        <w:tc>
          <w:tcPr>
            <w:tcW w:w="2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45" w:type="dxa"/>
            <w:tcBorders/>
            <w:shd w:fill="CCEEFF" w:val="clear"/>
            <w:vAlign w:val="bottom"/>
          </w:tcPr>
          <w:p>
            <w:pPr>
              <w:pStyle w:val="TableContents"/>
              <w:bidi w:val="0"/>
              <w:spacing w:before="0" w:after="283"/>
              <w:jc w:val="right"/>
              <w:rPr/>
            </w:pPr>
            <w:r>
              <w:rPr/>
              <w:t>4.50:1.00</w:t>
            </w:r>
          </w:p>
        </w:tc>
        <w:tc>
          <w:tcPr>
            <w:tcW w:w="63"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First Lien Leverage Ratio</w:t>
      </w:r>
      <w:r>
        <w:rPr>
          <w:rFonts w:ascii="Times New Roman" w:hAnsi="Times New Roman"/>
          <w:sz w:val="20"/>
        </w:rPr>
        <w:t xml:space="preserve">. GEO will not permit the First Lien Leverage Ratio on the last day of each of GEO’s fiscal quarters during any period set forth in the following table to exceed the ratio set forth therein with respect to such period: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631"/>
        <w:gridCol w:w="240"/>
        <w:gridCol w:w="60"/>
        <w:gridCol w:w="945"/>
        <w:gridCol w:w="63"/>
      </w:tblGrid>
      <w:tr>
        <w:trPr/>
        <w:tc>
          <w:tcPr>
            <w:tcW w:w="5631" w:type="dxa"/>
            <w:tcBorders/>
            <w:vAlign w:val="center"/>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63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Period</w:t>
            </w:r>
          </w:p>
        </w:tc>
        <w:tc>
          <w:tcPr>
            <w:tcW w:w="240" w:type="dxa"/>
            <w:tcBorders/>
            <w:vAlign w:val="bottom"/>
          </w:tcPr>
          <w:p>
            <w:pPr>
              <w:pStyle w:val="TableContents"/>
              <w:bidi w:val="0"/>
              <w:spacing w:before="0" w:after="283"/>
              <w:jc w:val="left"/>
              <w:rPr/>
            </w:pPr>
            <w:r>
              <w:rPr/>
              <w:t>  </w:t>
            </w:r>
          </w:p>
        </w:tc>
        <w:tc>
          <w:tcPr>
            <w:tcW w:w="10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Ratio</w:t>
            </w:r>
          </w:p>
        </w:tc>
        <w:tc>
          <w:tcPr>
            <w:tcW w:w="63" w:type="dxa"/>
            <w:tcBorders/>
            <w:vAlign w:val="bottom"/>
          </w:tcPr>
          <w:p>
            <w:pPr>
              <w:pStyle w:val="TableContents"/>
              <w:bidi w:val="0"/>
              <w:spacing w:before="0" w:after="283"/>
              <w:jc w:val="left"/>
              <w:rPr/>
            </w:pPr>
            <w:r>
              <w:rPr/>
              <w:t> </w:t>
            </w:r>
          </w:p>
        </w:tc>
      </w:tr>
      <w:tr>
        <w:trPr/>
        <w:tc>
          <w:tcPr>
            <w:tcW w:w="56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Effective Date and thereafter</w:t>
            </w:r>
          </w:p>
        </w:tc>
        <w:tc>
          <w:tcPr>
            <w:tcW w:w="2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45" w:type="dxa"/>
            <w:tcBorders/>
            <w:shd w:fill="CCEEFF" w:val="clear"/>
            <w:vAlign w:val="bottom"/>
          </w:tcPr>
          <w:p>
            <w:pPr>
              <w:pStyle w:val="TableContents"/>
              <w:bidi w:val="0"/>
              <w:spacing w:before="0" w:after="283"/>
              <w:jc w:val="right"/>
              <w:rPr/>
            </w:pPr>
            <w:r>
              <w:rPr/>
              <w:t>3.00:1.00</w:t>
            </w:r>
          </w:p>
        </w:tc>
        <w:tc>
          <w:tcPr>
            <w:tcW w:w="63"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Interest Coverage Ratio</w:t>
      </w:r>
      <w:r>
        <w:rPr>
          <w:rFonts w:ascii="Times New Roman" w:hAnsi="Times New Roman"/>
          <w:sz w:val="20"/>
        </w:rPr>
        <w:t xml:space="preserve">. GEO will not permit the Interest Coverage Ratio on the last day of each of GEO’s fiscal quarters to be less than 1.75 to 1.00. </w:t>
      </w:r>
    </w:p>
    <w:p>
      <w:pPr>
        <w:pStyle w:val="TextBody"/>
        <w:bidi w:val="0"/>
        <w:spacing w:before="240" w:after="0"/>
        <w:jc w:val="left"/>
        <w:rPr>
          <w:rFonts w:ascii="Times New Roman" w:hAnsi="Times New Roman"/>
          <w:sz w:val="20"/>
        </w:rPr>
      </w:pPr>
      <w:r>
        <w:rPr>
          <w:rFonts w:ascii="Times New Roman" w:hAnsi="Times New Roman"/>
          <w:sz w:val="20"/>
        </w:rPr>
        <w:t xml:space="preserve">Section 6.10 </w:t>
      </w:r>
      <w:r>
        <w:rPr>
          <w:rFonts w:ascii="Times New Roman" w:hAnsi="Times New Roman"/>
          <w:sz w:val="20"/>
          <w:u w:val="single"/>
        </w:rPr>
        <w:t>Limitations on Exchange and Issuance of Equity Interests</w:t>
      </w:r>
      <w:r>
        <w:rPr>
          <w:rFonts w:ascii="Times New Roman" w:hAnsi="Times New Roman"/>
          <w:sz w:val="20"/>
        </w:rPr>
        <w:t xml:space="preserve">. No Borrower will, nor will it permit any of its Restricted Subsidiaries to, issue, sell or otherwise dispose of any class or series of Equity Interests that, by its terms or by the terms of any security into which it is convertible or exchangeable, is, or upon the occurrence of any event or the lapse of time would be, (a) convertible or exchangeable into Indebtedness or (b) required to be redeemed or repurchased, including at the option of the holder, in whole or in part.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6.11 </w:t>
      </w:r>
      <w:r>
        <w:rPr>
          <w:rFonts w:ascii="Times New Roman" w:hAnsi="Times New Roman"/>
          <w:sz w:val="20"/>
          <w:u w:val="single"/>
        </w:rPr>
        <w:t>Nature of Business</w:t>
      </w:r>
      <w:r>
        <w:rPr>
          <w:rFonts w:ascii="Times New Roman" w:hAnsi="Times New Roman"/>
          <w:sz w:val="20"/>
        </w:rPr>
        <w:t xml:space="preserve">. No Borrower will, nor will it permit any of its Restricted Subsidiaries to, engage in any business other than a Permitted Business. </w:t>
      </w:r>
    </w:p>
    <w:p>
      <w:pPr>
        <w:pStyle w:val="TextBody"/>
        <w:bidi w:val="0"/>
        <w:spacing w:before="240" w:after="0"/>
        <w:jc w:val="left"/>
        <w:rPr>
          <w:rFonts w:ascii="Times New Roman" w:hAnsi="Times New Roman"/>
          <w:sz w:val="20"/>
        </w:rPr>
      </w:pPr>
      <w:r>
        <w:rPr>
          <w:rFonts w:ascii="Times New Roman" w:hAnsi="Times New Roman"/>
          <w:sz w:val="20"/>
        </w:rPr>
        <w:t xml:space="preserve">Section 6.12 </w:t>
      </w:r>
      <w:r>
        <w:rPr>
          <w:rFonts w:ascii="Times New Roman" w:hAnsi="Times New Roman"/>
          <w:sz w:val="20"/>
          <w:u w:val="single"/>
        </w:rPr>
        <w:t>Impairment of Security Interest</w:t>
      </w:r>
      <w:r>
        <w:rPr>
          <w:rFonts w:ascii="Times New Roman" w:hAnsi="Times New Roman"/>
          <w:sz w:val="20"/>
        </w:rPr>
        <w:t xml:space="preserve">. No Borrower will, nor will it permit any of its Restricted Subsidiaries to, take or omit to take any action, which might reasonably be expected to materially impair, or would have the result of materially impairing, the security interests in favor of the Administrative Agent with respect to the collateral granted in favor of the Administrative Agent for the benefit of the Secured Parties or grant to any Person (other than the Administrative Agent for the benefit of itself and the other Secured Parties pursuant to the Security Documents) any interest whatsoever in such collateral, except for Liens permitted under </w:t>
      </w:r>
      <w:r>
        <w:rPr>
          <w:rFonts w:ascii="Times New Roman" w:hAnsi="Times New Roman"/>
          <w:sz w:val="20"/>
          <w:u w:val="single"/>
        </w:rPr>
        <w:t>Section 6.02</w:t>
      </w:r>
      <w:r>
        <w:rPr>
          <w:rFonts w:ascii="Times New Roman" w:hAnsi="Times New Roman"/>
          <w:sz w:val="20"/>
        </w:rPr>
        <w:t xml:space="preserve"> and asset sales permitted under </w:t>
      </w:r>
      <w:r>
        <w:rPr>
          <w:rFonts w:ascii="Times New Roman" w:hAnsi="Times New Roman"/>
          <w:sz w:val="20"/>
          <w:u w:val="single"/>
        </w:rPr>
        <w:t>Section 6.03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6.13 </w:t>
      </w:r>
      <w:r>
        <w:rPr>
          <w:rFonts w:ascii="Times New Roman" w:hAnsi="Times New Roman"/>
          <w:sz w:val="20"/>
          <w:u w:val="single"/>
        </w:rPr>
        <w:t>Payments and Prepayments of Subordinated Debt</w:t>
      </w:r>
      <w:r>
        <w:rPr>
          <w:rFonts w:ascii="Times New Roman" w:hAnsi="Times New Roman"/>
          <w:sz w:val="20"/>
        </w:rPr>
        <w:t xml:space="preserve">. No Borrower will, nor will it permit any of its Restricted Subsidiaries to, declare or make, or agree to pay for or make, directly or indirectly, any payment of principal or interest or any purchase, redemption, retirement, acquisition or defeasance with respect to any Indebtedness of such Person which is subordinated in right of payment to the payment of the Obligations except that so long as no Default shall have occurred and shall be continuing or would immediately result therefrom, any Borrower or any Restricted Subsidiary may make payments of Subordinated Debt to the extent permitted by the subordination provisions applicable thereto. </w:t>
      </w:r>
    </w:p>
    <w:p>
      <w:pPr>
        <w:pStyle w:val="TextBody"/>
        <w:bidi w:val="0"/>
        <w:spacing w:before="240" w:after="0"/>
        <w:jc w:val="left"/>
        <w:rPr>
          <w:rFonts w:ascii="Times New Roman" w:hAnsi="Times New Roman"/>
          <w:sz w:val="20"/>
        </w:rPr>
      </w:pPr>
      <w:r>
        <w:rPr>
          <w:rFonts w:ascii="Times New Roman" w:hAnsi="Times New Roman"/>
          <w:sz w:val="20"/>
        </w:rPr>
        <w:t xml:space="preserve">Section 6.14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6.15 </w:t>
      </w:r>
      <w:r>
        <w:rPr>
          <w:rFonts w:ascii="Times New Roman" w:hAnsi="Times New Roman"/>
          <w:sz w:val="20"/>
          <w:u w:val="single"/>
        </w:rPr>
        <w:t>REIT Status</w:t>
      </w:r>
      <w:r>
        <w:rPr>
          <w:rFonts w:ascii="Times New Roman" w:hAnsi="Times New Roman"/>
          <w:sz w:val="20"/>
        </w:rPr>
        <w:t xml:space="preserve">. GEO will not elect to be taxed as a real estate investment trust under Sections 856-860 of the Code. </w:t>
      </w:r>
    </w:p>
    <w:p>
      <w:pPr>
        <w:pStyle w:val="TextBody"/>
        <w:bidi w:val="0"/>
        <w:spacing w:before="480" w:after="0"/>
        <w:jc w:val="center"/>
        <w:rPr>
          <w:rFonts w:ascii="Times New Roman" w:hAnsi="Times New Roman"/>
          <w:sz w:val="20"/>
        </w:rPr>
      </w:pPr>
      <w:r>
        <w:rPr>
          <w:rFonts w:ascii="Times New Roman" w:hAnsi="Times New Roman"/>
          <w:sz w:val="20"/>
        </w:rPr>
        <w:t xml:space="preserve">ARTICLE VII </w:t>
      </w:r>
    </w:p>
    <w:p>
      <w:pPr>
        <w:pStyle w:val="TextBody"/>
        <w:bidi w:val="0"/>
        <w:spacing w:before="120" w:after="0"/>
        <w:jc w:val="center"/>
        <w:rPr>
          <w:rFonts w:ascii="Times New Roman" w:hAnsi="Times New Roman"/>
          <w:sz w:val="20"/>
        </w:rPr>
      </w:pPr>
      <w:r>
        <w:rPr>
          <w:rFonts w:ascii="Times New Roman" w:hAnsi="Times New Roman"/>
          <w:sz w:val="20"/>
        </w:rPr>
        <w:t xml:space="preserve">EVENTS OF DEFAULT </w:t>
      </w:r>
    </w:p>
    <w:p>
      <w:pPr>
        <w:pStyle w:val="TextBody"/>
        <w:bidi w:val="0"/>
        <w:spacing w:before="240" w:after="0"/>
        <w:jc w:val="left"/>
        <w:rPr>
          <w:rFonts w:ascii="Times New Roman" w:hAnsi="Times New Roman"/>
          <w:sz w:val="20"/>
        </w:rPr>
      </w:pPr>
      <w:r>
        <w:rPr>
          <w:rFonts w:ascii="Times New Roman" w:hAnsi="Times New Roman"/>
          <w:sz w:val="20"/>
        </w:rPr>
        <w:t xml:space="preserve">Section 7.01 </w:t>
      </w:r>
      <w:r>
        <w:rPr>
          <w:rFonts w:ascii="Times New Roman" w:hAnsi="Times New Roman"/>
          <w:sz w:val="20"/>
          <w:u w:val="single"/>
        </w:rPr>
        <w:t>Events of Default</w:t>
      </w:r>
      <w:r>
        <w:rPr>
          <w:rFonts w:ascii="Times New Roman" w:hAnsi="Times New Roman"/>
          <w:sz w:val="20"/>
        </w:rPr>
        <w:t>. If any of the following events (each, an “</w:t>
      </w:r>
      <w:r>
        <w:rPr>
          <w:rFonts w:ascii="Times New Roman" w:hAnsi="Times New Roman"/>
          <w:sz w:val="20"/>
          <w:u w:val="single"/>
        </w:rPr>
        <w:t>Event of Default</w:t>
      </w:r>
      <w:r>
        <w:rPr>
          <w:rFonts w:ascii="Times New Roman" w:hAnsi="Times New Roman"/>
          <w:sz w:val="20"/>
        </w:rPr>
        <w:t xml:space="preserve">”) shall occur: </w:t>
      </w:r>
    </w:p>
    <w:p>
      <w:pPr>
        <w:pStyle w:val="TextBody"/>
        <w:bidi w:val="0"/>
        <w:spacing w:before="120" w:after="0"/>
        <w:jc w:val="left"/>
        <w:rPr>
          <w:rFonts w:ascii="Times New Roman" w:hAnsi="Times New Roman"/>
          <w:sz w:val="20"/>
        </w:rPr>
      </w:pPr>
      <w:r>
        <w:rPr>
          <w:rFonts w:ascii="Times New Roman" w:hAnsi="Times New Roman"/>
          <w:sz w:val="20"/>
        </w:rPr>
        <w:t xml:space="preserve">(a) any Borrower shall fail to pay any principal of any Loan or any reimbursement obligation in respect of any LC Disbursement when and as the same shall become due and payable, whether at the due date thereof or at a date fixed for prepayment thereof or otherwise; </w:t>
      </w:r>
    </w:p>
    <w:p>
      <w:pPr>
        <w:pStyle w:val="TextBody"/>
        <w:bidi w:val="0"/>
        <w:spacing w:before="240" w:after="0"/>
        <w:jc w:val="left"/>
        <w:rPr>
          <w:rFonts w:ascii="Times New Roman" w:hAnsi="Times New Roman"/>
          <w:sz w:val="20"/>
        </w:rPr>
      </w:pPr>
      <w:r>
        <w:rPr>
          <w:rFonts w:ascii="Times New Roman" w:hAnsi="Times New Roman"/>
          <w:sz w:val="20"/>
        </w:rPr>
        <w:t xml:space="preserve">(b) any Borrower shall fail to pay any interest on any Loan or any fee or any other amount (other than an amount referred to in </w:t>
      </w:r>
      <w:r>
        <w:rPr>
          <w:rFonts w:ascii="Times New Roman" w:hAnsi="Times New Roman"/>
          <w:sz w:val="20"/>
          <w:u w:val="single"/>
        </w:rPr>
        <w:t>clause (a)</w:t>
      </w:r>
      <w:r>
        <w:rPr>
          <w:rFonts w:ascii="Times New Roman" w:hAnsi="Times New Roman"/>
          <w:sz w:val="20"/>
        </w:rPr>
        <w:t xml:space="preserve"> of this Section) payable by any Borrower under this Agreement or under any other Loan Document, when and as the same shall become due and payable, and such failure shall continue unremedied for a period of three or more Business Days; </w:t>
      </w:r>
    </w:p>
    <w:p>
      <w:pPr>
        <w:pStyle w:val="TextBody"/>
        <w:bidi w:val="0"/>
        <w:spacing w:before="240" w:after="0"/>
        <w:jc w:val="left"/>
        <w:rPr>
          <w:rFonts w:ascii="Times New Roman" w:hAnsi="Times New Roman"/>
          <w:sz w:val="20"/>
        </w:rPr>
      </w:pPr>
      <w:r>
        <w:rPr>
          <w:rFonts w:ascii="Times New Roman" w:hAnsi="Times New Roman"/>
          <w:sz w:val="20"/>
        </w:rPr>
        <w:t xml:space="preserve">(c) any representation or warranty made or deemed made by or on behalf of GEO or any of its Restricted Subsidiaries in or in connection with this Agreement or any other Loan Document or any amendment or modification hereof or thereof, or any waiver hereunder or thereunder, or in any report, certificate, financial statement or other document furnished pursuant to or in connection with this Agreement or any other Loan Document or any amendment or modification hereof or thereof, or any waiver hereunder or thereunder, shall prove to have been incorrect when made or deemed made in any material respect;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any Borrower shall fail to observe or perform any covenant, condition or agreement contained in </w:t>
      </w:r>
      <w:r>
        <w:rPr>
          <w:rFonts w:ascii="Times New Roman" w:hAnsi="Times New Roman"/>
          <w:sz w:val="20"/>
          <w:u w:val="single"/>
        </w:rPr>
        <w:t>Section 5.02(a)(i)</w:t>
      </w:r>
      <w:r>
        <w:rPr>
          <w:rFonts w:ascii="Times New Roman" w:hAnsi="Times New Roman"/>
          <w:sz w:val="20"/>
        </w:rPr>
        <w:t xml:space="preserve">, </w:t>
      </w:r>
      <w:r>
        <w:rPr>
          <w:rFonts w:ascii="Times New Roman" w:hAnsi="Times New Roman"/>
          <w:sz w:val="20"/>
          <w:u w:val="single"/>
        </w:rPr>
        <w:t>Section 5.03</w:t>
      </w:r>
      <w:r>
        <w:rPr>
          <w:rFonts w:ascii="Times New Roman" w:hAnsi="Times New Roman"/>
          <w:sz w:val="20"/>
        </w:rPr>
        <w:t xml:space="preserve"> (with respect to any Borrower’s respective existence), </w:t>
      </w:r>
      <w:r>
        <w:rPr>
          <w:rFonts w:ascii="Times New Roman" w:hAnsi="Times New Roman"/>
          <w:sz w:val="20"/>
          <w:u w:val="single"/>
        </w:rPr>
        <w:t>Section 5.08</w:t>
      </w:r>
      <w:r>
        <w:rPr>
          <w:rFonts w:ascii="Times New Roman" w:hAnsi="Times New Roman"/>
          <w:sz w:val="20"/>
        </w:rPr>
        <w:t xml:space="preserve">, </w:t>
      </w:r>
      <w:r>
        <w:rPr>
          <w:rFonts w:ascii="Times New Roman" w:hAnsi="Times New Roman"/>
          <w:sz w:val="20"/>
          <w:u w:val="single"/>
        </w:rPr>
        <w:t>Section 5.09</w:t>
      </w:r>
      <w:r>
        <w:rPr>
          <w:rFonts w:ascii="Times New Roman" w:hAnsi="Times New Roman"/>
          <w:sz w:val="20"/>
        </w:rPr>
        <w:t xml:space="preserve">, </w:t>
      </w:r>
      <w:r>
        <w:rPr>
          <w:rFonts w:ascii="Times New Roman" w:hAnsi="Times New Roman"/>
          <w:sz w:val="20"/>
          <w:u w:val="single"/>
        </w:rPr>
        <w:t>Section 5.10</w:t>
      </w:r>
      <w:r>
        <w:rPr>
          <w:rFonts w:ascii="Times New Roman" w:hAnsi="Times New Roman"/>
          <w:sz w:val="20"/>
        </w:rPr>
        <w:t xml:space="preserve">, </w:t>
      </w:r>
      <w:r>
        <w:rPr>
          <w:rFonts w:ascii="Times New Roman" w:hAnsi="Times New Roman"/>
          <w:sz w:val="20"/>
          <w:u w:val="single"/>
        </w:rPr>
        <w:t>Section 5.11(b)</w:t>
      </w:r>
      <w:r>
        <w:rPr>
          <w:rFonts w:ascii="Times New Roman" w:hAnsi="Times New Roman"/>
          <w:sz w:val="20"/>
        </w:rPr>
        <w:t xml:space="preserve"> and </w:t>
      </w:r>
      <w:r>
        <w:rPr>
          <w:rFonts w:ascii="Times New Roman" w:hAnsi="Times New Roman"/>
          <w:sz w:val="20"/>
          <w:u w:val="single"/>
        </w:rPr>
        <w:t>Section 5.14</w:t>
      </w:r>
      <w:r>
        <w:rPr>
          <w:rFonts w:ascii="Times New Roman" w:hAnsi="Times New Roman"/>
          <w:sz w:val="20"/>
        </w:rPr>
        <w:t xml:space="preserve"> or in </w:t>
      </w:r>
      <w:r>
        <w:rPr>
          <w:rFonts w:ascii="Times New Roman" w:hAnsi="Times New Roman"/>
          <w:sz w:val="20"/>
          <w:u w:val="single"/>
        </w:rPr>
        <w:t>Article VI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GEO or any of its Restricted Subsidiaries shall fail to observe or perform any covenant, condition or agreement contained in this Agreement or any other Loan Document (other than those specified in </w:t>
      </w:r>
      <w:r>
        <w:rPr>
          <w:rFonts w:ascii="Times New Roman" w:hAnsi="Times New Roman"/>
          <w:sz w:val="20"/>
          <w:u w:val="single"/>
        </w:rPr>
        <w:t>clause (a)</w:t>
      </w:r>
      <w:r>
        <w:rPr>
          <w:rFonts w:ascii="Times New Roman" w:hAnsi="Times New Roman"/>
          <w:sz w:val="20"/>
        </w:rPr>
        <w:t xml:space="preserve">, </w:t>
      </w:r>
      <w:r>
        <w:rPr>
          <w:rFonts w:ascii="Times New Roman" w:hAnsi="Times New Roman"/>
          <w:sz w:val="20"/>
          <w:u w:val="single"/>
        </w:rPr>
        <w:t>(b)</w:t>
      </w:r>
      <w:r>
        <w:rPr>
          <w:rFonts w:ascii="Times New Roman" w:hAnsi="Times New Roman"/>
          <w:sz w:val="20"/>
        </w:rPr>
        <w:t xml:space="preserve"> or </w:t>
      </w:r>
      <w:r>
        <w:rPr>
          <w:rFonts w:ascii="Times New Roman" w:hAnsi="Times New Roman"/>
          <w:sz w:val="20"/>
          <w:u w:val="single"/>
        </w:rPr>
        <w:t>(d)</w:t>
      </w:r>
      <w:r>
        <w:rPr>
          <w:rFonts w:ascii="Times New Roman" w:hAnsi="Times New Roman"/>
          <w:sz w:val="20"/>
        </w:rPr>
        <w:t xml:space="preserve"> of this Section) and such failure shall continue unremedied for a period of 30 or more days after notice thereof has been given to GEO by the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(f) GEO or any of its Restricted Subsidiaries shall fail to make any payment of principal or interest (regardless of amount) in respect of any Material Indebtedness, when and as the same shall become due and payable (after giving effect to any grace, cure or notice periods as originally in effect, without regard to any extension of any such periods); </w:t>
      </w:r>
    </w:p>
    <w:p>
      <w:pPr>
        <w:pStyle w:val="TextBody"/>
        <w:bidi w:val="0"/>
        <w:spacing w:before="240" w:after="0"/>
        <w:jc w:val="left"/>
        <w:rPr>
          <w:rFonts w:ascii="Times New Roman" w:hAnsi="Times New Roman"/>
          <w:sz w:val="20"/>
        </w:rPr>
      </w:pPr>
      <w:r>
        <w:rPr>
          <w:rFonts w:ascii="Times New Roman" w:hAnsi="Times New Roman"/>
          <w:sz w:val="20"/>
        </w:rPr>
        <w:t xml:space="preserve">(g) any default or event of default shall occur (after giving effect to any applicable period of grace) that results in any Material Indebtedness becoming due prior to its scheduled maturity or that enables or permits (with or without the giving of notice) the holder or holders of any Material Indebtedness or any trustee or agent on its or their behalf to cause any Material Indebtedness to become due, or to require the prepayment, repurchase, redemption or defeasance thereof, prior to its scheduled maturity; </w:t>
      </w:r>
      <w:r>
        <w:rPr>
          <w:rFonts w:ascii="Times New Roman" w:hAnsi="Times New Roman"/>
          <w:sz w:val="20"/>
          <w:u w:val="single"/>
        </w:rPr>
        <w:t>provided</w:t>
      </w:r>
      <w:r>
        <w:rPr>
          <w:rFonts w:ascii="Times New Roman" w:hAnsi="Times New Roman"/>
          <w:sz w:val="20"/>
        </w:rPr>
        <w:t xml:space="preserve"> that for avoidance of doubt, this </w:t>
      </w:r>
      <w:r>
        <w:rPr>
          <w:rFonts w:ascii="Times New Roman" w:hAnsi="Times New Roman"/>
          <w:sz w:val="20"/>
          <w:u w:val="single"/>
        </w:rPr>
        <w:t>clause (g)</w:t>
      </w:r>
      <w:r>
        <w:rPr>
          <w:rFonts w:ascii="Times New Roman" w:hAnsi="Times New Roman"/>
          <w:sz w:val="20"/>
        </w:rPr>
        <w:t xml:space="preserve"> shall not apply to Indebtedness that becomes due as a result of (x) the voluntary sale or transfer of property or assets or any casualty in respect of property or assets or (y) the furnishing of a notice of redemption, defeasance or prepayment of such Indebtedness permitted by the Loan Documents; </w:t>
      </w:r>
    </w:p>
    <w:p>
      <w:pPr>
        <w:pStyle w:val="TextBody"/>
        <w:bidi w:val="0"/>
        <w:spacing w:before="240" w:after="0"/>
        <w:jc w:val="left"/>
        <w:rPr>
          <w:rFonts w:ascii="Times New Roman" w:hAnsi="Times New Roman"/>
          <w:sz w:val="20"/>
        </w:rPr>
      </w:pPr>
      <w:r>
        <w:rPr>
          <w:rFonts w:ascii="Times New Roman" w:hAnsi="Times New Roman"/>
          <w:sz w:val="20"/>
        </w:rPr>
        <w:t xml:space="preserve">(h) an involuntary proceeding shall be commenced or an involuntary petition shall be filed seeking (i) liquidation, reorganization or other relief in respect of GEO or any of its Significant Subsidiaries or their respective debts, or of a substantial part of their respective assets, under any Federal, state or foreign bankruptcy, insolvency, receivership or similar law now or hereafter in effect or (ii) the appointment of a receiver, trustee, custodian, sequestrator, conservator, liquidator, administrative receiver, administrator, compulsory administrator, provisional liquidator, receiver and manager, controller or similar official for GEO or any of its Significant Subsidiaries or for a substantial part of their respective assets, and, in any such case, such proceeding or petition shall continue undismissed for a period of 60 or more days or an order or decree approving or ordering any of the foregoing shall be entered; </w:t>
      </w:r>
    </w:p>
    <w:p>
      <w:pPr>
        <w:pStyle w:val="TextBody"/>
        <w:bidi w:val="0"/>
        <w:spacing w:before="240" w:after="0"/>
        <w:jc w:val="left"/>
        <w:rPr>
          <w:rFonts w:ascii="Times New Roman" w:hAnsi="Times New Roman"/>
          <w:sz w:val="20"/>
        </w:rPr>
      </w:pPr>
      <w:r>
        <w:rPr>
          <w:rFonts w:ascii="Times New Roman" w:hAnsi="Times New Roman"/>
          <w:sz w:val="20"/>
        </w:rPr>
        <w:t xml:space="preserve">(i) GEO or any of its Significant Subsidiaries shall (i) voluntarily commence any proceeding or file any petition seeking liquidation, reorganization or other relief under any Federal, state or foreign bankruptcy, insolvency, receivership or similar law now or hereafter in effect, (ii) consent to the institution of, or fail to contest in a timely and appropriate manner, any proceeding or petition described in </w:t>
      </w:r>
      <w:r>
        <w:rPr>
          <w:rFonts w:ascii="Times New Roman" w:hAnsi="Times New Roman"/>
          <w:sz w:val="20"/>
          <w:u w:val="single"/>
        </w:rPr>
        <w:t>clause (h)</w:t>
      </w:r>
      <w:r>
        <w:rPr>
          <w:rFonts w:ascii="Times New Roman" w:hAnsi="Times New Roman"/>
          <w:sz w:val="20"/>
        </w:rPr>
        <w:t xml:space="preserve"> of this Section, (iii) apply for or consent to the appointment of a receiver, trustee, custodian, sequestrator, conservator, liquidator, administrative receiver, administrator, compulsory administrator, provisional liquidator, receiver and manager, controller or similar official for GEO or any of its Significant Subsidiaries or for a substantial part of their respective assets, (iv) file an answer admitting the material allegations of a petition filed against it in any such proceeding, (v) make a general assignment for the benefit of creditors or (vi) take any action for the purpose of effecting any of the foregoing;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(j) GEO or any of its Significant Subsidiaries shall admit in writing its inability to pay its debts as they become due; </w:t>
      </w:r>
    </w:p>
    <w:p>
      <w:pPr>
        <w:pStyle w:val="TextBody"/>
        <w:bidi w:val="0"/>
        <w:spacing w:before="240" w:after="0"/>
        <w:jc w:val="left"/>
        <w:rPr>
          <w:rFonts w:ascii="Times New Roman" w:hAnsi="Times New Roman"/>
          <w:sz w:val="20"/>
        </w:rPr>
      </w:pPr>
      <w:r>
        <w:rPr>
          <w:rFonts w:ascii="Times New Roman" w:hAnsi="Times New Roman"/>
          <w:sz w:val="20"/>
        </w:rPr>
        <w:t xml:space="preserve">(k) (i) one or more judgments for the payment of money in an aggregate amount (excluding any portion thereof covered by insurance issued by a creditworthy company whereby the insurer has assumed the duty to defend the claim, to the extent the insurer has not denied or reserved coverage in respect thereof) in excess of $50,000,000 shall be rendered against GEO or any of its Subsidiaries or any combination thereof and the same shall remain undischarged for a period of 30 consecutive days during which execution shall not be effectively stayed, or any action shall be legally taken by a judgment creditor to attach or levy upon any assets of GEO or any of its Subsidiaries to enforce any such judgment, or (ii) [Reserved]; </w:t>
      </w:r>
    </w:p>
    <w:p>
      <w:pPr>
        <w:pStyle w:val="TextBody"/>
        <w:bidi w:val="0"/>
        <w:spacing w:before="240" w:after="0"/>
        <w:jc w:val="left"/>
        <w:rPr>
          <w:rFonts w:ascii="Times New Roman" w:hAnsi="Times New Roman"/>
          <w:sz w:val="20"/>
        </w:rPr>
      </w:pPr>
      <w:r>
        <w:rPr>
          <w:rFonts w:ascii="Times New Roman" w:hAnsi="Times New Roman"/>
          <w:sz w:val="20"/>
        </w:rPr>
        <w:t xml:space="preserve">(l) an ERISA Event shall have occurred that, in the opinion of the Required Lenders, when taken together with all other ERISA Events that have occurred, could reasonably be expected to result in liability of a Borrower or any of its Subsidiaries in an aggregate amount exceeding $25,000,000 in any year; </w:t>
      </w:r>
    </w:p>
    <w:p>
      <w:pPr>
        <w:pStyle w:val="TextBody"/>
        <w:bidi w:val="0"/>
        <w:spacing w:before="240" w:after="0"/>
        <w:jc w:val="left"/>
        <w:rPr>
          <w:rFonts w:ascii="Times New Roman" w:hAnsi="Times New Roman"/>
          <w:sz w:val="20"/>
        </w:rPr>
      </w:pPr>
      <w:r>
        <w:rPr>
          <w:rFonts w:ascii="Times New Roman" w:hAnsi="Times New Roman"/>
          <w:sz w:val="20"/>
        </w:rPr>
        <w:t xml:space="preserve">(m) any one or more Environmental Liability claims shall have been asserted against GEO or any of its Restricted Subsidiaries; GEO and its Restricted Subsidiaries would be reasonably likely to incur Environmental Liability as a result thereof; and such Environmental Liability claims could be reasonably expected, individually or in the aggregate,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(n) a Change in Control shall occur; </w:t>
      </w:r>
    </w:p>
    <w:p>
      <w:pPr>
        <w:pStyle w:val="TextBody"/>
        <w:bidi w:val="0"/>
        <w:spacing w:before="240" w:after="0"/>
        <w:jc w:val="left"/>
        <w:rPr>
          <w:rFonts w:ascii="Times New Roman" w:hAnsi="Times New Roman"/>
          <w:sz w:val="20"/>
        </w:rPr>
      </w:pPr>
      <w:r>
        <w:rPr>
          <w:rFonts w:ascii="Times New Roman" w:hAnsi="Times New Roman"/>
          <w:sz w:val="20"/>
        </w:rPr>
        <w:t xml:space="preserve">(o) any provision of this Agreement or any other Loan Document shall for any reason cease to be valid and binding on GEO or any of its Subsidiaries party thereto or any such Person shall so state in writing or the Liens created by the Security Documents shall at any time not constitute a valid and perfected Lien on the collateral intended to be covered thereby (to the extent perfection by filing, registration, recordation or possession is required herein or therein) in favor of the Administrative Agent, free and clear of all other Liens (other than Liens permitted under </w:t>
      </w:r>
      <w:r>
        <w:rPr>
          <w:rFonts w:ascii="Times New Roman" w:hAnsi="Times New Roman"/>
          <w:sz w:val="20"/>
          <w:u w:val="single"/>
        </w:rPr>
        <w:t>Section 6.02</w:t>
      </w:r>
      <w:r>
        <w:rPr>
          <w:rFonts w:ascii="Times New Roman" w:hAnsi="Times New Roman"/>
          <w:sz w:val="20"/>
        </w:rPr>
        <w:t xml:space="preserve"> or under the respective Security Documents), or, except for expiration in accordance with its terms, any of the Security Documents shall for whatever reason be terminated or cease to be in full force and effect, or the enforceability thereof shall be contested by any Borrower; or </w:t>
      </w:r>
    </w:p>
    <w:p>
      <w:pPr>
        <w:pStyle w:val="TextBody"/>
        <w:bidi w:val="0"/>
        <w:spacing w:before="240" w:after="0"/>
        <w:jc w:val="left"/>
        <w:rPr>
          <w:rFonts w:ascii="Times New Roman" w:hAnsi="Times New Roman"/>
          <w:sz w:val="20"/>
        </w:rPr>
      </w:pPr>
      <w:r>
        <w:rPr>
          <w:rFonts w:ascii="Times New Roman" w:hAnsi="Times New Roman"/>
          <w:sz w:val="20"/>
        </w:rPr>
        <w:t xml:space="preserve">(p) the Discharge of 2029 Senior Notes fails to occur on or before the date that is 13 days after the date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then, and in every such event (other than (x) an event with respect to any Borrower described in </w:t>
      </w:r>
      <w:r>
        <w:rPr>
          <w:rFonts w:ascii="Times New Roman" w:hAnsi="Times New Roman"/>
          <w:sz w:val="20"/>
          <w:u w:val="single"/>
        </w:rPr>
        <w:t>clause (h)</w:t>
      </w:r>
      <w:r>
        <w:rPr>
          <w:rFonts w:ascii="Times New Roman" w:hAnsi="Times New Roman"/>
          <w:sz w:val="20"/>
        </w:rPr>
        <w:t xml:space="preserve"> or </w:t>
      </w:r>
      <w:r>
        <w:rPr>
          <w:rFonts w:ascii="Times New Roman" w:hAnsi="Times New Roman"/>
          <w:sz w:val="20"/>
          <w:u w:val="single"/>
        </w:rPr>
        <w:t>(i)</w:t>
      </w:r>
      <w:r>
        <w:rPr>
          <w:rFonts w:ascii="Times New Roman" w:hAnsi="Times New Roman"/>
          <w:sz w:val="20"/>
        </w:rPr>
        <w:t xml:space="preserve"> of this Section and (y) a Specified Financial Covenant Event of Default unless and until the Required Revolving Credit Lenders have terminated their Revolving Credit Commitments and declared all Revolving Credit Loans to be due and payable), and at any time thereafter during the continuance of such event, the Administrative Agent may, and at the request of the Required Lenders shall, by notice to GEO, take either or both of the following actions, at the same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different times: (i) terminate the Commitments, and thereupon the Commitments shall terminate immediately, and (ii)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the Borrowers accrued hereunder, including the Prepayment Premium (if any), shall become due and payable immediately, without presentment, demand, protest or other notice of any kind, all of which are hereby waived by the Borrowers; and in case of any event with respect to any Borrower described in </w:t>
      </w:r>
      <w:r>
        <w:rPr>
          <w:rFonts w:ascii="Times New Roman" w:hAnsi="Times New Roman"/>
          <w:sz w:val="20"/>
          <w:u w:val="single"/>
        </w:rPr>
        <w:t>clause (h)</w:t>
      </w:r>
      <w:r>
        <w:rPr>
          <w:rFonts w:ascii="Times New Roman" w:hAnsi="Times New Roman"/>
          <w:sz w:val="20"/>
        </w:rPr>
        <w:t xml:space="preserve"> or </w:t>
      </w:r>
      <w:r>
        <w:rPr>
          <w:rFonts w:ascii="Times New Roman" w:hAnsi="Times New Roman"/>
          <w:sz w:val="20"/>
          <w:u w:val="single"/>
        </w:rPr>
        <w:t>(i)</w:t>
      </w:r>
      <w:r>
        <w:rPr>
          <w:rFonts w:ascii="Times New Roman" w:hAnsi="Times New Roman"/>
          <w:sz w:val="20"/>
        </w:rPr>
        <w:t xml:space="preserve"> of this Section, the Commitments shall automatically terminate and the principal of the Loans then outstanding, together with accrued interest thereon and all fees and other obligations of the Borrowers accrued hereunder, including the Prepayment Premium (if any), shall automatically become due and payable, without presentment, demand, protest or other notice of any kind, all of which are hereby waived by the Borrowers; and in case of any Specified Financial Covenant Event of Default, the Administrative Agent, at the request of the Required Revolving Credit Lenders shall, by notice to GEO, take either or both of the following actions, at the same or different times: (i) terminate the Revolving Credit Commitments, and thereupon the Revolving Credit Commitments shall terminate immediately, and (ii) declare the Revolving Credit Loans then outstanding to be due and payable in whole (or in part, in which case any principal not so declared to be due and payable may thereafter be declared to be due and payable), and thereupon the principal of the Revolving Credit Loans so declared to be due and payable, together with accrued interest thereon and all fees and other obligations of the Borrowers accrued hereunder with respect thereto shall become due and payable immediately, without presentment, demand, protest or other notice of any kind, all of which are hereby waived by the Borrowers. Upon the occurrence and during the continuance of an Event of Default, the Administrative Agent may, and at the request of the Required Lenders shall, exercise any rights and remedies provided to the Administrative Agent under the Loan Documents or at law or equity, including all remedies provided under the UCC. </w:t>
      </w:r>
    </w:p>
    <w:p>
      <w:pPr>
        <w:pStyle w:val="TextBody"/>
        <w:bidi w:val="0"/>
        <w:spacing w:before="240" w:after="0"/>
        <w:jc w:val="left"/>
        <w:rPr>
          <w:rFonts w:ascii="Times New Roman" w:hAnsi="Times New Roman"/>
          <w:sz w:val="20"/>
        </w:rPr>
      </w:pPr>
      <w:r>
        <w:rPr>
          <w:rFonts w:ascii="Times New Roman" w:hAnsi="Times New Roman"/>
          <w:sz w:val="20"/>
        </w:rPr>
        <w:t xml:space="preserve">Section 7.02 </w:t>
      </w:r>
      <w:r>
        <w:rPr>
          <w:rFonts w:ascii="Times New Roman" w:hAnsi="Times New Roman"/>
          <w:sz w:val="20"/>
          <w:u w:val="single"/>
        </w:rPr>
        <w:t>Application of Payments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Anything herein to the contrary notwithstanding (but subject to </w:t>
      </w:r>
      <w:r>
        <w:rPr>
          <w:rFonts w:ascii="Times New Roman" w:hAnsi="Times New Roman"/>
          <w:sz w:val="20"/>
          <w:u w:val="single"/>
        </w:rPr>
        <w:t>Section 7.02(b)</w:t>
      </w:r>
      <w:r>
        <w:rPr>
          <w:rFonts w:ascii="Times New Roman" w:hAnsi="Times New Roman"/>
          <w:sz w:val="20"/>
        </w:rPr>
        <w:t xml:space="preserve"> and to the terms of the Intercreditor Agreements), following the occurrence and during the continuance of an Event of Default all payments received by the Administrative Agent (including any payments received in respect of optional and mandatory prepayments under </w:t>
      </w:r>
      <w:r>
        <w:rPr>
          <w:rFonts w:ascii="Times New Roman" w:hAnsi="Times New Roman"/>
          <w:sz w:val="20"/>
          <w:u w:val="single"/>
        </w:rPr>
        <w:t>Section 2.10</w:t>
      </w:r>
      <w:r>
        <w:rPr>
          <w:rFonts w:ascii="Times New Roman" w:hAnsi="Times New Roman"/>
          <w:sz w:val="20"/>
        </w:rPr>
        <w:t xml:space="preserve">) shall be applied as follows: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first</w:t>
      </w:r>
      <w:r>
        <w:rPr>
          <w:rFonts w:ascii="Times New Roman" w:hAnsi="Times New Roman"/>
          <w:sz w:val="20"/>
        </w:rPr>
        <w:t xml:space="preserve">, to the payment to the Administrative Agent of its costs, fees, indemnities, liabilities and expenses, if any, including reasonable out-of-pocket expenses of the Administrative Agent and the fees and expenses of its agents and its counsels;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second</w:t>
      </w:r>
      <w:r>
        <w:rPr>
          <w:rFonts w:ascii="Times New Roman" w:hAnsi="Times New Roman"/>
          <w:sz w:val="20"/>
        </w:rPr>
        <w:t xml:space="preserve">, to the payment in full of the principal of and interest on the Loans and to provide cover for all LC Exposure as specified in </w:t>
      </w:r>
      <w:r>
        <w:rPr>
          <w:rFonts w:ascii="Times New Roman" w:hAnsi="Times New Roman"/>
          <w:sz w:val="20"/>
          <w:u w:val="single"/>
        </w:rPr>
        <w:t>Section 2.05(k)</w:t>
      </w:r>
      <w:r>
        <w:rPr>
          <w:rFonts w:ascii="Times New Roman" w:hAnsi="Times New Roman"/>
          <w:sz w:val="20"/>
        </w:rPr>
        <w:t xml:space="preserve">, in each case ratably in accordance with the respective amounts thereof; and </w:t>
      </w:r>
    </w:p>
    <w:p>
      <w:pPr>
        <w:pStyle w:val="TextBody"/>
        <w:bidi w:val="0"/>
        <w:spacing w:before="12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third</w:t>
      </w:r>
      <w:r>
        <w:rPr>
          <w:rFonts w:ascii="Times New Roman" w:hAnsi="Times New Roman"/>
          <w:sz w:val="20"/>
        </w:rPr>
        <w:t xml:space="preserve">, to GEO, or its successors or assigns, or as a court of competent jurisdiction may direct.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Anything herein or in any Security Document to the contrary notwithstanding, but subject to the terms of the Intercreditor Agreements, following the occurrence and during the continuance of an Event of Default all amounts received by the Administrative Agent pursuant to the Security Documents shall be applied as follows: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first</w:t>
      </w:r>
      <w:r>
        <w:rPr>
          <w:rFonts w:ascii="Times New Roman" w:hAnsi="Times New Roman"/>
          <w:sz w:val="20"/>
        </w:rPr>
        <w:t xml:space="preserve">, to the payment of the costs and expenses of the collection, sale or other realization pursuant to the Security Documents, including reasonable out-of-pocket costs and expenses of the Administrative Agent and the fees and expenses of its agents and counsel, and all other costs, fees, indemnities, liabilities and expenses incurred;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second</w:t>
      </w:r>
      <w:r>
        <w:rPr>
          <w:rFonts w:ascii="Times New Roman" w:hAnsi="Times New Roman"/>
          <w:sz w:val="20"/>
        </w:rPr>
        <w:t xml:space="preserve">, to the payment in full of the Obligations, in each case (except to the extent otherwise provided in </w:t>
      </w:r>
      <w:r>
        <w:rPr>
          <w:rFonts w:ascii="Times New Roman" w:hAnsi="Times New Roman"/>
          <w:sz w:val="20"/>
          <w:u w:val="single"/>
        </w:rPr>
        <w:t>Section 2.16</w:t>
      </w:r>
      <w:r>
        <w:rPr>
          <w:rFonts w:ascii="Times New Roman" w:hAnsi="Times New Roman"/>
          <w:sz w:val="20"/>
        </w:rPr>
        <w:t xml:space="preserve">) equally and ratably in accordance with the respective amounts thereof then due and owing (for which purpose it is acknowledged and agreed that any obligation then due and owing to deposit cash cover in respect of outstanding Letters of Credit is an Obligation then due and owing) or as the Secured Parties holding the same may otherwise agree; and </w:t>
      </w:r>
    </w:p>
    <w:p>
      <w:pPr>
        <w:pStyle w:val="TextBody"/>
        <w:bidi w:val="0"/>
        <w:spacing w:before="12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third</w:t>
      </w:r>
      <w:r>
        <w:rPr>
          <w:rFonts w:ascii="Times New Roman" w:hAnsi="Times New Roman"/>
          <w:sz w:val="20"/>
        </w:rPr>
        <w:t xml:space="preserve">, to the payment to GEO, or its successors or assigns, or as a court of competent jurisdiction may direct, of any surplus then remaining.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the proceeds of any cash or other amounts held in the Collateral Account pursuant to </w:t>
      </w:r>
      <w:r>
        <w:rPr>
          <w:rFonts w:ascii="Times New Roman" w:hAnsi="Times New Roman"/>
          <w:sz w:val="20"/>
          <w:u w:val="single"/>
        </w:rPr>
        <w:t>Section 2.05(k)</w:t>
      </w:r>
      <w:r>
        <w:rPr>
          <w:rFonts w:ascii="Times New Roman" w:hAnsi="Times New Roman"/>
          <w:sz w:val="20"/>
        </w:rPr>
        <w:t xml:space="preserve"> shall be applied </w:t>
      </w:r>
      <w:r>
        <w:rPr>
          <w:rFonts w:ascii="Times New Roman" w:hAnsi="Times New Roman"/>
          <w:sz w:val="20"/>
          <w:u w:val="single"/>
        </w:rPr>
        <w:t>first</w:t>
      </w:r>
      <w:r>
        <w:rPr>
          <w:rFonts w:ascii="Times New Roman" w:hAnsi="Times New Roman"/>
          <w:sz w:val="20"/>
        </w:rPr>
        <w:t xml:space="preserve"> to the LC Exposure outstanding from time to time and </w:t>
      </w:r>
      <w:r>
        <w:rPr>
          <w:rFonts w:ascii="Times New Roman" w:hAnsi="Times New Roman"/>
          <w:sz w:val="20"/>
          <w:u w:val="single"/>
        </w:rPr>
        <w:t>second</w:t>
      </w:r>
      <w:r>
        <w:rPr>
          <w:rFonts w:ascii="Times New Roman" w:hAnsi="Times New Roman"/>
          <w:sz w:val="20"/>
        </w:rPr>
        <w:t xml:space="preserve"> to the other Obligations in the manner provided above in this </w:t>
      </w:r>
      <w:r>
        <w:rPr>
          <w:rFonts w:ascii="Times New Roman" w:hAnsi="Times New Roman"/>
          <w:sz w:val="20"/>
          <w:u w:val="single"/>
        </w:rPr>
        <w:t>Section 7.02(b)</w:t>
      </w:r>
      <w:r>
        <w:rPr>
          <w:rFonts w:ascii="Times New Roman" w:hAnsi="Times New Roman"/>
          <w:sz w:val="20"/>
        </w:rPr>
        <w:t xml:space="preserve">. </w:t>
      </w:r>
    </w:p>
    <w:p>
      <w:pPr>
        <w:pStyle w:val="TextBody"/>
        <w:bidi w:val="0"/>
        <w:spacing w:before="480" w:after="0"/>
        <w:jc w:val="center"/>
        <w:rPr>
          <w:rFonts w:ascii="Times New Roman" w:hAnsi="Times New Roman"/>
          <w:sz w:val="20"/>
        </w:rPr>
      </w:pPr>
      <w:r>
        <w:rPr>
          <w:rFonts w:ascii="Times New Roman" w:hAnsi="Times New Roman"/>
          <w:sz w:val="20"/>
        </w:rPr>
        <w:t xml:space="preserve">ARTICLE VIII </w:t>
      </w:r>
    </w:p>
    <w:p>
      <w:pPr>
        <w:pStyle w:val="TextBody"/>
        <w:bidi w:val="0"/>
        <w:spacing w:before="120" w:after="0"/>
        <w:jc w:val="center"/>
        <w:rPr>
          <w:rFonts w:ascii="Times New Roman" w:hAnsi="Times New Roman"/>
          <w:sz w:val="20"/>
        </w:rPr>
      </w:pPr>
      <w:r>
        <w:rPr>
          <w:rFonts w:ascii="Times New Roman" w:hAnsi="Times New Roman"/>
          <w:sz w:val="20"/>
        </w:rPr>
        <w:t xml:space="preserve">AGENCY </w:t>
      </w:r>
    </w:p>
    <w:p>
      <w:pPr>
        <w:pStyle w:val="TextBody"/>
        <w:bidi w:val="0"/>
        <w:spacing w:before="240" w:after="0"/>
        <w:jc w:val="left"/>
        <w:rPr>
          <w:rFonts w:ascii="Times New Roman" w:hAnsi="Times New Roman"/>
          <w:sz w:val="20"/>
        </w:rPr>
      </w:pPr>
      <w:r>
        <w:rPr>
          <w:rFonts w:ascii="Times New Roman" w:hAnsi="Times New Roman"/>
          <w:sz w:val="20"/>
        </w:rPr>
        <w:t xml:space="preserve">Section 8.01 </w:t>
      </w:r>
      <w:r>
        <w:rPr>
          <w:rFonts w:ascii="Times New Roman" w:hAnsi="Times New Roman"/>
          <w:sz w:val="20"/>
          <w:u w:val="single"/>
        </w:rPr>
        <w:t>Administrative Agent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of the Lenders and the Issuing Lenders hereby appoints Bank OZK to act on its behalf as the Administrative Agent hereunder and under the other Loan Documents and authorizes the Administrative Agent to take such actions on its behalf and to exercise such powers as are delegated to the Administrative Agent by the terms hereof and thereof, together with such actions and powers as are reasonably incidental thereto. Except for </w:t>
      </w:r>
      <w:r>
        <w:rPr>
          <w:rFonts w:ascii="Times New Roman" w:hAnsi="Times New Roman"/>
          <w:sz w:val="20"/>
          <w:u w:val="single"/>
        </w:rPr>
        <w:t>Section 8.06(b)</w:t>
      </w:r>
      <w:r>
        <w:rPr>
          <w:rFonts w:ascii="Times New Roman" w:hAnsi="Times New Roman"/>
          <w:sz w:val="20"/>
        </w:rPr>
        <w:t xml:space="preserve"> and </w:t>
      </w:r>
      <w:r>
        <w:rPr>
          <w:rFonts w:ascii="Times New Roman" w:hAnsi="Times New Roman"/>
          <w:sz w:val="20"/>
          <w:u w:val="single"/>
        </w:rPr>
        <w:t>Section 8.08(b)</w:t>
      </w:r>
      <w:r>
        <w:rPr>
          <w:rFonts w:ascii="Times New Roman" w:hAnsi="Times New Roman"/>
          <w:sz w:val="20"/>
        </w:rPr>
        <w:t xml:space="preserve">, below, the provisions of this Article are solely for the benefit of the Administrative Agent, the Lenders and the Issuing Lenders, and none of the Loan Parties shall have rights as a third 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Administrative Agent shall also act as the “collateral agent” under the Loan Documents, and each of the Lenders (including in its capacities as a potential Hedge Counterparty and a potential Cash Management Bank) and each Issuing Lender hereby irrevocably appoints and authorizes the Administrative Agent to act as the agent of such Lender and such Issuing Lender for purposes of acquiring, holding and enforcing any and all Liens on Collateral granted by any of the Loan Parties to secure any of the Obligations, together with such powers and discretion as are reasonably incidental thereto. In this connection, the Administrative Agent, as “collateral agent” and any co-agents, sub-agents and attorneys-in-fact appointed by the Administrative Agent pursuant to </w:t>
      </w:r>
      <w:r>
        <w:rPr>
          <w:rFonts w:ascii="Times New Roman" w:hAnsi="Times New Roman"/>
          <w:sz w:val="20"/>
          <w:u w:val="single"/>
        </w:rPr>
        <w:t>Section 8.05</w:t>
      </w:r>
      <w:r>
        <w:rPr>
          <w:rFonts w:ascii="Times New Roman" w:hAnsi="Times New Roman"/>
          <w:sz w:val="20"/>
        </w:rPr>
        <w:t xml:space="preserve"> for purposes of holding or enforcing any Lien on the Collateral (or any portion thereof) granted under the Security Documents, or for exercising any rights and remedies thereunder at the direction of the Administrative Agent, shall be entitled to the benefits of all provisions of this </w:t>
      </w:r>
      <w:r>
        <w:rPr>
          <w:rFonts w:ascii="Times New Roman" w:hAnsi="Times New Roman"/>
          <w:sz w:val="20"/>
          <w:u w:val="single"/>
        </w:rPr>
        <w:t>Article VIII</w:t>
      </w:r>
      <w:r>
        <w:rPr>
          <w:rFonts w:ascii="Times New Roman" w:hAnsi="Times New Roman"/>
          <w:sz w:val="20"/>
        </w:rPr>
        <w:t xml:space="preserve"> and </w:t>
      </w:r>
      <w:r>
        <w:rPr>
          <w:rFonts w:ascii="Times New Roman" w:hAnsi="Times New Roman"/>
          <w:sz w:val="20"/>
          <w:u w:val="single"/>
        </w:rPr>
        <w:t>Article IX</w:t>
      </w:r>
      <w:r>
        <w:rPr>
          <w:rFonts w:ascii="Times New Roman" w:hAnsi="Times New Roman"/>
          <w:sz w:val="20"/>
        </w:rPr>
        <w:t xml:space="preserve"> (including </w:t>
      </w:r>
      <w:r>
        <w:rPr>
          <w:rFonts w:ascii="Times New Roman" w:hAnsi="Times New Roman"/>
          <w:sz w:val="20"/>
          <w:u w:val="single"/>
        </w:rPr>
        <w:t>Section 9.03(c)</w:t>
      </w:r>
      <w:r>
        <w:rPr>
          <w:rFonts w:ascii="Times New Roman" w:hAnsi="Times New Roman"/>
          <w:sz w:val="20"/>
        </w:rPr>
        <w:t xml:space="preserve">, as though such co-agents, sub-agents and attorneys-in-fact were the “collateral agent” under the Loan Documents) as if set forth in full herein with respect thereto. </w:t>
      </w:r>
    </w:p>
    <w:p>
      <w:pPr>
        <w:pStyle w:val="TextBody"/>
        <w:bidi w:val="0"/>
        <w:spacing w:before="240" w:after="0"/>
        <w:jc w:val="left"/>
        <w:rPr>
          <w:rFonts w:ascii="Times New Roman" w:hAnsi="Times New Roman"/>
          <w:sz w:val="20"/>
        </w:rPr>
      </w:pPr>
      <w:r>
        <w:rPr>
          <w:rFonts w:ascii="Times New Roman" w:hAnsi="Times New Roman"/>
          <w:sz w:val="20"/>
        </w:rPr>
        <w:t xml:space="preserve">Section 8.02 </w:t>
      </w:r>
      <w:r>
        <w:rPr>
          <w:rFonts w:ascii="Times New Roman" w:hAnsi="Times New Roman"/>
          <w:sz w:val="20"/>
          <w:u w:val="single"/>
        </w:rPr>
        <w:t>Rights as a Lender</w:t>
      </w:r>
      <w:r>
        <w:rPr>
          <w:rFonts w:ascii="Times New Roman" w:hAnsi="Times New Roman"/>
          <w:sz w:val="20"/>
        </w:rPr>
        <w:t xml:space="preserve">. The Person serving as Administrative Agent and each Person named as a Lead Arranger hereunder shall have the same rights and powers in its capacity as a Lender as any other Lender and may exercise the same as though it were not the Administrative Agent or a Lead Arranger and the term “Lender” or “Lenders” shall, unless otherwise expressly indicated or unless the context otherwise requires, include each Person serving or named as the Administrative Agent or a Lead Arranger hereunder in such Person’s individual capacity. Such Persons and their Affiliates may accept deposits from, lend money to, act as the financial advisor or in any other advisory capacity for and generally engage in any kind of business with GEO or any of its Subsidiaries or other Affiliates as if such Person were not the Administrative Agent or a Lead Arranger hereunder and without any duty to account therefor to the Lenders. </w:t>
      </w:r>
    </w:p>
    <w:p>
      <w:pPr>
        <w:pStyle w:val="TextBody"/>
        <w:bidi w:val="0"/>
        <w:spacing w:before="240" w:after="0"/>
        <w:jc w:val="left"/>
        <w:rPr>
          <w:rFonts w:ascii="Times New Roman" w:hAnsi="Times New Roman"/>
          <w:sz w:val="20"/>
        </w:rPr>
      </w:pPr>
      <w:r>
        <w:rPr>
          <w:rFonts w:ascii="Times New Roman" w:hAnsi="Times New Roman"/>
          <w:sz w:val="20"/>
        </w:rPr>
        <w:t xml:space="preserve">Section 8.03 </w:t>
      </w:r>
      <w:r>
        <w:rPr>
          <w:rFonts w:ascii="Times New Roman" w:hAnsi="Times New Roman"/>
          <w:sz w:val="20"/>
          <w:u w:val="single"/>
        </w:rPr>
        <w:t>Exculpatory Provisions</w:t>
      </w:r>
      <w:r>
        <w:rPr>
          <w:rFonts w:ascii="Times New Roman" w:hAnsi="Times New Roman"/>
          <w:sz w:val="20"/>
        </w:rPr>
        <w:t xml:space="preserve">. The Administrative Agent shall not have any duties or obligations except those expressly set forth herein and in the other Loan Documents, and its duties hereunder shall be administrative in nature. Without limiting the generality of the foregoing, the Administrative Agent: </w:t>
      </w:r>
    </w:p>
    <w:p>
      <w:pPr>
        <w:pStyle w:val="TextBody"/>
        <w:bidi w:val="0"/>
        <w:spacing w:before="120" w:after="0"/>
        <w:jc w:val="left"/>
        <w:rPr>
          <w:rFonts w:ascii="Times New Roman" w:hAnsi="Times New Roman"/>
          <w:sz w:val="20"/>
        </w:rPr>
      </w:pPr>
      <w:r>
        <w:rPr>
          <w:rFonts w:ascii="Times New Roman" w:hAnsi="Times New Roman"/>
          <w:sz w:val="20"/>
        </w:rPr>
        <w:t xml:space="preserve">(a) shall not be subject to any fiduciary or other implied duties, regardless of whether a Default has occurred and is continuing; </w:t>
      </w:r>
    </w:p>
    <w:p>
      <w:pPr>
        <w:pStyle w:val="TextBody"/>
        <w:bidi w:val="0"/>
        <w:spacing w:before="240" w:after="0"/>
        <w:jc w:val="left"/>
        <w:rPr>
          <w:rFonts w:ascii="Times New Roman" w:hAnsi="Times New Roman"/>
          <w:sz w:val="20"/>
        </w:rPr>
      </w:pPr>
      <w:r>
        <w:rPr>
          <w:rFonts w:ascii="Times New Roman" w:hAnsi="Times New Roman"/>
          <w:sz w:val="20"/>
        </w:rPr>
        <w:t xml:space="preserve">(b) 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and the Administrative Agent shall be entitled to refrain from any act or the taking of any action (including the failure to take an action) in connection with this Agreement or any of the other Loan Documents or from the exercise of any power, discretion or authority vested in it hereunder or thereunder unless and until the Administrative Agent shall have received instructions in respect thereof from Required Lenders (or such other Lenders as may be required to give such instructions under </w:t>
      </w:r>
      <w:r>
        <w:rPr>
          <w:rFonts w:ascii="Times New Roman" w:hAnsi="Times New Roman"/>
          <w:sz w:val="20"/>
          <w:u w:val="single"/>
        </w:rPr>
        <w:t>Section 9.02</w:t>
      </w:r>
      <w:r>
        <w:rPr>
          <w:rFonts w:ascii="Times New Roman" w:hAnsi="Times New Roman"/>
          <w:sz w:val="20"/>
        </w:rPr>
        <w:t xml:space="preserve">) and, upon receipt of such instructions from Required Lenders (or such other Lenders, as the case may be), the Administrative Agent shall be entitled to act or (where so instructed) refrain from acting, or to exercise such power, discretion or authority, in accordance with such instructions; </w:t>
      </w:r>
      <w:r>
        <w:rPr>
          <w:rFonts w:ascii="Times New Roman" w:hAnsi="Times New Roman"/>
          <w:sz w:val="20"/>
          <w:u w:val="single"/>
        </w:rPr>
        <w:t>provided</w:t>
      </w:r>
      <w:r>
        <w:rPr>
          <w:rFonts w:ascii="Times New Roman" w:hAnsi="Times New Roman"/>
          <w:sz w:val="20"/>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shall not, except as expressly set forth herein and in the other Loan Documents, have any duty to disclose, and shall not be liable for the failure to disclose, any information relating to GEO or any of its Affiliates that is communicated to or obtained by the Person serving as the Administrative Agent or any of its Affiliates in any capacity. The Administrative Agent shall not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the final paragraph of </w:t>
      </w:r>
      <w:r>
        <w:rPr>
          <w:rFonts w:ascii="Times New Roman" w:hAnsi="Times New Roman"/>
          <w:sz w:val="20"/>
          <w:u w:val="single"/>
        </w:rPr>
        <w:t>Section 7.01</w:t>
      </w:r>
      <w:r>
        <w:rPr>
          <w:rFonts w:ascii="Times New Roman" w:hAnsi="Times New Roman"/>
          <w:sz w:val="20"/>
        </w:rPr>
        <w:t xml:space="preserve"> or </w:t>
      </w:r>
      <w:r>
        <w:rPr>
          <w:rFonts w:ascii="Times New Roman" w:hAnsi="Times New Roman"/>
          <w:sz w:val="20"/>
          <w:u w:val="single"/>
        </w:rPr>
        <w:t>Section 9.02</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any act or omission to act taken by the Administrative Agent at the direction of the Required Lenders (or such other number or percentage of the Lenders as shall be necessary, or as the Administrative Agent shall believe in good faith shall be necessary, under the circumstances) shall not constitute gross negligence or willful misconduct of the Administrative Agent, (ii) in the exercise of its “sole” or “absolute” discretion as expressly provided for in this Agreement or the other Loan Documents or (iii) in the absence of its own gross negligence or willful misconduct, as determined by a court of competent jurisdiction by a final and nonappealable judgment. The Administrative Agent shall be deemed not to have knowledge of any Default unless and until notice stating that such notice is a “Notice of Default” and describing such Default is given to the Administrative Agent by GEO, a Lender or an Issuing Lender; </w:t>
      </w:r>
    </w:p>
    <w:p>
      <w:pPr>
        <w:pStyle w:val="TextBody"/>
        <w:bidi w:val="0"/>
        <w:spacing w:before="240" w:after="0"/>
        <w:jc w:val="left"/>
        <w:rPr>
          <w:rFonts w:ascii="Times New Roman" w:hAnsi="Times New Roman"/>
          <w:sz w:val="20"/>
        </w:rPr>
      </w:pPr>
      <w:r>
        <w:rPr>
          <w:rFonts w:ascii="Times New Roman" w:hAnsi="Times New Roman"/>
          <w:sz w:val="20"/>
        </w:rPr>
        <w:t xml:space="preserve">(d)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the creation, perfection or priority of any Lien purported to be created by the Security Documents, (v) the value or the sufficiency of any Collateral or (vi) the satisfaction of any condition set forth in </w:t>
      </w:r>
      <w:r>
        <w:rPr>
          <w:rFonts w:ascii="Times New Roman" w:hAnsi="Times New Roman"/>
          <w:sz w:val="20"/>
          <w:u w:val="single"/>
        </w:rPr>
        <w:t>Article IV</w:t>
      </w:r>
      <w:r>
        <w:rPr>
          <w:rFonts w:ascii="Times New Roman" w:hAnsi="Times New Roman"/>
          <w:sz w:val="20"/>
        </w:rPr>
        <w:t xml:space="preserve"> or elsewhere herein, other than to confirm receipt of items expressly required to be delivered to the Administrative Agent; and </w:t>
      </w:r>
    </w:p>
    <w:p>
      <w:pPr>
        <w:pStyle w:val="TextBody"/>
        <w:bidi w:val="0"/>
        <w:spacing w:before="240" w:after="0"/>
        <w:jc w:val="left"/>
        <w:rPr>
          <w:rFonts w:ascii="Times New Roman" w:hAnsi="Times New Roman"/>
          <w:sz w:val="20"/>
        </w:rPr>
      </w:pPr>
      <w:r>
        <w:rPr>
          <w:rFonts w:ascii="Times New Roman" w:hAnsi="Times New Roman"/>
          <w:sz w:val="20"/>
        </w:rPr>
        <w:t xml:space="preserve">(e) Nothing herein or in any other Loan Document or related documents shall obligate the Administrative Agent to advance, expend or risk its own funds, or to take any action which in its reasonable judgment may cause it to incur any expense or financial or other liability for which it is not adequately indemnified. </w:t>
      </w:r>
    </w:p>
    <w:p>
      <w:pPr>
        <w:pStyle w:val="TextBody"/>
        <w:bidi w:val="0"/>
        <w:spacing w:before="240" w:after="0"/>
        <w:jc w:val="left"/>
        <w:rPr>
          <w:rFonts w:ascii="Times New Roman" w:hAnsi="Times New Roman"/>
          <w:sz w:val="20"/>
        </w:rPr>
      </w:pPr>
      <w:r>
        <w:rPr>
          <w:rFonts w:ascii="Times New Roman" w:hAnsi="Times New Roman"/>
          <w:sz w:val="20"/>
        </w:rPr>
        <w:t xml:space="preserve">Section 8.04 </w:t>
      </w:r>
      <w:r>
        <w:rPr>
          <w:rFonts w:ascii="Times New Roman" w:hAnsi="Times New Roman"/>
          <w:sz w:val="20"/>
          <w:u w:val="single"/>
        </w:rPr>
        <w:t>Reliance by Administrative Agent</w:t>
      </w:r>
      <w:r>
        <w:rPr>
          <w:rFonts w:ascii="Times New Roman" w:hAnsi="Times New Roman"/>
          <w:sz w:val="20"/>
        </w:rPr>
        <w:t xml:space="preserve">. 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determining compliance with any condition hereunder to the making of a Loan, or the issuance, amendment, increase, renewal or extension of a Letter of Credit, that by its terms must be fulfilled to the satisfaction of a Lender or an Issuing Lender, the Administrative Agent may presume that such condition is satisfactory to such Lender or such Issuing Lender unless the Administrative Agent shall have received notice to the contrary from such Lender or such Issuing Lender prior to the making of such Loan or the issuance, amendment, renewal, increase or extension of such Letter of Credit. The Administrative Agent may consult with legal counsel (who may be counsel for the Loan Parties), independent accountants and other experts selected by it, and shall not be liable for any action taken or not taken by it in accordance with the advice of any such counsel, accountants or experts. </w:t>
      </w:r>
    </w:p>
    <w:p>
      <w:pPr>
        <w:pStyle w:val="TextBody"/>
        <w:bidi w:val="0"/>
        <w:spacing w:before="240" w:after="0"/>
        <w:jc w:val="left"/>
        <w:rPr>
          <w:rFonts w:ascii="Times New Roman" w:hAnsi="Times New Roman"/>
          <w:sz w:val="20"/>
        </w:rPr>
      </w:pPr>
      <w:r>
        <w:rPr>
          <w:rFonts w:ascii="Times New Roman" w:hAnsi="Times New Roman"/>
          <w:sz w:val="20"/>
        </w:rPr>
        <w:t xml:space="preserve">Section 8.05 </w:t>
      </w:r>
      <w:r>
        <w:rPr>
          <w:rFonts w:ascii="Times New Roman" w:hAnsi="Times New Roman"/>
          <w:sz w:val="20"/>
          <w:u w:val="single"/>
        </w:rPr>
        <w:t>Delegation of Duties</w:t>
      </w:r>
      <w:r>
        <w:rPr>
          <w:rFonts w:ascii="Times New Roman" w:hAnsi="Times New Roman"/>
          <w:sz w:val="20"/>
        </w:rPr>
        <w:t xml:space="preserve">. The Administrative Agent may perform any and all of its duties and exercise its rights and powers hereunder or 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Article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sub-agents. </w:t>
      </w:r>
    </w:p>
    <w:p>
      <w:pPr>
        <w:pStyle w:val="TextBody"/>
        <w:bidi w:val="0"/>
        <w:spacing w:before="240" w:after="0"/>
        <w:jc w:val="left"/>
        <w:rPr>
          <w:rFonts w:ascii="Times New Roman" w:hAnsi="Times New Roman"/>
          <w:sz w:val="20"/>
        </w:rPr>
      </w:pPr>
      <w:r>
        <w:rPr>
          <w:rFonts w:ascii="Times New Roman" w:hAnsi="Times New Roman"/>
          <w:sz w:val="20"/>
        </w:rPr>
        <w:t xml:space="preserve">Section 8.06 </w:t>
      </w:r>
      <w:r>
        <w:rPr>
          <w:rFonts w:ascii="Times New Roman" w:hAnsi="Times New Roman"/>
          <w:sz w:val="20"/>
          <w:u w:val="single"/>
        </w:rPr>
        <w:t>Resignation or Removal of Administrative Agent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Administrative Agent may at any time give notice of its resignation to the Lenders, the Issuing Lenders and GEO. Upon receipt of any such notice of resignation, the Required Lenders shall have the right, in consultation with GEO, to appoint a successor, which shall be a bank with an office in the United States, or an Affiliate of any such bank with an office in the United States, or other entity that serves as administrative agent in other similar syndicated credit facilities. If no such successor shall have been so appointed by the Required Lenders and shall have accepted such appointment within 30 days after the retiring Administrative Agent gives notice of its resignation (or such earlier day as shall be agreed by the Required Lenders) (the “</w:t>
      </w:r>
      <w:r>
        <w:rPr>
          <w:rFonts w:ascii="Times New Roman" w:hAnsi="Times New Roman"/>
          <w:sz w:val="20"/>
          <w:u w:val="single"/>
        </w:rPr>
        <w:t>Resignation Effective Date</w:t>
      </w:r>
      <w:r>
        <w:rPr>
          <w:rFonts w:ascii="Times New Roman" w:hAnsi="Times New Roman"/>
          <w:sz w:val="20"/>
        </w:rPr>
        <w:t xml:space="preserve">”), then the retiring Administrative Agent may (but shall not be obligated to), on behalf of the Lenders and the Issuing Lenders, appoint a successor Administrative Agent meeting the qualifications set forth above; </w:t>
      </w:r>
      <w:r>
        <w:rPr>
          <w:rFonts w:ascii="Times New Roman" w:hAnsi="Times New Roman"/>
          <w:sz w:val="20"/>
          <w:u w:val="single"/>
        </w:rPr>
        <w:t>provided</w:t>
      </w:r>
      <w:r>
        <w:rPr>
          <w:rFonts w:ascii="Times New Roman" w:hAnsi="Times New Roman"/>
          <w:sz w:val="20"/>
        </w:rPr>
        <w:t xml:space="preserve"> that in no event shall such any such successor Administrative Agent be a Defaulting Lender at the time of such succession. Whether or not a successor has been appointed, such resignation shall become effective in accordance with such notice on the Resignation Effective Date. </w:t>
      </w:r>
    </w:p>
    <w:p>
      <w:pPr>
        <w:pStyle w:val="TextBody"/>
        <w:bidi w:val="0"/>
        <w:spacing w:before="240" w:after="0"/>
        <w:jc w:val="left"/>
        <w:rPr>
          <w:rFonts w:ascii="Times New Roman" w:hAnsi="Times New Roman"/>
          <w:sz w:val="20"/>
        </w:rPr>
      </w:pPr>
      <w:r>
        <w:rPr>
          <w:rFonts w:ascii="Times New Roman" w:hAnsi="Times New Roman"/>
          <w:sz w:val="20"/>
        </w:rPr>
        <w:t>(b) If the Administrative Agent adopts policies or makes any public statement that it no longer intends to support (or to reduce its support of) the businesses of its clients operating in the same or similar industries as GEO (“</w:t>
      </w:r>
      <w:r>
        <w:rPr>
          <w:rFonts w:ascii="Times New Roman" w:hAnsi="Times New Roman"/>
          <w:sz w:val="20"/>
          <w:u w:val="single"/>
        </w:rPr>
        <w:t>Adverse Administrative Agent</w:t>
      </w:r>
      <w:r>
        <w:rPr>
          <w:rFonts w:ascii="Times New Roman" w:hAnsi="Times New Roman"/>
          <w:sz w:val="20"/>
        </w:rPr>
        <w:t xml:space="preserve">”), GEO may, to the extent permitted by applicable law, by notice in writing to such Person remove any Person serving as Administrative Agent, in which case, the Required Lenders may, in consultation with GEO, appoint a successor. If no such successor shall have been so appointed by the Required Lenders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and shall have accepted such appointment within 30 days (or such earlier day as shall be agreed by the Required Lenders) (the “</w:t>
      </w:r>
      <w:r>
        <w:rPr>
          <w:rFonts w:ascii="Times New Roman" w:hAnsi="Times New Roman"/>
          <w:sz w:val="20"/>
          <w:u w:val="single"/>
        </w:rPr>
        <w:t>Removal Effective Date</w:t>
      </w:r>
      <w:r>
        <w:rPr>
          <w:rFonts w:ascii="Times New Roman" w:hAnsi="Times New Roman"/>
          <w:sz w:val="20"/>
        </w:rPr>
        <w:t xml:space="preserve">”), then such removal shall nonetheless become effective in accordance with such notice on the Removal Effective Date. For purposes of this Section 8.06(b), the determination of the Required Lenders shall not give effect to the outstanding loans and commitments of any Lender who is, or who is an Affiliate of, the Adverse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(c) With effect from the Resignation Effective Date or the Removal Effective Date, as applicable (1) the retiring or removed Administrative Agent shall be discharged from its duties and obligations hereunder and under the other Loan Documents and (2) except for any indemnity payments or other amounts then owed to the retiring or removed Administrative Agent, all payments, communications and determinations provided to be made by, to or through the Administrative Agent shall instead be made by or to each Lender and each Issuing Lender directly, until such time, if any, as the Required Lenders appoint a successor Administrative Agent as provided for above. Upon the acceptance of a successor’s appointment as Administrative Agent hereunder, such successor shall succeed to and become vested with all of the rights, powers, privileges and duties of the retiring (or retired or removed) Administrative Agent (other than as provided in </w:t>
      </w:r>
      <w:r>
        <w:rPr>
          <w:rFonts w:ascii="Times New Roman" w:hAnsi="Times New Roman"/>
          <w:sz w:val="20"/>
          <w:u w:val="single"/>
        </w:rPr>
        <w:t>Section 2.15(i)</w:t>
      </w:r>
      <w:r>
        <w:rPr>
          <w:rFonts w:ascii="Times New Roman" w:hAnsi="Times New Roman"/>
          <w:sz w:val="20"/>
        </w:rPr>
        <w:t xml:space="preserve"> and other than any rights to indemnity payments or other amounts owed to the retiring, retired or removed Administrative Agent as of the Resignation Effective Date or the Removal Effective Date, as applicable), and the retiring or removed Administrative Agent shall (to the extent not already discharged as provided above) be discharged from all of its duties and obligations hereunder or under the other Loan Documents (if not already discharged therefrom as provided above in this Section). The fees payable by the Borrowers to a successor Administrative Agent shall be the same as those payable to its predecessor unless otherwise agreed between GEO and such successor. After the retiring or removed Administrative Agent’s resignation or removal hereunder and under the other Loan Documents, the provisions of this Article and </w:t>
      </w:r>
      <w:r>
        <w:rPr>
          <w:rFonts w:ascii="Times New Roman" w:hAnsi="Times New Roman"/>
          <w:sz w:val="20"/>
          <w:u w:val="single"/>
        </w:rPr>
        <w:t xml:space="preserve">Section 9.03 </w:t>
      </w:r>
      <w:r>
        <w:rPr>
          <w:rFonts w:ascii="Times New Roman" w:hAnsi="Times New Roman"/>
          <w:sz w:val="20"/>
        </w:rPr>
        <w:t xml:space="preserve">shall continue in effect for the benefit of such retiring or removed Administrative Agent, its sub-agents and their respective Related Parties in respect of any actions taken or omitted to be taken by any of them (i) while the retiring or removed Administrative Agent was acting as Administrative Agent and (ii) after such resignation or removal for as long as any of them continues to act in any capacity hereunder or under the other Loan Documents, including (x) acting as collateral agent or otherwise holding any collateral security on behalf of any of the Secured Parties and (y) in respect of any actions taken in connection with transferring the agency to any successor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Section 8.07 </w:t>
      </w:r>
      <w:r>
        <w:rPr>
          <w:rFonts w:ascii="Times New Roman" w:hAnsi="Times New Roman"/>
          <w:sz w:val="20"/>
          <w:u w:val="single"/>
        </w:rPr>
        <w:t>Non-Reliance on Administrative Agent and Other Lenders</w:t>
      </w:r>
      <w:r>
        <w:rPr>
          <w:rFonts w:ascii="Times New Roman" w:hAnsi="Times New Roman"/>
          <w:sz w:val="20"/>
        </w:rPr>
        <w:t xml:space="preserve">. Each Lender and each Issuing Lender acknowledges that it has, independently and without reliance upon the Administrative Agent or any other Lender or any of their Related Parties and based on such documents and information as it has deemed appropriate, made its own credit analysis and decision to enter into this Agreement. Each Lender and each Issuing Lender also acknowledges that it will, independently and without reliance upon the Administrative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 Each Lender and each Issuing Lender represents and warrants that (i) the Loan Documents set forth the terms of a commercial lending facility and (ii) it is engaged in making, acquiring and/or holding commercial loans in the ordinary course and 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entering into this Agreement as a Lender or Issuing Lender for the purpose of making, acquiring or holding commercial loans and providing other facilities set forth herein as may be applicable to such Lender or Issuing Lender, and not for the purpose of purchasing, acquiring or holding any other type of financial instrument, and each Lender and each Issuing Lender agrees not to assert a claim in contravention of the foregoing. Each Lender and each Issuing Lender represents and warrants that it is sophisticated with respect to decisions to make, acquire and/or hold commercial loans and to provide other facilities set forth herein, as may be applicable to such Lender or such Issuing Lender, and either it, or the Person exercising discretion in making its decision to make, acquire and/or hold such commercial loans or to provide such other facilities, is experienced in making, acquiring and/or holding such commercial loans or providing such other facilities. </w:t>
      </w:r>
    </w:p>
    <w:p>
      <w:pPr>
        <w:pStyle w:val="TextBody"/>
        <w:bidi w:val="0"/>
        <w:spacing w:before="240" w:after="0"/>
        <w:jc w:val="left"/>
        <w:rPr>
          <w:rFonts w:ascii="Times New Roman" w:hAnsi="Times New Roman"/>
          <w:sz w:val="20"/>
        </w:rPr>
      </w:pPr>
      <w:r>
        <w:rPr>
          <w:rFonts w:ascii="Times New Roman" w:hAnsi="Times New Roman"/>
          <w:sz w:val="20"/>
        </w:rPr>
        <w:t xml:space="preserve">Section 8.08 </w:t>
      </w:r>
      <w:r>
        <w:rPr>
          <w:rFonts w:ascii="Times New Roman" w:hAnsi="Times New Roman"/>
          <w:sz w:val="20"/>
          <w:u w:val="single"/>
        </w:rPr>
        <w:t>Collateral and Guaranty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otherwise provided in </w:t>
      </w:r>
      <w:r>
        <w:rPr>
          <w:rFonts w:ascii="Times New Roman" w:hAnsi="Times New Roman"/>
          <w:sz w:val="20"/>
          <w:u w:val="single"/>
        </w:rPr>
        <w:t>Section 9.02(b)</w:t>
      </w:r>
      <w:r>
        <w:rPr>
          <w:rFonts w:ascii="Times New Roman" w:hAnsi="Times New Roman"/>
          <w:sz w:val="20"/>
        </w:rPr>
        <w:t xml:space="preserve"> with respect to this Agreement, the Administrative Agent may, with the prior consent of the Required Lenders (or such other Lenders (or number or percentage of the Lenders) as shall be necessary, or as the Administrative Agent shall believe in good faith shall be necessary, under the circumstances as provided in </w:t>
      </w:r>
      <w:r>
        <w:rPr>
          <w:rFonts w:ascii="Times New Roman" w:hAnsi="Times New Roman"/>
          <w:sz w:val="20"/>
          <w:u w:val="single"/>
        </w:rPr>
        <w:t>Section 9.02</w:t>
      </w:r>
      <w:r>
        <w:rPr>
          <w:rFonts w:ascii="Times New Roman" w:hAnsi="Times New Roman"/>
          <w:sz w:val="20"/>
        </w:rPr>
        <w:t xml:space="preserve">), consent to any modification, supplement or waiver under any of the Loan Documents; </w:t>
      </w:r>
      <w:r>
        <w:rPr>
          <w:rFonts w:ascii="Times New Roman" w:hAnsi="Times New Roman"/>
          <w:sz w:val="20"/>
          <w:u w:val="single"/>
        </w:rPr>
        <w:t>provided</w:t>
      </w:r>
      <w:r>
        <w:rPr>
          <w:rFonts w:ascii="Times New Roman" w:hAnsi="Times New Roman"/>
          <w:sz w:val="20"/>
        </w:rPr>
        <w:t xml:space="preserve"> that, without the prior consent of each Lender, the Administrative Agent shall not (except as otherwise provided in this Agreement or in the Security Documents) release all or substantially all of the Collateral or otherwise terminate all or substantially all of the Liens under the Security Documents, agree to additional obligations being secured by all or substantially all of such collateral (unless the Lien for such additional obligations shall be pari passu with, or junior to, the Liens in favor of the other obligations secured by such Security Document, in which event the Administrative Agent may consent to such Lien and the documentation therefor, provided that, unless such Lien is permitted hereunder, the Required Lenders (or such other Lenders (or number or percentage of the Lenders) as shall be necessary, or as the Administrative Agent shall believe in good faith shall be necessary, under the circumstances as provided in </w:t>
      </w:r>
      <w:r>
        <w:rPr>
          <w:rFonts w:ascii="Times New Roman" w:hAnsi="Times New Roman"/>
          <w:sz w:val="20"/>
          <w:u w:val="single"/>
        </w:rPr>
        <w:t>Section 9.02</w:t>
      </w:r>
      <w:r>
        <w:rPr>
          <w:rFonts w:ascii="Times New Roman" w:hAnsi="Times New Roman"/>
          <w:sz w:val="20"/>
        </w:rPr>
        <w:t xml:space="preserve">) shall have consented thereto), alter the relative priorities of the obligations entitled to the benefits of the Liens created under the Security Documents with respect to all or substantially all of such collateral, or release all or substantially all of the Guarantors under the Loan Documents from their Guarantee obligations thereunder;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no such consent shall be required, and the Administrative Agent is hereby irrevocably authorized, at its option and in its sole discretion, to (a) release (or to confirm or further evidence the release of) (i) any Lien covering property (and to release any such Guarantor) that (x) is the subject of a disposition of property permitted hereunder, a disposition to which the Required Lenders (or such other Lenders (or number or percentage of the Lenders) as shall be necessary, or as the Administrative Agent shall believe in good faith shall be necessary, under the circumstances as provided in </w:t>
      </w:r>
      <w:r>
        <w:rPr>
          <w:rFonts w:ascii="Times New Roman" w:hAnsi="Times New Roman"/>
          <w:sz w:val="20"/>
          <w:u w:val="single"/>
        </w:rPr>
        <w:t>Section 9.02</w:t>
      </w:r>
      <w:r>
        <w:rPr>
          <w:rFonts w:ascii="Times New Roman" w:hAnsi="Times New Roman"/>
          <w:sz w:val="20"/>
        </w:rPr>
        <w:t xml:space="preserve">) have consented or the designation of any such Guarantor as an Unrestricted Subsidiary pursuant to </w:t>
      </w:r>
      <w:r>
        <w:rPr>
          <w:rFonts w:ascii="Times New Roman" w:hAnsi="Times New Roman"/>
          <w:sz w:val="20"/>
          <w:u w:val="single"/>
        </w:rPr>
        <w:t>Section 5.09(d)</w:t>
      </w:r>
      <w:r>
        <w:rPr>
          <w:rFonts w:ascii="Times New Roman" w:hAnsi="Times New Roman"/>
          <w:sz w:val="20"/>
        </w:rPr>
        <w:t xml:space="preserve">, (y) at such time constitutes Excluded Property or Excluded Real Property, or (z) the release of which has been consented to by such Lenders (or such number or percentage of the Lenders) as shall be necessary, or as the Administrative Agent shall believe in good faith shall be necessary, under the circumstances as provided in </w:t>
      </w:r>
      <w:r>
        <w:rPr>
          <w:rFonts w:ascii="Times New Roman" w:hAnsi="Times New Roman"/>
          <w:sz w:val="20"/>
          <w:u w:val="single"/>
        </w:rPr>
        <w:t>Section 9.02</w:t>
      </w:r>
      <w:r>
        <w:rPr>
          <w:rFonts w:ascii="Times New Roman" w:hAnsi="Times New Roman"/>
          <w:sz w:val="20"/>
        </w:rPr>
        <w:t xml:space="preserve">, (ii) any Subsidiary from its obligations under the Loan Documents in accordance with the terms of the applicable Loan Documents if such Person ceases to be a Restricted Subsidiary or a Guarantor, as applicable, as a result of a transaction permitted under the Loan Documents or a designation pursuant to </w:t>
      </w:r>
      <w:r>
        <w:rPr>
          <w:rFonts w:ascii="Times New Roman" w:hAnsi="Times New Roman"/>
          <w:sz w:val="20"/>
          <w:u w:val="single"/>
        </w:rPr>
        <w:t>Section 5.09(d)</w:t>
      </w:r>
      <w:r>
        <w:rPr>
          <w:rFonts w:ascii="Times New Roman" w:hAnsi="Times New Roman"/>
          <w:sz w:val="20"/>
        </w:rPr>
        <w:t xml:space="preserve">, and (iii) all of the Liens under the Loan Documents and all of the Loan Parties from their obligations under the Loan Documents, in each case under this </w:t>
      </w:r>
      <w:r>
        <w:rPr>
          <w:rFonts w:ascii="Times New Roman" w:hAnsi="Times New Roman"/>
          <w:sz w:val="20"/>
          <w:u w:val="single"/>
        </w:rPr>
        <w:t>clause (iii)</w:t>
      </w:r>
      <w:r>
        <w:rPr>
          <w:rFonts w:ascii="Times New Roman" w:hAnsi="Times New Roman"/>
          <w:sz w:val="20"/>
        </w:rPr>
        <w:t xml:space="preserve"> upon the occurrence of the Release Date, (b) subordinate (or to confirm or further evidence the subordination of) any Lien covering property that is the subject of any Permitted Land Use Encumbrance to such Permitted Land Use Encumbrance or (c) consent to any Permitted Land Use Encumbrance.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Upon request by the Administrative Agent at any time, the Required Lenders (or such other Lenders (or number or percentage of the Lenders) as shall be necessary, or as the Administrative Agent shall believe in good faith shall be necessary, under the circumstances as provided in </w:t>
      </w:r>
      <w:r>
        <w:rPr>
          <w:rFonts w:ascii="Times New Roman" w:hAnsi="Times New Roman"/>
          <w:sz w:val="20"/>
          <w:u w:val="single"/>
        </w:rPr>
        <w:t>Section 9.02</w:t>
      </w:r>
      <w:r>
        <w:rPr>
          <w:rFonts w:ascii="Times New Roman" w:hAnsi="Times New Roman"/>
          <w:sz w:val="20"/>
        </w:rPr>
        <w:t xml:space="preserve">) will confirm in writing the Administrative Agent’s authority to release or subordinate its interest in particular types or items of property, or to release any Loan Party from its obligations under the Loan Documents pursuant to this </w:t>
      </w:r>
      <w:r>
        <w:rPr>
          <w:rFonts w:ascii="Times New Roman" w:hAnsi="Times New Roman"/>
          <w:sz w:val="20"/>
          <w:u w:val="single"/>
        </w:rPr>
        <w:t>Section 8.08</w:t>
      </w:r>
      <w:r>
        <w:rPr>
          <w:rFonts w:ascii="Times New Roman" w:hAnsi="Times New Roman"/>
          <w:sz w:val="20"/>
        </w:rPr>
        <w:t xml:space="preserve">. In each case as specified in this </w:t>
      </w:r>
      <w:r>
        <w:rPr>
          <w:rFonts w:ascii="Times New Roman" w:hAnsi="Times New Roman"/>
          <w:sz w:val="20"/>
          <w:u w:val="single"/>
        </w:rPr>
        <w:t>Section 8.08</w:t>
      </w:r>
      <w:r>
        <w:rPr>
          <w:rFonts w:ascii="Times New Roman" w:hAnsi="Times New Roman"/>
          <w:sz w:val="20"/>
        </w:rPr>
        <w:t xml:space="preserve">, the Administrative Agent will, at the Borrowers’ expense, execute and deliver to the applicable Loan Party such documents as such Loan Party may reasonably request to evidence the release of such item of Collateral from the assignment and security interest granted under the Security Documents or to subordinate its interest in such item, or to release such Loan Party from its obligations under the Loan Documents, in each case in accordance with the terms of the Loan Documents and this </w:t>
      </w:r>
      <w:r>
        <w:rPr>
          <w:rFonts w:ascii="Times New Roman" w:hAnsi="Times New Roman"/>
          <w:sz w:val="20"/>
          <w:u w:val="single"/>
        </w:rPr>
        <w:t>Section 8.08</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Loan Party in connection therewith, nor shall the Administrative Agent be responsible or liable to the Lenders for any failure to monitor or maintain any portion of the Collateral.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anything contained herein to the contrary, upon the written request of GEO at any time, any existing Mortgage shall be released: </w:t>
      </w:r>
    </w:p>
    <w:p>
      <w:pPr>
        <w:pStyle w:val="TextBody"/>
        <w:bidi w:val="0"/>
        <w:spacing w:before="120" w:after="0"/>
        <w:jc w:val="left"/>
        <w:rPr>
          <w:rFonts w:ascii="Times New Roman" w:hAnsi="Times New Roman"/>
          <w:sz w:val="20"/>
        </w:rPr>
      </w:pPr>
      <w:r>
        <w:rPr>
          <w:rFonts w:ascii="Times New Roman" w:hAnsi="Times New Roman"/>
          <w:sz w:val="20"/>
        </w:rPr>
        <w:t xml:space="preserve">(i) prior to the Discharge of 2029 Senior Notes, so long as (i) the Borrowers shall continue to otherwise satisfy the Initial Material Real Property Threshold requirement (whether through existing Mortgages or by the designation of one or more replacement Material Real Properties and the delivery of new Mortgages on such replacement Material Real Properties), (ii) the Material Real Property encumbered by such Mortgage does not have a net book value that exceeds the Initial Material Real Property Threshold and (iii) the applicable Material Real Property does not secure (or is substantially concurrently released from) any Senior Notes or Incremental Equivalent Debt; </w:t>
      </w:r>
    </w:p>
    <w:p>
      <w:pPr>
        <w:pStyle w:val="TextBody"/>
        <w:bidi w:val="0"/>
        <w:spacing w:before="120" w:after="0"/>
        <w:jc w:val="left"/>
        <w:rPr>
          <w:rFonts w:ascii="Times New Roman" w:hAnsi="Times New Roman"/>
          <w:sz w:val="20"/>
        </w:rPr>
      </w:pPr>
      <w:r>
        <w:rPr>
          <w:rFonts w:ascii="Times New Roman" w:hAnsi="Times New Roman"/>
          <w:sz w:val="20"/>
        </w:rPr>
        <w:t xml:space="preserve">(ii) concurrently with the Discharge of 2029 Senior Notes, so long as no Default or Event of Default exists; </w:t>
      </w:r>
    </w:p>
    <w:p>
      <w:pPr>
        <w:pStyle w:val="TextBody"/>
        <w:bidi w:val="0"/>
        <w:spacing w:before="120" w:after="0"/>
        <w:jc w:val="left"/>
        <w:rPr>
          <w:rFonts w:ascii="Times New Roman" w:hAnsi="Times New Roman"/>
          <w:sz w:val="20"/>
        </w:rPr>
      </w:pPr>
      <w:r>
        <w:rPr>
          <w:rFonts w:ascii="Times New Roman" w:hAnsi="Times New Roman"/>
          <w:sz w:val="20"/>
        </w:rPr>
        <w:t xml:space="preserve">(iii) when a Springing Mortgage Period is in effect, so long as (1) the Borrowers shall continue to otherwise satisfy the Springing Material Real Property Threshold requirement (whether through existing Mortgages or by the designation of one or more replacement Material Real Properties and the delivery of new Mortgages on such replacement Material Real Properties), and (2) no Default or Event of Default exists;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(iv) when a Springing Mortgage Period is not in effect, so long as no Default or Event of Default exists. </w:t>
      </w:r>
    </w:p>
    <w:p>
      <w:pPr>
        <w:pStyle w:val="TextBody"/>
        <w:bidi w:val="0"/>
        <w:spacing w:before="240" w:after="0"/>
        <w:jc w:val="left"/>
        <w:rPr>
          <w:rFonts w:ascii="Times New Roman" w:hAnsi="Times New Roman"/>
          <w:sz w:val="20"/>
        </w:rPr>
      </w:pPr>
      <w:r>
        <w:rPr>
          <w:rFonts w:ascii="Times New Roman" w:hAnsi="Times New Roman"/>
          <w:sz w:val="20"/>
        </w:rPr>
        <w:t xml:space="preserve">Section 8.09 </w:t>
      </w:r>
      <w:r>
        <w:rPr>
          <w:rFonts w:ascii="Times New Roman" w:hAnsi="Times New Roman"/>
          <w:sz w:val="20"/>
          <w:u w:val="single"/>
        </w:rPr>
        <w:t>Administrative Agent May File Proofs of Claim; Credit Bidding</w:t>
      </w:r>
      <w:r>
        <w:rPr>
          <w:rFonts w:ascii="Times New Roman" w:hAnsi="Times New Roman"/>
          <w:sz w:val="20"/>
        </w:rPr>
        <w:t xml:space="preserve">. In case of the pendency of any proceeding under any Debtor Relief Law or any other judicial proceeding relative to any Loan Party, the Administrative Agent (irrespective of whether the principal of any Loan or LC Exposure shall then be due and payable as herein expressed or by declaration or otherwise and irrespective of whether the Administrative Agent shall have made any demand on the Borrower) shall be entitled and empowered, by intervention in such proceeding or otherwise: </w:t>
      </w:r>
    </w:p>
    <w:p>
      <w:pPr>
        <w:pStyle w:val="TextBody"/>
        <w:bidi w:val="0"/>
        <w:spacing w:before="120" w:after="0"/>
        <w:jc w:val="left"/>
        <w:rPr>
          <w:rFonts w:ascii="Times New Roman" w:hAnsi="Times New Roman"/>
          <w:sz w:val="20"/>
        </w:rPr>
      </w:pPr>
      <w:r>
        <w:rPr>
          <w:rFonts w:ascii="Times New Roman" w:hAnsi="Times New Roman"/>
          <w:sz w:val="20"/>
        </w:rPr>
        <w:t xml:space="preserve">(a) to file and prove a claim for the whole amount of the principal and interest owing and unpaid in respect of the Loans, LC Exposure and all other Obligations that are owing and unpaid and to file such other documents as may be necessary or advisable in order to have the claims of the Lenders, the Issuing Lender and the Administrative Agent (including any claim for the reasonable compensation, expenses, disbursements and advances of the Lenders, the Issuing Lender and the Administrative Agent and their respective agents and counsel and all other amounts due the Lenders, the Issuing Lender and the Administrative Agent under </w:t>
      </w:r>
      <w:r>
        <w:rPr>
          <w:rFonts w:ascii="Times New Roman" w:hAnsi="Times New Roman"/>
          <w:sz w:val="20"/>
          <w:u w:val="single"/>
        </w:rPr>
        <w:t>Sections 2.11</w:t>
      </w:r>
      <w:r>
        <w:rPr>
          <w:rFonts w:ascii="Times New Roman" w:hAnsi="Times New Roman"/>
          <w:sz w:val="20"/>
        </w:rPr>
        <w:t xml:space="preserve"> and </w:t>
      </w:r>
      <w:r>
        <w:rPr>
          <w:rFonts w:ascii="Times New Roman" w:hAnsi="Times New Roman"/>
          <w:sz w:val="20"/>
          <w:u w:val="single"/>
        </w:rPr>
        <w:t>9.03</w:t>
      </w:r>
      <w:r>
        <w:rPr>
          <w:rFonts w:ascii="Times New Roman" w:hAnsi="Times New Roman"/>
          <w:sz w:val="20"/>
        </w:rPr>
        <w:t xml:space="preserve">) allowed in such judicial proceeding; and </w:t>
      </w:r>
    </w:p>
    <w:p>
      <w:pPr>
        <w:pStyle w:val="TextBody"/>
        <w:bidi w:val="0"/>
        <w:spacing w:before="240" w:after="0"/>
        <w:jc w:val="left"/>
        <w:rPr>
          <w:rFonts w:ascii="Times New Roman" w:hAnsi="Times New Roman"/>
          <w:sz w:val="20"/>
        </w:rPr>
      </w:pPr>
      <w:r>
        <w:rPr>
          <w:rFonts w:ascii="Times New Roman" w:hAnsi="Times New Roman"/>
          <w:sz w:val="20"/>
        </w:rPr>
        <w:t xml:space="preserve">(b) to collect and receive any monies or other property payable or deliverable on any such claims and to distribute the same; </w:t>
      </w:r>
    </w:p>
    <w:p>
      <w:pPr>
        <w:pStyle w:val="TextBody"/>
        <w:bidi w:val="0"/>
        <w:spacing w:before="240" w:after="0"/>
        <w:jc w:val="left"/>
        <w:rPr>
          <w:rFonts w:ascii="Times New Roman" w:hAnsi="Times New Roman"/>
          <w:sz w:val="20"/>
        </w:rPr>
      </w:pPr>
      <w:r>
        <w:rPr>
          <w:rFonts w:ascii="Times New Roman" w:hAnsi="Times New Roman"/>
          <w:sz w:val="20"/>
        </w:rPr>
        <w:t xml:space="preserve">and any custodian, receiver, assignee, trustee, liquidator, sequestrator or other similar official in any such judicial proceeding is hereby authorized by each Lender and the Issuing Lender to make such payments to the Administrative Agent and, if the Administrative Agent shall consent to the making of such payments directly to the Lenders and the Issuing Lender, to pay to the Administrative Agent any amount due for the reasonable compensation, expenses, disbursements and advances of the Administrative Agent and its agents and counsel, and any other amounts due the Administrative Agent under </w:t>
      </w:r>
      <w:r>
        <w:rPr>
          <w:rFonts w:ascii="Times New Roman" w:hAnsi="Times New Roman"/>
          <w:sz w:val="20"/>
          <w:u w:val="single"/>
        </w:rPr>
        <w:t>Sections 2.11</w:t>
      </w:r>
      <w:r>
        <w:rPr>
          <w:rFonts w:ascii="Times New Roman" w:hAnsi="Times New Roman"/>
          <w:sz w:val="20"/>
        </w:rPr>
        <w:t xml:space="preserve"> and </w:t>
      </w:r>
      <w:r>
        <w:rPr>
          <w:rFonts w:ascii="Times New Roman" w:hAnsi="Times New Roman"/>
          <w:sz w:val="20"/>
          <w:u w:val="single"/>
        </w:rPr>
        <w:t>9.03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Nothing contained herein shall be deemed to authorize the Administrative Agent to authorize or consent to or accept or adopt on behalf of any Lender or the Issuing Lender any plan of reorganization, arrangement, adjustment or composition affecting the Obligations or the rights of any Lender or the Issuing Lender to authorize the Administrative Agent to vote in respect of the claim of any Lender or the Issuing Lender or in any such proceeding. </w:t>
      </w:r>
    </w:p>
    <w:p>
      <w:pPr>
        <w:pStyle w:val="TextBody"/>
        <w:bidi w:val="0"/>
        <w:spacing w:before="240" w:after="0"/>
        <w:jc w:val="left"/>
        <w:rPr>
          <w:rFonts w:ascii="Times New Roman" w:hAnsi="Times New Roman"/>
          <w:sz w:val="20"/>
        </w:rPr>
      </w:pPr>
      <w:r>
        <w:rPr>
          <w:rFonts w:ascii="Times New Roman" w:hAnsi="Times New Roman"/>
          <w:sz w:val="20"/>
        </w:rPr>
        <w:t xml:space="preserve">The Secured Parties hereby irrevocably authorize the Administrative Agent, at the direction of the Required Lenders, to credit bid all or any portion of the Obligations (including accepting some or all of the Collateral in satisfaction of some or all of the Obligations pursuant to a deed in lieu of foreclosure or otherwise) and in such manner purchase (either directly or through one or more acquisition vehicles) all or any portion of the Collateral (a) at any sale thereof conducted under the provisions of the Bankruptcy Code of the United States, including under Sections 363, 1123 or 1129 of the Bankruptcy Code of the United States, or any similar Laws in any other jurisdictions to which a Loan Party is subject, (b) at any other sale or foreclosure or acceptance of collateral in lieu of debt conducted by (or with the consent or at the direction of) the Administrative Agent (whether by judicial action or otherwise) in accordance with any applicable Law. In connection with any such credit bid and purchase, the Obligations owed to the Secured Parties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shall be entitled to be, and shall be, credit bid on a ratable basis (with Obligations with respect to contingent or unliquidated claims receiving contingent interests in the acquired assets on a ratable basis that would vest upon the liquidation of such claims in an amount proportional to the liquidated portion of the contingent claim amount used in allocating the contingent interests) in the asset or assets so purchased (or in the Equity Interests or debt instruments of the acquisition vehicle or vehicles that are used to consummate such purchase). In connection with any such bid (i) the Administrative Agent shall be authorized to form one or more acquisition vehicles to make a bid, (ii) to adopt documents providing for the governance of the acquisition vehicle or vehicles (</w:t>
      </w:r>
      <w:r>
        <w:rPr>
          <w:rFonts w:ascii="Times New Roman" w:hAnsi="Times New Roman"/>
          <w:sz w:val="20"/>
          <w:u w:val="single"/>
        </w:rPr>
        <w:t>provided</w:t>
      </w:r>
      <w:r>
        <w:rPr>
          <w:rFonts w:ascii="Times New Roman" w:hAnsi="Times New Roman"/>
          <w:sz w:val="20"/>
        </w:rPr>
        <w:t xml:space="preserve"> that any actions by the Administrative Agent with respect to such acquisition vehicle or vehicles, including any disposition of the assets or Equity Interests thereof shall be governed, directly or indirectly, by the vote of the Required Lenders, irrespective of the termination of this Agreement and without giving effect to the limitations on actions by the Required Lenders contained in </w:t>
      </w:r>
      <w:r>
        <w:rPr>
          <w:rFonts w:ascii="Times New Roman" w:hAnsi="Times New Roman"/>
          <w:sz w:val="20"/>
          <w:u w:val="single"/>
        </w:rPr>
        <w:t>clauses (i)</w:t>
      </w:r>
      <w:r>
        <w:rPr>
          <w:rFonts w:ascii="Times New Roman" w:hAnsi="Times New Roman"/>
          <w:sz w:val="20"/>
        </w:rPr>
        <w:t xml:space="preserve"> through </w:t>
      </w:r>
      <w:r>
        <w:rPr>
          <w:rFonts w:ascii="Times New Roman" w:hAnsi="Times New Roman"/>
          <w:sz w:val="20"/>
          <w:u w:val="single"/>
        </w:rPr>
        <w:t>(xii)</w:t>
      </w:r>
      <w:r>
        <w:rPr>
          <w:rFonts w:ascii="Times New Roman" w:hAnsi="Times New Roman"/>
          <w:sz w:val="20"/>
        </w:rPr>
        <w:t xml:space="preserve"> of </w:t>
      </w:r>
      <w:r>
        <w:rPr>
          <w:rFonts w:ascii="Times New Roman" w:hAnsi="Times New Roman"/>
          <w:sz w:val="20"/>
          <w:u w:val="single"/>
        </w:rPr>
        <w:t>Section 9.02(b)</w:t>
      </w:r>
      <w:r>
        <w:rPr>
          <w:rFonts w:ascii="Times New Roman" w:hAnsi="Times New Roman"/>
          <w:sz w:val="20"/>
        </w:rPr>
        <w:t xml:space="preserve">), and (iii) to the extent that Obligations that are assigned to an acquisition vehicle are not used to acquire Collateral for any reason (as a result of another bid being higher or better, because the amount of Obligations assigned to the acquisition vehicle exceeds the amount of debt credit bid by the acquisition vehicle or otherwise), such Obligations shall automatically be reassigned to the Lenders </w:t>
      </w:r>
      <w:r>
        <w:rPr>
          <w:rFonts w:ascii="Times New Roman" w:hAnsi="Times New Roman"/>
          <w:i/>
          <w:sz w:val="20"/>
        </w:rPr>
        <w:t xml:space="preserve">pro rata </w:t>
      </w:r>
      <w:r>
        <w:rPr>
          <w:rFonts w:ascii="Times New Roman" w:hAnsi="Times New Roman"/>
          <w:sz w:val="20"/>
        </w:rPr>
        <w:t xml:space="preserve">and the Equity Interests and/or debt instruments issued by any acquisition vehicle on account of the Obligations that had been assigned to the acquisition vehicle shall automatically be cancelled, without the need for any Secured Party or any acquisition vehicle to take any further action. </w:t>
      </w:r>
    </w:p>
    <w:p>
      <w:pPr>
        <w:pStyle w:val="TextBody"/>
        <w:bidi w:val="0"/>
        <w:spacing w:before="240" w:after="0"/>
        <w:jc w:val="left"/>
        <w:rPr>
          <w:rFonts w:ascii="Times New Roman" w:hAnsi="Times New Roman"/>
          <w:sz w:val="20"/>
        </w:rPr>
      </w:pPr>
      <w:r>
        <w:rPr>
          <w:rFonts w:ascii="Times New Roman" w:hAnsi="Times New Roman"/>
          <w:sz w:val="20"/>
        </w:rPr>
        <w:t xml:space="preserve">Section 8.10 </w:t>
      </w:r>
      <w:r>
        <w:rPr>
          <w:rFonts w:ascii="Times New Roman" w:hAnsi="Times New Roman"/>
          <w:sz w:val="20"/>
          <w:u w:val="single"/>
        </w:rPr>
        <w:t>Hedge Counterparties and Cash Management Banks</w:t>
      </w:r>
      <w:r>
        <w:rPr>
          <w:rFonts w:ascii="Times New Roman" w:hAnsi="Times New Roman"/>
          <w:sz w:val="20"/>
        </w:rPr>
        <w:t xml:space="preserve">. Anything herein or in any other Loan Document to the contrary notwithstanding, no Cash Management Bank or Hedge Counterparty that obtains the benefits of any Collateral by virtue of the provisions hereof or of any Security Document shall have any right to notice of any action or to consent to, direct or object to any action hereunder or under any other Loan Document or otherwise in respect of the Collateral (including the release or impairment of any Collateral) other than in its (or its Affiliate’s) capacity as a Lender and, in such case, only to the extent expressly provided in the Loan Documents. Notwithstanding any other provision of this </w:t>
      </w:r>
      <w:r>
        <w:rPr>
          <w:rFonts w:ascii="Times New Roman" w:hAnsi="Times New Roman"/>
          <w:sz w:val="20"/>
          <w:u w:val="single"/>
        </w:rPr>
        <w:t>Article VIII</w:t>
      </w:r>
      <w:r>
        <w:rPr>
          <w:rFonts w:ascii="Times New Roman" w:hAnsi="Times New Roman"/>
          <w:sz w:val="20"/>
        </w:rPr>
        <w:t xml:space="preserve"> to the contrary, the Administrative Agent shall not be required to verify the payment of, or that other satisfactory arrangements have been made with respect to, Cash Management Obligations or obligations under Hedging Agreements of Hedge Counterparties unless the Administrative Agent has received written notice of such Cash Management Obligations or obligations under Hedging Agreements of Hedge Counterparties, as applicable, together with such supporting documentation as the Administrative Agent may request, from the applicable Cash Management Bank or Hedge Counterparty,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Section 8.11 </w:t>
      </w:r>
      <w:r>
        <w:rPr>
          <w:rFonts w:ascii="Times New Roman" w:hAnsi="Times New Roman"/>
          <w:sz w:val="20"/>
          <w:u w:val="single"/>
        </w:rPr>
        <w:t>Lead Arrangers</w:t>
      </w:r>
      <w:r>
        <w:rPr>
          <w:rFonts w:ascii="Times New Roman" w:hAnsi="Times New Roman"/>
          <w:sz w:val="20"/>
        </w:rPr>
        <w:t xml:space="preserve">. Anything herein or in any other Loan Document to the contrary notwithstanding, each Lead Arranger is named as such for recognition purposes only, and in its capacity as such shall have no duties, responsibilities or liabilities with respect to this Agreement or any other Loan Document; it being understood and agreed that the Left Lead Arranger shall be entitled to all indemnification and reimbursement rights in favor of the Administrative Agent provided herein and in the other Loan Documents. Without limitation of the foregoing, no Lead Arranger, in its capacity as such, shall, by reason of this Agreement or any other Loan Document, have any fiduciary relationship in respect of any Lender, any Borrower or any other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8.12 </w:t>
      </w:r>
      <w:r>
        <w:rPr>
          <w:rFonts w:ascii="Times New Roman" w:hAnsi="Times New Roman"/>
          <w:sz w:val="20"/>
          <w:u w:val="single"/>
        </w:rPr>
        <w:t>Erroneous Payments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Each Lender and each Issuing Lender hereby agrees that (i) if the Administrative Agent notifies such Lender or Issuing Lender that the Administrative Agent has determined in its sole discretion that any funds received by such Lender or Issuing Lender from the Administrative Agent or any of its Affiliates were erroneously or mistakenly transmitted to, or otherwise erroneously or mistakenly received by, such Lender or Issuing Lender (whether or not known to such Lender or Issuing Lender) (whether as a payment, prepayment or repayment of principal, interest, fees or otherwise; individually and collectively, an “</w:t>
      </w:r>
      <w:r>
        <w:rPr>
          <w:rFonts w:ascii="Times New Roman" w:hAnsi="Times New Roman"/>
          <w:sz w:val="20"/>
          <w:u w:val="single"/>
        </w:rPr>
        <w:t>Erroneous Payment</w:t>
      </w:r>
      <w:r>
        <w:rPr>
          <w:rFonts w:ascii="Times New Roman" w:hAnsi="Times New Roman"/>
          <w:sz w:val="20"/>
        </w:rPr>
        <w:t xml:space="preserve">”) and demands the return of such Erroneous Payment (or a portion thereof), such Lender or Issuing Lender shall promptly, but in no event later than two Business Days thereafter, return to the Administrative Agent the amount of any such Erroneous Payment (or portion thereof) as to which such a demand was made, in same day funds (in the currency so received), together with interest thereon in respect of each day from and including the date such Erroneous Payment (or portion thereof) was received by such Lender or Issuing Lender to the date such amount is repaid to the Administrative Agent in same day funds at the greater of the Federal Funds Rate and a rate determined by the Administrative Agent in accordance with banking industry rules on interbank compensation from time to time in effect and (ii) to the extent permitted by applicable law, such Lender or Issuing Lender shall not assert any right or claim to the Erroneous Payment, and hereby waives any claim, counterclaim, defense or right of set-off or recoupment with respect to any demand, claim or counterclaim by the Administrative Agent for the return of any Erroneous Payments received, including, without limitation, waiver of any defense based on “discharge for value” or any similar theory or doctrine. A notice of the Administrative Agent to any Lender or any Issuing Lender under this </w:t>
      </w:r>
      <w:r>
        <w:rPr>
          <w:rFonts w:ascii="Times New Roman" w:hAnsi="Times New Roman"/>
          <w:sz w:val="20"/>
          <w:u w:val="single"/>
        </w:rPr>
        <w:t>clause (a)</w:t>
      </w:r>
      <w:r>
        <w:rPr>
          <w:rFonts w:ascii="Times New Roman" w:hAnsi="Times New Roman"/>
          <w:sz w:val="20"/>
        </w:rPr>
        <w:t xml:space="preserve"> shall be conclusive, absent manifest error. </w:t>
      </w:r>
    </w:p>
    <w:p>
      <w:pPr>
        <w:pStyle w:val="TextBody"/>
        <w:bidi w:val="0"/>
        <w:spacing w:before="240" w:after="0"/>
        <w:jc w:val="left"/>
        <w:rPr>
          <w:rFonts w:ascii="Times New Roman" w:hAnsi="Times New Roman"/>
          <w:sz w:val="20"/>
        </w:rPr>
      </w:pPr>
      <w:r>
        <w:rPr>
          <w:rFonts w:ascii="Times New Roman" w:hAnsi="Times New Roman"/>
          <w:sz w:val="20"/>
        </w:rPr>
        <w:t xml:space="preserve">(b) Without limiting immediately preceding </w:t>
      </w:r>
      <w:r>
        <w:rPr>
          <w:rFonts w:ascii="Times New Roman" w:hAnsi="Times New Roman"/>
          <w:sz w:val="20"/>
          <w:u w:val="single"/>
        </w:rPr>
        <w:t>clause (a)</w:t>
      </w:r>
      <w:r>
        <w:rPr>
          <w:rFonts w:ascii="Times New Roman" w:hAnsi="Times New Roman"/>
          <w:sz w:val="20"/>
        </w:rPr>
        <w:t xml:space="preserve">, each Lender and each Issuing Lender hereby further agrees that if it receives a payment from the Administrative Agent (or any of its Affiliates) (x) that is in a different amount than, or on a different date from, that specified in a notice of payment sent by the Administrative Agent, (y) that was not preceded or accompanied by notice of payment, or (z) that such Lender or Issuing Lender otherwise becomes aware was transmitted, or received, in error or by mistake (in whole or in part), then in each case, if an error has been made each such Lender and Issuing Lender is deemed to have knowledge of such error at the time of receipt of such Erroneous Payment, and to the extent permitted by applicable law, such Lender or Issuing Lender shall not assert any right or claim to the Erroneous Payment, and hereby waives, any claim, counterclaim, defense or right of set-off or recoupment with respect to any demand, claim or counterclaim by the Administrative Agent for the return of any Erroneous Payments received, including without limitation waiver of any defense based on “discharge for value” or any similar theory or doctrine. Each Lender and each Issuing Lender agrees that, in each such case, it shall promptly (and, in all events, within one Business Day of its knowledge (or deemed knowledge) of such error) notify the Administrative Agent of such occurrence and, upon demand from the Administrative Agent, it shall promptly, but in all events no later than two Business Days thereafter, return to the Administrative Agent the amount of any such Erroneous Payment (or portion thereof) as to which such a demand was made in same day funds (in the currency so received), together with interest thereon in respect of each day from and including the date such Erroneous Payment (or portion thereof) was received by such Lender or Issuing Lender to the date such amount is repaid to the Administrative Agent in same day funds at the greater of the Federal Funds Rate and a rate determined by the Administrative Agent in accordance with banking industry rules on interbank compensation from time to time in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The Borrowers and each other Loan Party hereby agree that (x) in the event an Erroneous Payment (or portion thereof) is not recovered from any Lender or Issuing Lender that has received such Erroneous Payment (or portion thereof) for any reason (and without limiting the Administrative Agent’s rights and remedies under this </w:t>
      </w:r>
      <w:r>
        <w:rPr>
          <w:rFonts w:ascii="Times New Roman" w:hAnsi="Times New Roman"/>
          <w:sz w:val="20"/>
          <w:u w:val="single"/>
        </w:rPr>
        <w:t>Section 8.12</w:t>
      </w:r>
      <w:r>
        <w:rPr>
          <w:rFonts w:ascii="Times New Roman" w:hAnsi="Times New Roman"/>
          <w:sz w:val="20"/>
        </w:rPr>
        <w:t xml:space="preserve">), the Administrative Agent shall be subrogated to all the rights of such Lender or Issuing Lender with respect to such amount and (y) an Erroneous Payment shall not pay, prepay, repay, discharge or otherwise satisfy any Obligations owed by any Borrower or any other Loan Party; </w:t>
      </w:r>
      <w:r>
        <w:rPr>
          <w:rFonts w:ascii="Times New Roman" w:hAnsi="Times New Roman"/>
          <w:sz w:val="20"/>
          <w:u w:val="single"/>
        </w:rPr>
        <w:t>provided</w:t>
      </w:r>
      <w:r>
        <w:rPr>
          <w:rFonts w:ascii="Times New Roman" w:hAnsi="Times New Roman"/>
          <w:sz w:val="20"/>
        </w:rPr>
        <w:t xml:space="preserve"> that this </w:t>
      </w:r>
      <w:r>
        <w:rPr>
          <w:rFonts w:ascii="Times New Roman" w:hAnsi="Times New Roman"/>
          <w:sz w:val="20"/>
          <w:u w:val="single"/>
        </w:rPr>
        <w:t>Section 8.12</w:t>
      </w:r>
      <w:r>
        <w:rPr>
          <w:rFonts w:ascii="Times New Roman" w:hAnsi="Times New Roman"/>
          <w:sz w:val="20"/>
        </w:rPr>
        <w:t xml:space="preserve"> shall not be interpreted to increase (or accelerate the due date for), or have the effect of increasing (or accelerating the due date for), the Obligations of the Loan Parties relative to the amount (and/or timing for payment) of the Obligations that would have been payable had such Erroneous Payment not been made by the Administrative Agent; </w:t>
      </w:r>
      <w:r>
        <w:rPr>
          <w:rFonts w:ascii="Times New Roman" w:hAnsi="Times New Roman"/>
          <w:sz w:val="20"/>
          <w:u w:val="single"/>
        </w:rPr>
        <w:t>provided further</w:t>
      </w:r>
      <w:r>
        <w:rPr>
          <w:rFonts w:ascii="Times New Roman" w:hAnsi="Times New Roman"/>
          <w:sz w:val="20"/>
        </w:rPr>
        <w:t xml:space="preserve"> that, for the avoidance of doubt, this clause (c) shall not apply to the extent such Erroneous Payment is, and solely with respect to the amount of such Erroneous Payment that is, comprised of funds received by the Administrative Agent from, or on behalf of (including through the exercise of remedies under any Loan Document), the Loan Parties for the purpose of a payment on the Obligations. </w:t>
      </w:r>
    </w:p>
    <w:p>
      <w:pPr>
        <w:pStyle w:val="TextBody"/>
        <w:bidi w:val="0"/>
        <w:spacing w:before="240" w:after="0"/>
        <w:jc w:val="left"/>
        <w:rPr>
          <w:rFonts w:ascii="Times New Roman" w:hAnsi="Times New Roman"/>
          <w:sz w:val="20"/>
        </w:rPr>
      </w:pPr>
      <w:r>
        <w:rPr>
          <w:rFonts w:ascii="Times New Roman" w:hAnsi="Times New Roman"/>
          <w:sz w:val="20"/>
        </w:rPr>
        <w:t xml:space="preserve">(d) In addition to any rights and remedies of the Administrative Agent provided by Law, each Lender or Issuing Lender hereby authorizes the Administrative Agent to, without prior written notice to any Lender or Issuing Lender, any such notice being expressly waived by such Lender or Issuing Lender to the extent permitted by applicable law, set off, net and apply any and all amounts at any time owing to such Lender or Issuing Lender under any Loan Document, or otherwise payable or distributable by the Administrative Agent to such Lender or Issuing Lender under any Loan Document with respect to any payment of principal, interest, fees or other amounts, against any amount that the Administrative Agent has demanded to be returned under immediately preceding </w:t>
      </w:r>
      <w:r>
        <w:rPr>
          <w:rFonts w:ascii="Times New Roman" w:hAnsi="Times New Roman"/>
          <w:sz w:val="20"/>
          <w:u w:val="single"/>
        </w:rPr>
        <w:t>clause (a)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Each party’s obligations under this </w:t>
      </w:r>
      <w:r>
        <w:rPr>
          <w:rFonts w:ascii="Times New Roman" w:hAnsi="Times New Roman"/>
          <w:sz w:val="20"/>
          <w:u w:val="single"/>
        </w:rPr>
        <w:t>Section 8.12</w:t>
      </w:r>
      <w:r>
        <w:rPr>
          <w:rFonts w:ascii="Times New Roman" w:hAnsi="Times New Roman"/>
          <w:sz w:val="20"/>
        </w:rPr>
        <w:t xml:space="preserve"> shall survive the resignation or replacement of the Administrative Agent, the termination of the Commitments, the repayment, satisfaction or discharge of all Obligations (or any portion thereof) under any Loan Document or the termination of the Loan Documents. </w:t>
      </w:r>
    </w:p>
    <w:p>
      <w:pPr>
        <w:pStyle w:val="TextBody"/>
        <w:bidi w:val="0"/>
        <w:spacing w:before="480" w:after="0"/>
        <w:jc w:val="center"/>
        <w:rPr>
          <w:rFonts w:ascii="Times New Roman" w:hAnsi="Times New Roman"/>
          <w:sz w:val="20"/>
        </w:rPr>
      </w:pPr>
      <w:r>
        <w:rPr>
          <w:rFonts w:ascii="Times New Roman" w:hAnsi="Times New Roman"/>
          <w:sz w:val="20"/>
        </w:rPr>
        <w:t xml:space="preserve">ARTICLE IX </w:t>
      </w:r>
    </w:p>
    <w:p>
      <w:pPr>
        <w:pStyle w:val="TextBody"/>
        <w:bidi w:val="0"/>
        <w:spacing w:before="120" w:after="0"/>
        <w:jc w:val="center"/>
        <w:rPr>
          <w:rFonts w:ascii="Times New Roman" w:hAnsi="Times New Roman"/>
          <w:sz w:val="20"/>
        </w:rPr>
      </w:pPr>
      <w:r>
        <w:rPr>
          <w:rFonts w:ascii="Times New Roman" w:hAnsi="Times New Roman"/>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sz w:val="20"/>
        </w:rPr>
        <w:t xml:space="preserve">Section 9.01 </w:t>
      </w:r>
      <w:r>
        <w:rPr>
          <w:rFonts w:ascii="Times New Roman" w:hAnsi="Times New Roman"/>
          <w:sz w:val="20"/>
          <w:u w:val="single"/>
        </w:rPr>
        <w:t>Notices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Notices Generally</w:t>
      </w:r>
      <w:r>
        <w:rPr>
          <w:rFonts w:ascii="Times New Roman" w:hAnsi="Times New Roman"/>
          <w:sz w:val="20"/>
        </w:rPr>
        <w:t xml:space="preserve">. Except in the case of notices and other communications expressly permitted to be given by telephone (and except as provided in </w:t>
      </w:r>
      <w:r>
        <w:rPr>
          <w:rFonts w:ascii="Times New Roman" w:hAnsi="Times New Roman"/>
          <w:sz w:val="20"/>
          <w:u w:val="single"/>
        </w:rPr>
        <w:t>Section 9.01(b)</w:t>
      </w:r>
      <w:r>
        <w:rPr>
          <w:rFonts w:ascii="Times New Roman" w:hAnsi="Times New Roman"/>
          <w:sz w:val="20"/>
        </w:rPr>
        <w:t xml:space="preserve">), all notices and other communications provided for herein shall be in writing and shall be delivered by hand or overnight courier service, mailed by certified or registered mail or sent by telecopier or e-mail, as follows: </w:t>
      </w:r>
    </w:p>
    <w:p>
      <w:pPr>
        <w:pStyle w:val="TextBody"/>
        <w:bidi w:val="0"/>
        <w:spacing w:before="120" w:after="0"/>
        <w:jc w:val="left"/>
        <w:rPr>
          <w:rFonts w:ascii="Times New Roman" w:hAnsi="Times New Roman"/>
          <w:sz w:val="20"/>
        </w:rPr>
      </w:pPr>
      <w:r>
        <w:rPr>
          <w:rFonts w:ascii="Times New Roman" w:hAnsi="Times New Roman"/>
          <w:sz w:val="20"/>
        </w:rPr>
        <w:t xml:space="preserve">(i) if to the Borrowers: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GEO Group, Inc. </w:t>
      </w:r>
    </w:p>
    <w:p>
      <w:pPr>
        <w:pStyle w:val="TextBody"/>
        <w:bidi w:val="0"/>
        <w:spacing w:before="0" w:after="0"/>
        <w:jc w:val="left"/>
        <w:rPr>
          <w:rFonts w:ascii="Times New Roman" w:hAnsi="Times New Roman"/>
          <w:sz w:val="20"/>
        </w:rPr>
      </w:pPr>
      <w:r>
        <w:rPr>
          <w:rFonts w:ascii="Times New Roman" w:hAnsi="Times New Roman"/>
          <w:sz w:val="20"/>
        </w:rPr>
        <w:t xml:space="preserve">4955 Technology Way </w:t>
      </w:r>
    </w:p>
    <w:p>
      <w:pPr>
        <w:pStyle w:val="TextBody"/>
        <w:bidi w:val="0"/>
        <w:spacing w:before="0" w:after="0"/>
        <w:jc w:val="left"/>
        <w:rPr>
          <w:rFonts w:ascii="Times New Roman" w:hAnsi="Times New Roman"/>
          <w:sz w:val="20"/>
        </w:rPr>
      </w:pPr>
      <w:r>
        <w:rPr>
          <w:rFonts w:ascii="Times New Roman" w:hAnsi="Times New Roman"/>
          <w:sz w:val="20"/>
        </w:rPr>
        <w:t xml:space="preserve">Boca Raton, Florida 33431 </w:t>
      </w:r>
    </w:p>
    <w:p>
      <w:pPr>
        <w:pStyle w:val="TextBody"/>
        <w:bidi w:val="0"/>
        <w:spacing w:before="0" w:after="0"/>
        <w:jc w:val="left"/>
        <w:rPr>
          <w:rFonts w:ascii="Times New Roman" w:hAnsi="Times New Roman"/>
          <w:sz w:val="20"/>
        </w:rPr>
      </w:pPr>
      <w:r>
        <w:rPr>
          <w:rFonts w:ascii="Times New Roman" w:hAnsi="Times New Roman"/>
          <w:sz w:val="20"/>
        </w:rPr>
        <w:t xml:space="preserve">Attention: Shayn March </w:t>
      </w:r>
    </w:p>
    <w:p>
      <w:pPr>
        <w:pStyle w:val="TextBody"/>
        <w:bidi w:val="0"/>
        <w:spacing w:before="0" w:after="0"/>
        <w:jc w:val="left"/>
        <w:rPr>
          <w:rFonts w:ascii="Times New Roman" w:hAnsi="Times New Roman"/>
          <w:sz w:val="20"/>
        </w:rPr>
      </w:pPr>
      <w:r>
        <w:rPr>
          <w:rFonts w:ascii="Times New Roman" w:hAnsi="Times New Roman"/>
          <w:sz w:val="20"/>
        </w:rPr>
        <w:t xml:space="preserve">Telephone No.: 561-893-0101 </w:t>
      </w:r>
    </w:p>
    <w:p>
      <w:pPr>
        <w:pStyle w:val="TextBody"/>
        <w:bidi w:val="0"/>
        <w:spacing w:before="0" w:after="0"/>
        <w:jc w:val="left"/>
        <w:rPr>
          <w:rFonts w:ascii="Times New Roman" w:hAnsi="Times New Roman"/>
          <w:sz w:val="20"/>
        </w:rPr>
      </w:pPr>
      <w:r>
        <w:rPr>
          <w:rFonts w:ascii="Times New Roman" w:hAnsi="Times New Roman"/>
          <w:sz w:val="20"/>
        </w:rPr>
        <w:t xml:space="preserve">Email: smarch@geogroup.com </w:t>
      </w:r>
    </w:p>
    <w:p>
      <w:pPr>
        <w:pStyle w:val="TextBody"/>
        <w:bidi w:val="0"/>
        <w:spacing w:before="120" w:after="0"/>
        <w:jc w:val="left"/>
        <w:rPr>
          <w:rFonts w:ascii="Times New Roman" w:hAnsi="Times New Roman"/>
          <w:sz w:val="20"/>
        </w:rPr>
      </w:pPr>
      <w:r>
        <w:rPr>
          <w:rFonts w:ascii="Times New Roman" w:hAnsi="Times New Roman"/>
          <w:sz w:val="20"/>
        </w:rPr>
        <w:t xml:space="preserve">with copies to: </w:t>
      </w:r>
    </w:p>
    <w:p>
      <w:pPr>
        <w:pStyle w:val="TextBody"/>
        <w:bidi w:val="0"/>
        <w:spacing w:before="120" w:after="0"/>
        <w:jc w:val="left"/>
        <w:rPr>
          <w:rFonts w:ascii="Times New Roman" w:hAnsi="Times New Roman"/>
          <w:sz w:val="20"/>
        </w:rPr>
      </w:pPr>
      <w:r>
        <w:rPr>
          <w:rFonts w:ascii="Times New Roman" w:hAnsi="Times New Roman"/>
          <w:sz w:val="20"/>
        </w:rPr>
        <w:t xml:space="preserve">Akerman LLP </w:t>
      </w:r>
    </w:p>
    <w:p>
      <w:pPr>
        <w:pStyle w:val="TextBody"/>
        <w:bidi w:val="0"/>
        <w:spacing w:before="0" w:after="0"/>
        <w:jc w:val="left"/>
        <w:rPr>
          <w:rFonts w:ascii="Times New Roman" w:hAnsi="Times New Roman"/>
          <w:sz w:val="20"/>
        </w:rPr>
      </w:pPr>
      <w:r>
        <w:rPr>
          <w:rFonts w:ascii="Times New Roman" w:hAnsi="Times New Roman"/>
          <w:sz w:val="20"/>
        </w:rPr>
        <w:t xml:space="preserve">Three Brickell City Centre </w:t>
      </w:r>
    </w:p>
    <w:p>
      <w:pPr>
        <w:pStyle w:val="TextBody"/>
        <w:bidi w:val="0"/>
        <w:spacing w:before="0" w:after="0"/>
        <w:jc w:val="left"/>
        <w:rPr>
          <w:rFonts w:ascii="Times New Roman" w:hAnsi="Times New Roman"/>
          <w:sz w:val="20"/>
        </w:rPr>
      </w:pPr>
      <w:r>
        <w:rPr>
          <w:rFonts w:ascii="Times New Roman" w:hAnsi="Times New Roman"/>
          <w:sz w:val="20"/>
        </w:rPr>
        <w:t xml:space="preserve">98 Southeast Seventh Street </w:t>
      </w:r>
    </w:p>
    <w:p>
      <w:pPr>
        <w:pStyle w:val="TextBody"/>
        <w:bidi w:val="0"/>
        <w:spacing w:before="0" w:after="0"/>
        <w:jc w:val="left"/>
        <w:rPr>
          <w:rFonts w:ascii="Times New Roman" w:hAnsi="Times New Roman"/>
          <w:sz w:val="20"/>
        </w:rPr>
      </w:pPr>
      <w:r>
        <w:rPr>
          <w:rFonts w:ascii="Times New Roman" w:hAnsi="Times New Roman"/>
          <w:sz w:val="20"/>
        </w:rPr>
        <w:t xml:space="preserve">Suite 1100 </w:t>
      </w:r>
    </w:p>
    <w:p>
      <w:pPr>
        <w:pStyle w:val="TextBody"/>
        <w:bidi w:val="0"/>
        <w:spacing w:before="0" w:after="0"/>
        <w:jc w:val="left"/>
        <w:rPr>
          <w:rFonts w:ascii="Times New Roman" w:hAnsi="Times New Roman"/>
          <w:sz w:val="20"/>
        </w:rPr>
      </w:pPr>
      <w:r>
        <w:rPr>
          <w:rFonts w:ascii="Times New Roman" w:hAnsi="Times New Roman"/>
          <w:sz w:val="20"/>
        </w:rPr>
        <w:t xml:space="preserve">Miami, Florida 33131 </w:t>
      </w:r>
    </w:p>
    <w:p>
      <w:pPr>
        <w:pStyle w:val="TextBody"/>
        <w:bidi w:val="0"/>
        <w:spacing w:before="0" w:after="0"/>
        <w:jc w:val="left"/>
        <w:rPr>
          <w:rFonts w:ascii="Times New Roman" w:hAnsi="Times New Roman"/>
          <w:sz w:val="20"/>
        </w:rPr>
      </w:pPr>
      <w:r>
        <w:rPr>
          <w:rFonts w:ascii="Times New Roman" w:hAnsi="Times New Roman"/>
          <w:sz w:val="20"/>
        </w:rPr>
        <w:t xml:space="preserve">Attention: William C. Arnhols </w:t>
      </w:r>
    </w:p>
    <w:p>
      <w:pPr>
        <w:pStyle w:val="TextBody"/>
        <w:bidi w:val="0"/>
        <w:spacing w:before="0" w:after="0"/>
        <w:jc w:val="left"/>
        <w:rPr>
          <w:rFonts w:ascii="Times New Roman" w:hAnsi="Times New Roman"/>
          <w:sz w:val="20"/>
        </w:rPr>
      </w:pPr>
      <w:r>
        <w:rPr>
          <w:rFonts w:ascii="Times New Roman" w:hAnsi="Times New Roman"/>
          <w:sz w:val="20"/>
        </w:rPr>
        <w:t xml:space="preserve">Telephone No.: 305-982-5623 </w:t>
      </w:r>
    </w:p>
    <w:p>
      <w:pPr>
        <w:pStyle w:val="TextBody"/>
        <w:bidi w:val="0"/>
        <w:spacing w:before="0" w:after="0"/>
        <w:jc w:val="left"/>
        <w:rPr>
          <w:rFonts w:ascii="Times New Roman" w:hAnsi="Times New Roman"/>
          <w:sz w:val="20"/>
        </w:rPr>
      </w:pPr>
      <w:r>
        <w:rPr>
          <w:rFonts w:ascii="Times New Roman" w:hAnsi="Times New Roman"/>
          <w:sz w:val="20"/>
        </w:rPr>
        <w:t xml:space="preserve">Email: william.arnhols@akerman.com </w:t>
      </w:r>
    </w:p>
    <w:p>
      <w:pPr>
        <w:pStyle w:val="TextBody"/>
        <w:bidi w:val="0"/>
        <w:spacing w:before="120" w:after="0"/>
        <w:jc w:val="left"/>
        <w:rPr>
          <w:rFonts w:ascii="Times New Roman" w:hAnsi="Times New Roman"/>
          <w:sz w:val="20"/>
        </w:rPr>
      </w:pPr>
      <w:r>
        <w:rPr>
          <w:rFonts w:ascii="Times New Roman" w:hAnsi="Times New Roman"/>
          <w:sz w:val="20"/>
        </w:rPr>
        <w:t xml:space="preserve">and </w:t>
      </w:r>
    </w:p>
    <w:p>
      <w:pPr>
        <w:pStyle w:val="TextBody"/>
        <w:bidi w:val="0"/>
        <w:spacing w:before="120" w:after="0"/>
        <w:jc w:val="left"/>
        <w:rPr>
          <w:rFonts w:ascii="Times New Roman" w:hAnsi="Times New Roman"/>
          <w:sz w:val="20"/>
        </w:rPr>
      </w:pPr>
      <w:r>
        <w:rPr>
          <w:rFonts w:ascii="Times New Roman" w:hAnsi="Times New Roman"/>
          <w:sz w:val="20"/>
        </w:rPr>
        <w:t xml:space="preserve">The GEO Group, Inc. </w:t>
      </w:r>
    </w:p>
    <w:p>
      <w:pPr>
        <w:pStyle w:val="TextBody"/>
        <w:bidi w:val="0"/>
        <w:spacing w:before="0" w:after="0"/>
        <w:jc w:val="left"/>
        <w:rPr>
          <w:rFonts w:ascii="Times New Roman" w:hAnsi="Times New Roman"/>
          <w:sz w:val="20"/>
        </w:rPr>
      </w:pPr>
      <w:r>
        <w:rPr>
          <w:rFonts w:ascii="Times New Roman" w:hAnsi="Times New Roman"/>
          <w:sz w:val="20"/>
        </w:rPr>
        <w:t xml:space="preserve">4955 Technology Way </w:t>
      </w:r>
    </w:p>
    <w:p>
      <w:pPr>
        <w:pStyle w:val="TextBody"/>
        <w:bidi w:val="0"/>
        <w:spacing w:before="0" w:after="0"/>
        <w:jc w:val="left"/>
        <w:rPr>
          <w:rFonts w:ascii="Times New Roman" w:hAnsi="Times New Roman"/>
          <w:sz w:val="20"/>
        </w:rPr>
      </w:pPr>
      <w:r>
        <w:rPr>
          <w:rFonts w:ascii="Times New Roman" w:hAnsi="Times New Roman"/>
          <w:sz w:val="20"/>
        </w:rPr>
        <w:t xml:space="preserve">Boca Raton, Florida 33431 </w:t>
      </w:r>
    </w:p>
    <w:p>
      <w:pPr>
        <w:pStyle w:val="TextBody"/>
        <w:bidi w:val="0"/>
        <w:spacing w:before="0" w:after="0"/>
        <w:jc w:val="left"/>
        <w:rPr>
          <w:rFonts w:ascii="Times New Roman" w:hAnsi="Times New Roman"/>
          <w:sz w:val="20"/>
        </w:rPr>
      </w:pPr>
      <w:r>
        <w:rPr>
          <w:rFonts w:ascii="Times New Roman" w:hAnsi="Times New Roman"/>
          <w:sz w:val="20"/>
        </w:rPr>
        <w:t xml:space="preserve">Attention: Scott Schipma </w:t>
      </w:r>
    </w:p>
    <w:p>
      <w:pPr>
        <w:pStyle w:val="TextBody"/>
        <w:bidi w:val="0"/>
        <w:spacing w:before="0" w:after="0"/>
        <w:jc w:val="left"/>
        <w:rPr>
          <w:rFonts w:ascii="Times New Roman" w:hAnsi="Times New Roman"/>
          <w:sz w:val="20"/>
        </w:rPr>
      </w:pPr>
      <w:r>
        <w:rPr>
          <w:rFonts w:ascii="Times New Roman" w:hAnsi="Times New Roman"/>
          <w:sz w:val="20"/>
        </w:rPr>
        <w:t xml:space="preserve">Telephone No.: 561-893-0101 </w:t>
      </w:r>
    </w:p>
    <w:p>
      <w:pPr>
        <w:pStyle w:val="TextBody"/>
        <w:bidi w:val="0"/>
        <w:spacing w:before="0" w:after="0"/>
        <w:jc w:val="left"/>
        <w:rPr>
          <w:rFonts w:ascii="Times New Roman" w:hAnsi="Times New Roman"/>
          <w:sz w:val="20"/>
        </w:rPr>
      </w:pPr>
      <w:r>
        <w:rPr>
          <w:rFonts w:ascii="Times New Roman" w:hAnsi="Times New Roman"/>
          <w:sz w:val="20"/>
        </w:rPr>
        <w:t xml:space="preserve">Email: scott.schipma@geogroup.com </w:t>
      </w:r>
    </w:p>
    <w:p>
      <w:pPr>
        <w:pStyle w:val="TextBody"/>
        <w:bidi w:val="0"/>
        <w:spacing w:before="120" w:after="0"/>
        <w:jc w:val="left"/>
        <w:rPr>
          <w:rFonts w:ascii="Times New Roman" w:hAnsi="Times New Roman"/>
          <w:sz w:val="20"/>
        </w:rPr>
      </w:pPr>
      <w:r>
        <w:rPr>
          <w:rFonts w:ascii="Times New Roman" w:hAnsi="Times New Roman"/>
          <w:sz w:val="20"/>
        </w:rPr>
        <w:t xml:space="preserve">(ii) if to the Administrative Agent, at its address set forth on </w:t>
      </w:r>
      <w:r>
        <w:rPr>
          <w:rFonts w:ascii="Times New Roman" w:hAnsi="Times New Roman"/>
          <w:sz w:val="20"/>
          <w:u w:val="single"/>
        </w:rPr>
        <w:t>Schedule 9.01</w:t>
      </w:r>
      <w:r>
        <w:rPr>
          <w:rFonts w:ascii="Times New Roman" w:hAnsi="Times New Roman"/>
          <w:sz w:val="20"/>
        </w:rPr>
        <w:t xml:space="preserve">; and </w:t>
      </w:r>
    </w:p>
    <w:p>
      <w:pPr>
        <w:pStyle w:val="TextBody"/>
        <w:bidi w:val="0"/>
        <w:spacing w:before="120" w:after="0"/>
        <w:jc w:val="left"/>
        <w:rPr>
          <w:rFonts w:ascii="Times New Roman" w:hAnsi="Times New Roman"/>
          <w:sz w:val="20"/>
        </w:rPr>
      </w:pPr>
      <w:r>
        <w:rPr>
          <w:rFonts w:ascii="Times New Roman" w:hAnsi="Times New Roman"/>
          <w:sz w:val="20"/>
        </w:rPr>
        <w:t xml:space="preserve">(iii) if to a Lender, to it at its address set forth in its Administrative Questionnaire. </w:t>
      </w:r>
    </w:p>
    <w:p>
      <w:pPr>
        <w:pStyle w:val="TextBody"/>
        <w:bidi w:val="0"/>
        <w:spacing w:before="240" w:after="0"/>
        <w:jc w:val="left"/>
        <w:rPr>
          <w:rFonts w:ascii="Times New Roman" w:hAnsi="Times New Roman"/>
          <w:sz w:val="20"/>
        </w:rPr>
      </w:pPr>
      <w:r>
        <w:rPr>
          <w:rFonts w:ascii="Times New Roman" w:hAnsi="Times New Roman"/>
          <w:sz w:val="20"/>
        </w:rPr>
        <w:t xml:space="preserve">Notices sent by hand or overnight courier service, or mailed by certified or registered mail, shall be deemed to have been given when received; notices sent by telecopier shall be deemed to have been given when sent (except that, if not given during normal business hours for the recipient, shall be deemed to have been given at the opening of business on the next Business Day for the recipient). Notices delivered through electronic communications to the extent provided in </w:t>
      </w:r>
      <w:r>
        <w:rPr>
          <w:rFonts w:ascii="Times New Roman" w:hAnsi="Times New Roman"/>
          <w:sz w:val="20"/>
          <w:u w:val="single"/>
        </w:rPr>
        <w:t>Section 9.01(b)</w:t>
      </w:r>
      <w:r>
        <w:rPr>
          <w:rFonts w:ascii="Times New Roman" w:hAnsi="Times New Roman"/>
          <w:sz w:val="20"/>
        </w:rPr>
        <w:t xml:space="preserve">, shall be effective as provided in said </w:t>
      </w:r>
      <w:r>
        <w:rPr>
          <w:rFonts w:ascii="Times New Roman" w:hAnsi="Times New Roman"/>
          <w:sz w:val="20"/>
          <w:u w:val="single"/>
        </w:rPr>
        <w:t>Section 9.01(b)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Electronic Communications</w:t>
      </w:r>
      <w:r>
        <w:rPr>
          <w:rFonts w:ascii="Times New Roman" w:hAnsi="Times New Roman"/>
          <w:sz w:val="20"/>
        </w:rPr>
        <w:t xml:space="preserve">. Notices and other communications to the Lenders and the Issuing Lenders hereunder may be delivered or furnished by electronic communication (including e-mail and Internet or intranet websites) pursuant to procedures approved by the Administrative Agent; </w:t>
      </w:r>
      <w:r>
        <w:rPr>
          <w:rFonts w:ascii="Times New Roman" w:hAnsi="Times New Roman"/>
          <w:sz w:val="20"/>
          <w:u w:val="single"/>
        </w:rPr>
        <w:t>provided</w:t>
      </w:r>
      <w:r>
        <w:rPr>
          <w:rFonts w:ascii="Times New Roman" w:hAnsi="Times New Roman"/>
          <w:sz w:val="20"/>
        </w:rPr>
        <w:t xml:space="preserve"> that the foregoing shall not apply to notices to any Lender or any Issuing Lender pursuant to </w:t>
      </w:r>
      <w:r>
        <w:rPr>
          <w:rFonts w:ascii="Times New Roman" w:hAnsi="Times New Roman"/>
          <w:sz w:val="20"/>
          <w:u w:val="single"/>
        </w:rPr>
        <w:t>Article II</w:t>
      </w:r>
      <w:r>
        <w:rPr>
          <w:rFonts w:ascii="Times New Roman" w:hAnsi="Times New Roman"/>
          <w:sz w:val="20"/>
        </w:rPr>
        <w:t xml:space="preserve"> if such Lender or such Issuing Lender, as applicable, has notified the Administrative Agent that it is incapable of receiving notices under such Article by electronic communication. The Administrative Agent or GEO may, in its discretion, agree to accept notices and other communications to it hereunder by electronic communications pursuant to procedures approved by it; </w:t>
      </w:r>
      <w:r>
        <w:rPr>
          <w:rFonts w:ascii="Times New Roman" w:hAnsi="Times New Roman"/>
          <w:sz w:val="20"/>
          <w:u w:val="single"/>
        </w:rPr>
        <w:t>provided</w:t>
      </w:r>
      <w:r>
        <w:rPr>
          <w:rFonts w:ascii="Times New Roman" w:hAnsi="Times New Roman"/>
          <w:sz w:val="20"/>
        </w:rPr>
        <w:t xml:space="preserve"> that approval of such procedures may be limited to particular notices or communications.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Unless the Administrative Agent otherwise prescribes, (i) notices and other communications sent to an e-mail address shall be deemed received upon the sender’s receipt of an acknowledgment from the intended recipient (such as by the “return receipt requested” function, as available, return e-mail or other written acknowledgment); </w:t>
      </w:r>
      <w:r>
        <w:rPr>
          <w:rFonts w:ascii="Times New Roman" w:hAnsi="Times New Roman"/>
          <w:sz w:val="20"/>
          <w:u w:val="single"/>
        </w:rPr>
        <w:t>provided</w:t>
      </w:r>
      <w:r>
        <w:rPr>
          <w:rFonts w:ascii="Times New Roman" w:hAnsi="Times New Roman"/>
          <w:sz w:val="20"/>
        </w:rPr>
        <w:t xml:space="preserve">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clause (i) of this sentence of notification that such notice or communication is available and identifying the website address therefor.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Change of Address, Etc</w:t>
      </w:r>
      <w:r>
        <w:rPr>
          <w:rFonts w:ascii="Times New Roman" w:hAnsi="Times New Roman"/>
          <w:sz w:val="20"/>
        </w:rPr>
        <w:t xml:space="preserve">. Any party hereto may change its address or telecopier number for notices and other communications hereunder by notice to the other parties hereto (or, in the case of any such change by a Lender, by notice to GEO and the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Platform</w:t>
      </w:r>
      <w:r>
        <w:rPr>
          <w:rFonts w:ascii="Times New Roman" w:hAnsi="Times New Roman"/>
          <w:sz w:val="20"/>
        </w:rPr>
        <w:t>. Each Borrower hereby acknowledges that (a) the Administrative Agent will make available to the Lenders and the Issuing Lenders materials and/or information provided by, or on behalf of, GEO, its Subsidiaries and the Other Consolidated Persons hereunder (collectively, the “</w:t>
      </w:r>
      <w:r>
        <w:rPr>
          <w:rFonts w:ascii="Times New Roman" w:hAnsi="Times New Roman"/>
          <w:sz w:val="20"/>
          <w:u w:val="single"/>
        </w:rPr>
        <w:t>Borrower Materials</w:t>
      </w:r>
      <w:r>
        <w:rPr>
          <w:rFonts w:ascii="Times New Roman" w:hAnsi="Times New Roman"/>
          <w:sz w:val="20"/>
        </w:rPr>
        <w:t>”) by posting the Borrower Materials on Intralinks, DebtDomain or another similar electronic system (the “</w:t>
      </w:r>
      <w:r>
        <w:rPr>
          <w:rFonts w:ascii="Times New Roman" w:hAnsi="Times New Roman"/>
          <w:sz w:val="20"/>
          <w:u w:val="single"/>
        </w:rPr>
        <w:t>Platform</w:t>
      </w:r>
      <w:r>
        <w:rPr>
          <w:rFonts w:ascii="Times New Roman" w:hAnsi="Times New Roman"/>
          <w:sz w:val="20"/>
        </w:rPr>
        <w:t>”) or otherwise in accordance with the Administrative Agent’s standard practices, and (b) certain of the Lenders may be “public-side” Lenders (</w:t>
      </w:r>
      <w:r>
        <w:rPr>
          <w:rFonts w:ascii="Times New Roman" w:hAnsi="Times New Roman"/>
          <w:sz w:val="20"/>
          <w:u w:val="single"/>
        </w:rPr>
        <w:t>i.e.</w:t>
      </w:r>
      <w:r>
        <w:rPr>
          <w:rFonts w:ascii="Times New Roman" w:hAnsi="Times New Roman"/>
          <w:sz w:val="20"/>
        </w:rPr>
        <w:t>, Lenders that do not wish to receive material nonpublic information with respect to GEO, its Subsidiaries or their respective securities of any of the foregoing (collectively, “</w:t>
      </w:r>
      <w:r>
        <w:rPr>
          <w:rFonts w:ascii="Times New Roman" w:hAnsi="Times New Roman"/>
          <w:sz w:val="20"/>
          <w:u w:val="single"/>
        </w:rPr>
        <w:t>MNPI</w:t>
      </w:r>
      <w:r>
        <w:rPr>
          <w:rFonts w:ascii="Times New Roman" w:hAnsi="Times New Roman"/>
          <w:sz w:val="20"/>
        </w:rPr>
        <w:t>”) (each, a “</w:t>
      </w:r>
      <w:r>
        <w:rPr>
          <w:rFonts w:ascii="Times New Roman" w:hAnsi="Times New Roman"/>
          <w:sz w:val="20"/>
          <w:u w:val="single"/>
        </w:rPr>
        <w:t>Public Lender</w:t>
      </w:r>
      <w:r>
        <w:rPr>
          <w:rFonts w:ascii="Times New Roman" w:hAnsi="Times New Roman"/>
          <w:sz w:val="20"/>
        </w:rPr>
        <w:t xml:space="preserve">”)). Each Borrower hereby agrees that (w) all Borrower Materials that are to be made available to Public Lenders shall be clearly and conspicuously marked “PUBLIC” which, at a minimum, shall mean that the word “PUBLIC” shall appear prominently on the first page thereof, (x) by marking Borrower Materials “PUBLIC,” the Borrowers shall be deemed to have authorized the Administrative Agent and the Lenders to treat such Borrower Materials as not containing any MNPI for purposes of foreign or United States Federal and state securities laws (provided that to the extent such Borrower Materials constitute Information, they shall be treated as set forth in </w:t>
      </w:r>
      <w:r>
        <w:rPr>
          <w:rFonts w:ascii="Times New Roman" w:hAnsi="Times New Roman"/>
          <w:sz w:val="20"/>
          <w:u w:val="single"/>
        </w:rPr>
        <w:t>Section 9.12(b)</w:t>
      </w:r>
      <w:r>
        <w:rPr>
          <w:rFonts w:ascii="Times New Roman" w:hAnsi="Times New Roman"/>
          <w:sz w:val="20"/>
        </w:rPr>
        <w:t xml:space="preserve">), (y) all Borrower Materials marked “PUBLIC” are permitted to be made available through a portion of the Platform designated as “Public Investor,” and (z) the Administrative Agent shall be entitled to treat any Borrower Materials that are not marked “PUBLIC” as being suitable only for posting on a portion of the Platform not marked as “Public Investor.” Notwithstanding the foregoing, the following Borrower Materials shall be deemed to be marked “PUBLIC,” unless GEO notifies the Administrative Agent promptly that any such document contains MNPI: (i) the Loan Documents, (ii) any notification of changes in the terms of the Commitments or the Loans and (iii) all information furnished pursuant to </w:t>
      </w:r>
      <w:r>
        <w:rPr>
          <w:rFonts w:ascii="Times New Roman" w:hAnsi="Times New Roman"/>
          <w:sz w:val="20"/>
          <w:u w:val="single"/>
        </w:rPr>
        <w:t>Section 5.01(a)</w:t>
      </w:r>
      <w:r>
        <w:rPr>
          <w:rFonts w:ascii="Times New Roman" w:hAnsi="Times New Roman"/>
          <w:sz w:val="20"/>
        </w:rPr>
        <w:t xml:space="preserve">, </w:t>
      </w:r>
      <w:r>
        <w:rPr>
          <w:rFonts w:ascii="Times New Roman" w:hAnsi="Times New Roman"/>
          <w:sz w:val="20"/>
          <w:u w:val="single"/>
        </w:rPr>
        <w:t>(b)</w:t>
      </w:r>
      <w:r>
        <w:rPr>
          <w:rFonts w:ascii="Times New Roman" w:hAnsi="Times New Roman"/>
          <w:sz w:val="20"/>
        </w:rPr>
        <w:t xml:space="preserve"> and </w:t>
      </w:r>
      <w:r>
        <w:rPr>
          <w:rFonts w:ascii="Times New Roman" w:hAnsi="Times New Roman"/>
          <w:sz w:val="20"/>
          <w:u w:val="single"/>
        </w:rPr>
        <w: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communications that are not made available through the “Public Side Information” portion of the Platform and that may contain MNPI.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PLATFORM IS PROVIDED “AS IS” AND “AS AVAILABLE.” NEITHER THE ADMINISTRATIVE AGENT NOR ANY OF ITS RELATED PARTIES WARRANTS THE ACCURACY OR COMPLETENESS OF ANY COMMUNICATIONS OR THE ADEQUACY OF THE PLATFORM AND EACH EXPRESSLY DISCLAIMS LIABILITY FOR ERRORS OR OMISSIONS IN ANY COMMUNICATIONS ON OR THROUGH THE PLATFORM. NO WARRANTY OF ANY KIND, EXPRESS, IMPLIED OR STATUTORY, INCLUDING ANY WARRANTY OF MERCHANTABILITY, FITNESS FOR A PARTICULAR PURPOSE, NONINFRINGEMENT OF THIRD-PARTY RIGHTS OR FREEDOM FROM VIRUSES OR OTHER CODE DEFECTS IS MADE BY THE ADMINISTRATIVE AGENT OR ANY OF ITS RELATED PARTIES IN CONNECTION WITH ANY SUCH COMMUNICATIONS OR THE PLATFORM. IN NO EVENT SHALL THE ADMINISTRATIVE AGENT OR ANY OF ITS RELATED PARTIES HAVE ANY LIABILITY TO ANY BORROWER OR ANY OF THEIR RESPECTIVE AFFILIATES, ANY SECURED PARTY OR ANY OTHER PERSON FOR DAMAGES OF ANY KIND, WHETHER OR NOT BASED ON STRICT LIABILITY AND INCLUDING DIRECT OR INDIRECT, SPECIAL, INCIDENTAL OR CONSEQUENTIAL DAMAGES, LOSSES OR EXPENSES (WHETHER IN TORT, CONTRACT OR OTHERWISE) ARISING OUT OF THE BORROWERS’ OR ANY OF THEIR AFFILIATES’ OR THE ADMINISTRATIVE AGENT’S TRANSMISSION OF COMMUNICATIONS THROUGH THE INTERNET, EXCEPT TO THE EXTENT THE LIABILITY OF ANY SUCH PERSON IS FOUND IN A FINAL RULING BY A COURT OF COMPETENT JURISDICTION TO HAVE RESULTED FROM SUCH PERSON’S GROSS NEGLIGENCE OR WILLFUL MISCONDUCT. </w:t>
      </w:r>
    </w:p>
    <w:p>
      <w:pPr>
        <w:pStyle w:val="TextBody"/>
        <w:bidi w:val="0"/>
        <w:spacing w:before="240" w:after="0"/>
        <w:jc w:val="left"/>
        <w:rPr>
          <w:rFonts w:ascii="Times New Roman" w:hAnsi="Times New Roman"/>
          <w:sz w:val="20"/>
        </w:rPr>
      </w:pPr>
      <w:r>
        <w:rPr>
          <w:rFonts w:ascii="Times New Roman" w:hAnsi="Times New Roman"/>
          <w:sz w:val="20"/>
        </w:rPr>
        <w:t xml:space="preserve">Each Lender agrees that receipt of notice to it (as provided above) specifying that the communications have been posted to the Platform shall constitute effective delivery of such communications to such Lender for purposes of the Loan Documents. </w:t>
      </w:r>
    </w:p>
    <w:p>
      <w:pPr>
        <w:pStyle w:val="TextBody"/>
        <w:bidi w:val="0"/>
        <w:spacing w:before="240" w:after="0"/>
        <w:jc w:val="left"/>
        <w:rPr>
          <w:rFonts w:ascii="Times New Roman" w:hAnsi="Times New Roman"/>
          <w:sz w:val="20"/>
        </w:rPr>
      </w:pPr>
      <w:r>
        <w:rPr>
          <w:rFonts w:ascii="Times New Roman" w:hAnsi="Times New Roman"/>
          <w:sz w:val="20"/>
        </w:rPr>
        <w:t xml:space="preserve">Section 9.02 </w:t>
      </w:r>
      <w:r>
        <w:rPr>
          <w:rFonts w:ascii="Times New Roman" w:hAnsi="Times New Roman"/>
          <w:sz w:val="20"/>
          <w:u w:val="single"/>
        </w:rPr>
        <w:t>Waivers; Amendments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No Deemed Waivers; Remedies Cumulative</w:t>
      </w:r>
      <w:r>
        <w:rPr>
          <w:rFonts w:ascii="Times New Roman" w:hAnsi="Times New Roman"/>
          <w:sz w:val="20"/>
        </w:rPr>
        <w:t xml:space="preserve">. No failure or delay by the Administrative Agent, any Issuing Lender or any Lender in exercising any right, power or remedy hereunder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 Lenders and the Lenders hereunder are cumulative and are not exclusive of any rights, powers or remedies that they would otherwise have. No waiver of any provision of this Agreement or consent to any departure by the Borrowers therefrom shall in any event be effective unless the same shall be permitted by </w:t>
      </w:r>
      <w:r>
        <w:rPr>
          <w:rFonts w:ascii="Times New Roman" w:hAnsi="Times New Roman"/>
          <w:sz w:val="20"/>
          <w:u w:val="single"/>
        </w:rPr>
        <w:t>Section 9.02(b)</w:t>
      </w:r>
      <w:r>
        <w:rPr>
          <w:rFonts w:ascii="Times New Roman" w:hAnsi="Times New Roman"/>
          <w:sz w:val="20"/>
        </w:rPr>
        <w:t xml:space="preserve">, and then such waiver or consent shall be effective only in the specific instance and for the purpose for which given. Without limiting the generality of the foregoing, the making of a Loan or issuance, amendment, renewal or extension of a Letter of Credit shall not be construed as a waiver of any Default, regardless of whether the Administrative Agent, any Lender or any Issuing Lender may have had notice or knowledge of such Default at the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Amendments</w:t>
      </w:r>
      <w:r>
        <w:rPr>
          <w:rFonts w:ascii="Times New Roman" w:hAnsi="Times New Roman"/>
          <w:sz w:val="20"/>
        </w:rPr>
        <w:t xml:space="preserve">. Neither this Agreement nor any provision hereof may be waived, amended or modified except pursuant to an agreement or agreements in writing entered into (x) if, at such time, the Term Loan Exposure exceeds 35% of the Aggregate Credit Facilities Amount, by the Borrowers, the Required Term Lenders (except as set forth in </w:t>
      </w:r>
      <w:r>
        <w:rPr>
          <w:rFonts w:ascii="Times New Roman" w:hAnsi="Times New Roman"/>
          <w:sz w:val="20"/>
          <w:u w:val="single"/>
        </w:rPr>
        <w:t>clause (xii)</w:t>
      </w:r>
      <w:r>
        <w:rPr>
          <w:rFonts w:ascii="Times New Roman" w:hAnsi="Times New Roman"/>
          <w:sz w:val="20"/>
        </w:rPr>
        <w:t xml:space="preserve"> below) and the Required Revolving Credit Lenders, or by the Borrowers and the Administrative Agent with the consent of the Required Term Lenders (except as set forth in </w:t>
      </w:r>
      <w:r>
        <w:rPr>
          <w:rFonts w:ascii="Times New Roman" w:hAnsi="Times New Roman"/>
          <w:sz w:val="20"/>
          <w:u w:val="single"/>
        </w:rPr>
        <w:t>clause (xii)</w:t>
      </w:r>
      <w:r>
        <w:rPr>
          <w:rFonts w:ascii="Times New Roman" w:hAnsi="Times New Roman"/>
          <w:sz w:val="20"/>
        </w:rPr>
        <w:t xml:space="preserve"> below) and the Required Revolving Credit Lenders or (y) if, at such time, the Term Loan Exposure does not exceed 35% of the Aggregate Credit Facilities Amount, by the Borrowers and the Required Lenders (except as set forth in </w:t>
      </w:r>
      <w:r>
        <w:rPr>
          <w:rFonts w:ascii="Times New Roman" w:hAnsi="Times New Roman"/>
          <w:sz w:val="20"/>
          <w:u w:val="single"/>
        </w:rPr>
        <w:t>clause (xii)</w:t>
      </w:r>
      <w:r>
        <w:rPr>
          <w:rFonts w:ascii="Times New Roman" w:hAnsi="Times New Roman"/>
          <w:sz w:val="20"/>
        </w:rPr>
        <w:t xml:space="preserve"> below) or by the Borrowers and the Administrative Agent with the consent of the Required Lenders (except as set forth in </w:t>
      </w:r>
      <w:r>
        <w:rPr>
          <w:rFonts w:ascii="Times New Roman" w:hAnsi="Times New Roman"/>
          <w:sz w:val="20"/>
          <w:u w:val="single"/>
        </w:rPr>
        <w:t>clause (xii)</w:t>
      </w:r>
      <w:r>
        <w:rPr>
          <w:rFonts w:ascii="Times New Roman" w:hAnsi="Times New Roman"/>
          <w:sz w:val="20"/>
        </w:rPr>
        <w:t xml:space="preserve"> below); </w:t>
      </w:r>
      <w:r>
        <w:rPr>
          <w:rFonts w:ascii="Times New Roman" w:hAnsi="Times New Roman"/>
          <w:sz w:val="20"/>
          <w:u w:val="single"/>
        </w:rPr>
        <w:t>provided</w:t>
      </w:r>
      <w:r>
        <w:rPr>
          <w:rFonts w:ascii="Times New Roman" w:hAnsi="Times New Roman"/>
          <w:sz w:val="20"/>
        </w:rPr>
        <w:t xml:space="preserve"> that, in each case, no such agreement shall: </w:t>
      </w:r>
    </w:p>
    <w:p>
      <w:pPr>
        <w:pStyle w:val="TextBody"/>
        <w:bidi w:val="0"/>
        <w:spacing w:before="120" w:after="0"/>
        <w:jc w:val="left"/>
        <w:rPr>
          <w:rFonts w:ascii="Times New Roman" w:hAnsi="Times New Roman"/>
          <w:sz w:val="20"/>
        </w:rPr>
      </w:pPr>
      <w:r>
        <w:rPr>
          <w:rFonts w:ascii="Times New Roman" w:hAnsi="Times New Roman"/>
          <w:sz w:val="20"/>
        </w:rPr>
        <w:t xml:space="preserve">(i) increase any Commitment of any Lender without the written consent of such Lender (it being understood that the waiver of a condition precedent set forth in </w:t>
      </w:r>
      <w:r>
        <w:rPr>
          <w:rFonts w:ascii="Times New Roman" w:hAnsi="Times New Roman"/>
          <w:sz w:val="20"/>
          <w:u w:val="single"/>
        </w:rPr>
        <w:t>Section 4.02</w:t>
      </w:r>
      <w:r>
        <w:rPr>
          <w:rFonts w:ascii="Times New Roman" w:hAnsi="Times New Roman"/>
          <w:sz w:val="20"/>
        </w:rPr>
        <w:t xml:space="preserve"> or the waiver of any Default or Event of Default, mandatory prepayment or mandatory reduction of Commitments, in each case shall not constitute an increase of any Commitment of any Lender); </w:t>
      </w:r>
    </w:p>
    <w:p>
      <w:pPr>
        <w:pStyle w:val="TextBody"/>
        <w:bidi w:val="0"/>
        <w:spacing w:before="120" w:after="0"/>
        <w:jc w:val="left"/>
        <w:rPr>
          <w:rFonts w:ascii="Times New Roman" w:hAnsi="Times New Roman"/>
          <w:sz w:val="20"/>
        </w:rPr>
      </w:pPr>
      <w:r>
        <w:rPr>
          <w:rFonts w:ascii="Times New Roman" w:hAnsi="Times New Roman"/>
          <w:sz w:val="20"/>
        </w:rPr>
        <w:t xml:space="preserve">(ii) reduce the principal amount of any Loan or LC Disbursement or reduce the rate of interest thereon, or reduce any fees payable hereunder, without the written consent of each Lender directly affected thereby (it being understood that the waiver of any Default or Event of Default shall not constitute such a reduction); </w:t>
      </w:r>
    </w:p>
    <w:p>
      <w:pPr>
        <w:pStyle w:val="TextBody"/>
        <w:bidi w:val="0"/>
        <w:spacing w:before="120" w:after="0"/>
        <w:jc w:val="left"/>
        <w:rPr>
          <w:rFonts w:ascii="Times New Roman" w:hAnsi="Times New Roman"/>
          <w:sz w:val="20"/>
        </w:rPr>
      </w:pPr>
      <w:r>
        <w:rPr>
          <w:rFonts w:ascii="Times New Roman" w:hAnsi="Times New Roman"/>
          <w:sz w:val="20"/>
        </w:rPr>
        <w:t xml:space="preserve">(iii) postpone the scheduled date of payment of the principal amount of any Loan or LC Disbursement, or any interest thereon, or any fees payable hereunder, or reduce the amount of, waive or excuse any such payment, or postpone the scheduled date of expiration of any Commitment (in each case, for the avoidance of doubt, excluding amendments to </w:t>
      </w:r>
      <w:r>
        <w:rPr>
          <w:rFonts w:ascii="Times New Roman" w:hAnsi="Times New Roman"/>
          <w:sz w:val="20"/>
          <w:u w:val="single"/>
        </w:rPr>
        <w:t>Section 2.10(b)(i)</w:t>
      </w:r>
      <w:r>
        <w:rPr>
          <w:rFonts w:ascii="Times New Roman" w:hAnsi="Times New Roman"/>
          <w:sz w:val="20"/>
        </w:rPr>
        <w:t xml:space="preserve"> or </w:t>
      </w:r>
      <w:r>
        <w:rPr>
          <w:rFonts w:ascii="Times New Roman" w:hAnsi="Times New Roman"/>
          <w:sz w:val="20"/>
          <w:u w:val="single"/>
        </w:rPr>
        <w:t>(ii)</w:t>
      </w:r>
      <w:r>
        <w:rPr>
          <w:rFonts w:ascii="Times New Roman" w:hAnsi="Times New Roman"/>
          <w:sz w:val="20"/>
        </w:rPr>
        <w:t xml:space="preserve">), without the written consent of each Lender directly affected thereby (it being understood that the waiver of any Default or Event of Default, mandatory prepayment or mandatory reduction of Commitments, in each case shall not constitute such a postponement, reduction, waiver or excusal); </w:t>
      </w:r>
    </w:p>
    <w:p>
      <w:pPr>
        <w:pStyle w:val="TextBody"/>
        <w:bidi w:val="0"/>
        <w:spacing w:before="120" w:after="0"/>
        <w:jc w:val="left"/>
        <w:rPr>
          <w:rFonts w:ascii="Times New Roman" w:hAnsi="Times New Roman"/>
          <w:sz w:val="20"/>
        </w:rPr>
      </w:pPr>
      <w:r>
        <w:rPr>
          <w:rFonts w:ascii="Times New Roman" w:hAnsi="Times New Roman"/>
          <w:sz w:val="20"/>
        </w:rPr>
        <w:t xml:space="preserve">(iv) change </w:t>
      </w:r>
      <w:r>
        <w:rPr>
          <w:rFonts w:ascii="Times New Roman" w:hAnsi="Times New Roman"/>
          <w:sz w:val="20"/>
          <w:u w:val="single"/>
        </w:rPr>
        <w:t>Section 2.16(c)</w:t>
      </w:r>
      <w:r>
        <w:rPr>
          <w:rFonts w:ascii="Times New Roman" w:hAnsi="Times New Roman"/>
          <w:sz w:val="20"/>
        </w:rPr>
        <w:t xml:space="preserve"> or </w:t>
      </w:r>
      <w:r>
        <w:rPr>
          <w:rFonts w:ascii="Times New Roman" w:hAnsi="Times New Roman"/>
          <w:sz w:val="20"/>
          <w:u w:val="single"/>
        </w:rPr>
        <w:t>(d)</w:t>
      </w:r>
      <w:r>
        <w:rPr>
          <w:rFonts w:ascii="Times New Roman" w:hAnsi="Times New Roman"/>
          <w:sz w:val="20"/>
        </w:rPr>
        <w:t xml:space="preserve"> or any similar provision in any Loan Document without the written consent of each Lender directly affected thereby; </w:t>
      </w:r>
    </w:p>
    <w:p>
      <w:pPr>
        <w:pStyle w:val="TextBody"/>
        <w:bidi w:val="0"/>
        <w:spacing w:before="120" w:after="0"/>
        <w:jc w:val="left"/>
        <w:rPr>
          <w:rFonts w:ascii="Times New Roman" w:hAnsi="Times New Roman"/>
          <w:sz w:val="20"/>
        </w:rPr>
      </w:pPr>
      <w:r>
        <w:rPr>
          <w:rFonts w:ascii="Times New Roman" w:hAnsi="Times New Roman"/>
          <w:sz w:val="20"/>
        </w:rPr>
        <w:t xml:space="preserve">(v) change any of the provisions of this </w:t>
      </w:r>
      <w:r>
        <w:rPr>
          <w:rFonts w:ascii="Times New Roman" w:hAnsi="Times New Roman"/>
          <w:sz w:val="20"/>
          <w:u w:val="single"/>
        </w:rPr>
        <w:t>Section 9.02(b)</w:t>
      </w:r>
      <w:r>
        <w:rPr>
          <w:rFonts w:ascii="Times New Roman" w:hAnsi="Times New Roman"/>
          <w:sz w:val="20"/>
        </w:rPr>
        <w:t xml:space="preserve"> or the percentage in the definition of the term “Required Lenders”, “Required Revolving Credit Lenders”, “Required Term Lenders” or any other provision hereof expressly specifying the number or percentage of Lenders required to waive, amend or modify any rights hereunder or make any determination or grant any consent hereunder, without the written consent of each Lender adversely affected thereby; </w:t>
      </w:r>
    </w:p>
    <w:p>
      <w:pPr>
        <w:pStyle w:val="TextBody"/>
        <w:bidi w:val="0"/>
        <w:spacing w:before="120" w:after="0"/>
        <w:jc w:val="left"/>
        <w:rPr>
          <w:rFonts w:ascii="Times New Roman" w:hAnsi="Times New Roman"/>
          <w:sz w:val="20"/>
        </w:rPr>
      </w:pPr>
      <w:r>
        <w:rPr>
          <w:rFonts w:ascii="Times New Roman" w:hAnsi="Times New Roman"/>
          <w:sz w:val="20"/>
        </w:rPr>
        <w:t xml:space="preserve">(vi) permit any subordination of the principal or interest on any Loan or the obligation of the Borrowers to reimburse the Issuing Lender pursuant to </w:t>
      </w:r>
      <w:r>
        <w:rPr>
          <w:rFonts w:ascii="Times New Roman" w:hAnsi="Times New Roman"/>
          <w:sz w:val="20"/>
          <w:u w:val="single"/>
        </w:rPr>
        <w:t>Section 2.05(f)</w:t>
      </w:r>
      <w:r>
        <w:rPr>
          <w:rFonts w:ascii="Times New Roman" w:hAnsi="Times New Roman"/>
          <w:sz w:val="20"/>
        </w:rPr>
        <w:t xml:space="preserve"> for all LC Disbursements, without the prior written consent of each Lender adversely affected thereby;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(vii) release the Borrowers from their obligations under the Loan Documents (other than as specifically permitted or contemplated in this Agreement) without the prior written consent of each Lender; </w:t>
      </w:r>
    </w:p>
    <w:p>
      <w:pPr>
        <w:pStyle w:val="TextBody"/>
        <w:bidi w:val="0"/>
        <w:spacing w:before="120" w:after="0"/>
        <w:jc w:val="left"/>
        <w:rPr>
          <w:rFonts w:ascii="Times New Roman" w:hAnsi="Times New Roman"/>
          <w:sz w:val="20"/>
        </w:rPr>
      </w:pPr>
      <w:r>
        <w:rPr>
          <w:rFonts w:ascii="Times New Roman" w:hAnsi="Times New Roman"/>
          <w:sz w:val="20"/>
        </w:rPr>
        <w:t xml:space="preserve">(viii) permit any assignment (other than as specifically permitted or contemplated in this Agreement or the other Loan Documents) of any of the Borrowers’ rights and obligations hereunder without the prior written consent of each Lender; </w:t>
      </w:r>
    </w:p>
    <w:p>
      <w:pPr>
        <w:pStyle w:val="TextBody"/>
        <w:bidi w:val="0"/>
        <w:spacing w:before="120" w:after="0"/>
        <w:jc w:val="left"/>
        <w:rPr>
          <w:rFonts w:ascii="Times New Roman" w:hAnsi="Times New Roman"/>
          <w:sz w:val="20"/>
        </w:rPr>
      </w:pPr>
      <w:r>
        <w:rPr>
          <w:rFonts w:ascii="Times New Roman" w:hAnsi="Times New Roman"/>
          <w:sz w:val="20"/>
        </w:rPr>
        <w:t xml:space="preserve">(ix) (a) release (x) all or substantially all of the Collateral in any transaction or series of related transactions or (y) other than in connection with (1) the release of a Mortgage pursuant to and in accordance with the last paragraph of </w:t>
      </w:r>
      <w:r>
        <w:rPr>
          <w:rFonts w:ascii="Times New Roman" w:hAnsi="Times New Roman"/>
          <w:sz w:val="20"/>
          <w:u w:val="single"/>
        </w:rPr>
        <w:t>Section 8.08</w:t>
      </w:r>
      <w:r>
        <w:rPr>
          <w:rFonts w:ascii="Times New Roman" w:hAnsi="Times New Roman"/>
          <w:sz w:val="20"/>
        </w:rPr>
        <w:t xml:space="preserve"> or (2) a Disposition of the Collateral thereunder permitted by this Agreement, any of the Mortgages (it being understood that any (A) modification of the definition of the term “Material Real Property”, “Springing Mortgage Trigger Event” or “Springing Mortgage Period”, or (B) exercise of discretion by the Administrative Agent in accordance with the express terms of this Agreement, in each case shall not constitute such a release), or (b) amend, modify, terminate or waive any provision of any Loan Document and release any guarantees or Liens or pledges in connection therewith so as to (x) release the Liens of the Secured Parties in all or substantially all of the Collateral or release all or substantially all of the value of the Guarantors’ obligations under the Guaranty Agreement or subordinate the rights or claims of the Secured Parties with respect thereto, or (y) permit the release or Disposition of all or substantially all of the outstanding Equity Interests, all or substantially all of the assets, or all or substantially all of the business of, GEO, the Borrowers and their Subsidiaries, taken as a whole, in each case, other than, in each case, the payment in full, in cash, of the Obligations, in each case under </w:t>
      </w:r>
      <w:r>
        <w:rPr>
          <w:rFonts w:ascii="Times New Roman" w:hAnsi="Times New Roman"/>
          <w:sz w:val="20"/>
          <w:u w:val="single"/>
        </w:rPr>
        <w:t>clauses (a)</w:t>
      </w:r>
      <w:r>
        <w:rPr>
          <w:rFonts w:ascii="Times New Roman" w:hAnsi="Times New Roman"/>
          <w:sz w:val="20"/>
        </w:rPr>
        <w:t xml:space="preserve"> and </w:t>
      </w:r>
      <w:r>
        <w:rPr>
          <w:rFonts w:ascii="Times New Roman" w:hAnsi="Times New Roman"/>
          <w:sz w:val="20"/>
          <w:u w:val="single"/>
        </w:rPr>
        <w:t>(b)</w:t>
      </w:r>
      <w:r>
        <w:rPr>
          <w:rFonts w:ascii="Times New Roman" w:hAnsi="Times New Roman"/>
          <w:sz w:val="20"/>
        </w:rPr>
        <w:t xml:space="preserve"> without the prior written consent of each Lender; </w:t>
      </w:r>
    </w:p>
    <w:p>
      <w:pPr>
        <w:pStyle w:val="TextBody"/>
        <w:bidi w:val="0"/>
        <w:spacing w:before="120" w:after="0"/>
        <w:jc w:val="left"/>
        <w:rPr>
          <w:rFonts w:ascii="Times New Roman" w:hAnsi="Times New Roman"/>
          <w:sz w:val="20"/>
        </w:rPr>
      </w:pPr>
      <w:r>
        <w:rPr>
          <w:rFonts w:ascii="Times New Roman" w:hAnsi="Times New Roman"/>
          <w:sz w:val="20"/>
        </w:rPr>
        <w:t xml:space="preserve">(x) change </w:t>
      </w:r>
      <w:r>
        <w:rPr>
          <w:rFonts w:ascii="Times New Roman" w:hAnsi="Times New Roman"/>
          <w:sz w:val="20"/>
          <w:u w:val="single"/>
        </w:rPr>
        <w:t>Section 2.10(b)(v)</w:t>
      </w:r>
      <w:r>
        <w:rPr>
          <w:rFonts w:ascii="Times New Roman" w:hAnsi="Times New Roman"/>
          <w:sz w:val="20"/>
        </w:rPr>
        <w:t xml:space="preserve"> or </w:t>
      </w:r>
      <w:r>
        <w:rPr>
          <w:rFonts w:ascii="Times New Roman" w:hAnsi="Times New Roman"/>
          <w:sz w:val="20"/>
          <w:u w:val="single"/>
        </w:rPr>
        <w:t>Section 7.02</w:t>
      </w:r>
      <w:r>
        <w:rPr>
          <w:rFonts w:ascii="Times New Roman" w:hAnsi="Times New Roman"/>
          <w:sz w:val="20"/>
        </w:rPr>
        <w:t xml:space="preserve"> or Section 5.4 of the Collateral Agreement in a manner that would alter the application of payments required thereby, without the written consent of each Lender adversely affected thereby; </w:t>
      </w:r>
    </w:p>
    <w:p>
      <w:pPr>
        <w:pStyle w:val="TextBody"/>
        <w:bidi w:val="0"/>
        <w:spacing w:before="120" w:after="0"/>
        <w:jc w:val="left"/>
        <w:rPr>
          <w:rFonts w:ascii="Times New Roman" w:hAnsi="Times New Roman"/>
          <w:sz w:val="20"/>
        </w:rPr>
      </w:pPr>
      <w:r>
        <w:rPr>
          <w:rFonts w:ascii="Times New Roman" w:hAnsi="Times New Roman"/>
          <w:sz w:val="20"/>
        </w:rPr>
        <w:t xml:space="preserve">(xi) subordinate any of the Obligations hereunder to any other Indebtedness or other Obligations in any transaction or series of transactions or subordinate the Liens on the Collateral securing the Obligations to Liens securing any other Indebtedness or other Obligations in any transaction or series of transactions (including, without limitation, Indebtedness issued under this Agreement) without the written consent of each Lender directly affected thereby; and </w:t>
      </w:r>
    </w:p>
    <w:p>
      <w:pPr>
        <w:pStyle w:val="TextBody"/>
        <w:bidi w:val="0"/>
        <w:spacing w:before="120" w:after="0"/>
        <w:jc w:val="left"/>
        <w:rPr>
          <w:rFonts w:ascii="Times New Roman" w:hAnsi="Times New Roman"/>
          <w:sz w:val="20"/>
        </w:rPr>
      </w:pPr>
      <w:r>
        <w:rPr>
          <w:rFonts w:ascii="Times New Roman" w:hAnsi="Times New Roman"/>
          <w:sz w:val="20"/>
        </w:rPr>
        <w:t xml:space="preserve">(xii) (i) amend or otherwise modify </w:t>
      </w:r>
      <w:r>
        <w:rPr>
          <w:rFonts w:ascii="Times New Roman" w:hAnsi="Times New Roman"/>
          <w:sz w:val="20"/>
          <w:u w:val="single"/>
        </w:rPr>
        <w:t>Section 6.09(c)</w:t>
      </w:r>
      <w:r>
        <w:rPr>
          <w:rFonts w:ascii="Times New Roman" w:hAnsi="Times New Roman"/>
          <w:sz w:val="20"/>
        </w:rPr>
        <w:t xml:space="preserve"> (or solely for the purposes of determining compliance with the financial covenant set forth in such Section, any defined terms used therein), (ii) waive or consent to any Default or Event of Default resulting from a breach of </w:t>
      </w:r>
      <w:r>
        <w:rPr>
          <w:rFonts w:ascii="Times New Roman" w:hAnsi="Times New Roman"/>
          <w:sz w:val="20"/>
          <w:u w:val="single"/>
        </w:rPr>
        <w:t>Section 6.09(c)</w:t>
      </w:r>
      <w:r>
        <w:rPr>
          <w:rFonts w:ascii="Times New Roman" w:hAnsi="Times New Roman"/>
          <w:sz w:val="20"/>
        </w:rPr>
        <w:t xml:space="preserve">, (iii) alter the rights or remedies of the Required Revolving Credit Lenders arising pursuant to </w:t>
      </w:r>
      <w:r>
        <w:rPr>
          <w:rFonts w:ascii="Times New Roman" w:hAnsi="Times New Roman"/>
          <w:sz w:val="20"/>
          <w:u w:val="single"/>
        </w:rPr>
        <w:t>Article VII</w:t>
      </w:r>
      <w:r>
        <w:rPr>
          <w:rFonts w:ascii="Times New Roman" w:hAnsi="Times New Roman"/>
          <w:sz w:val="20"/>
        </w:rPr>
        <w:t xml:space="preserve"> as a result of a breach of </w:t>
      </w:r>
      <w:r>
        <w:rPr>
          <w:rFonts w:ascii="Times New Roman" w:hAnsi="Times New Roman"/>
          <w:sz w:val="20"/>
          <w:u w:val="single"/>
        </w:rPr>
        <w:t>Section 6.09(c)</w:t>
      </w:r>
      <w:r>
        <w:rPr>
          <w:rFonts w:ascii="Times New Roman" w:hAnsi="Times New Roman"/>
          <w:sz w:val="20"/>
        </w:rPr>
        <w:t xml:space="preserve"> or (iv) waive any condition precedent set forth in </w:t>
      </w:r>
      <w:r>
        <w:rPr>
          <w:rFonts w:ascii="Times New Roman" w:hAnsi="Times New Roman"/>
          <w:sz w:val="20"/>
          <w:u w:val="single"/>
        </w:rPr>
        <w:t>Section 4.02</w:t>
      </w:r>
      <w:r>
        <w:rPr>
          <w:rFonts w:ascii="Times New Roman" w:hAnsi="Times New Roman"/>
          <w:sz w:val="20"/>
        </w:rPr>
        <w:t xml:space="preserve"> with respect to any Revolving Credit Borrowing, Swingline Loan or issuance, amendment, renewal or extension of any Letter of Credit, in each case, without the written consent of the Required Revolving Credit Lenders;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amendments, modifications, waivers and consents described in this clause (xii) shall not require the consent of any Lenders other than the Required Revolving Credit Lenders (and, as applicable, the Swingline Lender);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no such agreement shall amend, modify or otherwise affect the rights, duties responsibilities, obligations or indemnities of the Administrative Agent, any Issuing Lender or the Swingline Lender hereunder without the prior written consent of the Administrative Agent, such Issuing Lender or the Swingline Lender, respectively.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herein, 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(x) the Commitment of any Defaulting Lender may not be increased or extended without the consent of such Lender (it being understood that the waiver of a condition precedent set forth in </w:t>
      </w:r>
      <w:r>
        <w:rPr>
          <w:rFonts w:ascii="Times New Roman" w:hAnsi="Times New Roman"/>
          <w:sz w:val="20"/>
          <w:u w:val="single"/>
        </w:rPr>
        <w:t>Section 4.02</w:t>
      </w:r>
      <w:r>
        <w:rPr>
          <w:rFonts w:ascii="Times New Roman" w:hAnsi="Times New Roman"/>
          <w:sz w:val="20"/>
        </w:rPr>
        <w:t xml:space="preserve"> or the waiver of any Default or Event of Default, mandatory prepayment or mandatory reduction of Commitments, in each case shall not constitute an increase or extension of any Commitment of any Lender) and (y) any waiver, amendment or modification requiring the consent of all Lenders or each affected Lender that by its terms affects any Defaulting Lender disproportionately adversely relative to other affected Lenders shall require the consent of such Defaulting Lender.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 other language to the contrary contained herein, with respect to any amendment, waiver or modification to which the Administrative Agent’s consent is not required, the parties agree to deliver to the Administrative Agent a copy of each such amendment, waiver or modification; provided that, (i) no party shall be liable for its failure to comply with this sentence and (ii) the Administrative Agent shall not be bound by any such amendment unless and until it has received a copy thereof.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herein, if the Administrative Agent and the Borrowers shall have jointly identified an obvious error or any error or omission of a technical nature, in each case, in any provision of the Loan Documents, then the Administrative Agent and the Borrowers shall be permitted to amend such provision, and, in each case, such amendment shall become effective without any further action or consent of any other party to any Loan Document if the same is not objected to in writing by the Required Lenders to the Administrative Agent within 10 Business Days following receipt of notice thereof.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herein, this Agreement may be amended and restated without the consent of any Lender if, upon giving effect to such amendment and restatement, such Lender shall no longer be a party to this Agreement (as so amended and restated), the Commitments of such Lender shall have terminated, such Lender shall have no other commitment or other obligation hereunder and such Lender shall have been paid in full all principal, interest and other amounts owing to it or accrued for its account under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Amend and Extend</w:t>
      </w:r>
      <w:r>
        <w:rPr>
          <w:rFonts w:ascii="Times New Roman" w:hAnsi="Times New Roman"/>
          <w:sz w:val="20"/>
        </w:rPr>
        <w:t xml:space="preserve">. Subject to the last paragraph of </w:t>
      </w:r>
      <w:r>
        <w:rPr>
          <w:rFonts w:ascii="Times New Roman" w:hAnsi="Times New Roman"/>
          <w:sz w:val="20"/>
          <w:u w:val="single"/>
        </w:rPr>
        <w:t>clause (b)</w:t>
      </w:r>
      <w:r>
        <w:rPr>
          <w:rFonts w:ascii="Times New Roman" w:hAnsi="Times New Roman"/>
          <w:sz w:val="20"/>
        </w:rPr>
        <w:t> above, notwithstanding anything else contained herein to the contrary, any amendment or modification that extends the date required for the payment of principal of any Loan of any Class and/or the termination date for any Commitment of any Class (which amendment or modification may but shall not be required to include increasing the Applicable Rate for any Lender that agrees to such extension for its Loans and/or Commitments of such Class (a “</w:t>
      </w:r>
      <w:r>
        <w:rPr>
          <w:rFonts w:ascii="Times New Roman" w:hAnsi="Times New Roman"/>
          <w:sz w:val="20"/>
          <w:u w:val="single"/>
        </w:rPr>
        <w:t>Consenting Lender</w:t>
      </w:r>
      <w:r>
        <w:rPr>
          <w:rFonts w:ascii="Times New Roman" w:hAnsi="Times New Roman"/>
          <w:sz w:val="20"/>
        </w:rPr>
        <w:t xml:space="preserve">”)) shall require only the consents of (i) the Borrowers and the Guarantors, (ii) such Consenting Lender, (iii) the Required Lenders of such Class, (iv) the Administrative Agent and (v) if such Class includes Revolving Credit Loans and/or Revolving Credit Commitments, each Issuing Lender affected thereby and the Swingline Lender. No such extension shall apply to any Loan or any Commitment of any Lender that is not a Consenting Lender.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Waivers of Certain Conditions</w:t>
      </w:r>
      <w:r>
        <w:rPr>
          <w:rFonts w:ascii="Times New Roman" w:hAnsi="Times New Roman"/>
          <w:sz w:val="20"/>
        </w:rPr>
        <w:t xml:space="preserve">. Anything in this Agreement to the contrary notwithstanding, (x) no waiver or modification of any provision of this Agreement that has the effect (either immediately or at some later time) of enabling any Borrower to satisfy a condition precedent to the making of a Loan of any Class shall be effective against the Lenders of such Class for purposes of the Commitments of such Class unless the Required Lenders of such Class shall have concurred with such waiver or modification, and (y) no waiver or modification of any provision of this Agreement or any other Loan Document that could reasonably be expected to adversely affect the Lenders of any Class in a manner that does not affect all Classes equally shall be effective against the Lenders of such Class unless the Required Lenders of such Class shall have concurred with such waiver or modification. </w:t>
      </w:r>
    </w:p>
    <w:p>
      <w:pPr>
        <w:pStyle w:val="TextBody"/>
        <w:bidi w:val="0"/>
        <w:spacing w:before="240" w:after="0"/>
        <w:jc w:val="left"/>
        <w:rPr>
          <w:rFonts w:ascii="Times New Roman" w:hAnsi="Times New Roman"/>
          <w:sz w:val="20"/>
        </w:rPr>
      </w:pPr>
      <w:r>
        <w:rPr>
          <w:rFonts w:ascii="Times New Roman" w:hAnsi="Times New Roman"/>
          <w:sz w:val="20"/>
        </w:rPr>
        <w:t xml:space="preserve">Section 9.03 </w:t>
      </w:r>
      <w:r>
        <w:rPr>
          <w:rFonts w:ascii="Times New Roman" w:hAnsi="Times New Roman"/>
          <w:sz w:val="20"/>
          <w:u w:val="single"/>
        </w:rPr>
        <w:t>Expenses; Indemnity; Damage Waiver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Costs and Expenses</w:t>
      </w:r>
      <w:r>
        <w:rPr>
          <w:rFonts w:ascii="Times New Roman" w:hAnsi="Times New Roman"/>
          <w:sz w:val="20"/>
        </w:rPr>
        <w:t xml:space="preserve">. The Borrowers, jointly and severally, agree to pay (i) all reasonable out-of-pocket expenses incurred by the Administrative Agent and its Affiliates (including the reasonable fees, charges and disbursements of counsel (including local counsel in each relevant jurisdiction) for the Administrative Agent), in connection with the syndication of the credit facilities provided for herein, the preparation, negotiation, execution, delivery and administration of this Agreement and the other Loan Documents or any amendments, modifications or waivers of the provisions hereof or thereof (whether or not the transactions contemplated hereby or thereby shall be consummated), (ii) all reasonable out-of-pocket expenses incurred by any Issuing Lender in connection with the issuance, amendment, renewal or extension of any Letter of Credit, or any demand for payment thereunder, (iii) all out-of-pocket expenses incurred by the Administrative Agent, any Issuing Lender or any Lender (including the reasonable fees, charges and disbursements of one primary outside counsel and one local counsel in each relevant jurisdiction as reasonably required, and, in the case of an actual or potential conflict of interest among the Administrative Agent and the Lenders (or any of them), one additional counsel to each group of similarly affected Lenders (taken as a whole)), in connection with the enforcement or protection of its rights, whether in any action, work-out, restructuring, suit or litigation, or any bankruptcy, insolvency or other similar proceeding affecting creditors’ rights generally, (A) in connection with this Agreement and the other Loan Documents, including its rights under this Section, or (B) in connection with the Loans made or Letters of Credit issued hereunder, including all such out-of-pocket expenses incurred during any workout, restructuring or negotiations in respect of such Loans or Letters of Credit and (iv) and all costs, expenses, taxes, assessments and other charges incurred in connection with any filing, registration, recording or perfection of any security interest contemplated by any Security Document or any other document referred to therein.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Indemnification by the Borrowers</w:t>
      </w:r>
      <w:r>
        <w:rPr>
          <w:rFonts w:ascii="Times New Roman" w:hAnsi="Times New Roman"/>
          <w:sz w:val="20"/>
        </w:rPr>
        <w:t>. The Borrowers agree, jointly and severally, to indemnify the Administrative Agent (and any sub-agent thereof), each Lead Arranger, each Lender, the Swingline Lender, each Issuing Lender, and each Related Party of any of the foregoing Persons (each such Person being called an “</w:t>
      </w:r>
      <w:r>
        <w:rPr>
          <w:rFonts w:ascii="Times New Roman" w:hAnsi="Times New Roman"/>
          <w:sz w:val="20"/>
          <w:u w:val="single"/>
        </w:rPr>
        <w:t>Indemnitee</w:t>
      </w:r>
      <w:r>
        <w:rPr>
          <w:rFonts w:ascii="Times New Roman" w:hAnsi="Times New Roman"/>
          <w:sz w:val="20"/>
        </w:rPr>
        <w:t xml:space="preserve">”) against, and hold each Indemnitee harmless from, any and all losses, claims, damages, liabilities and related expenses (including the fees, charges and disbursements of any counsel for any Indemnitee), and shall indemnify and hold harmless each Indemnitee from all fees and time charges and disbursements for attorneys who may be employees of any Indemnitee, incurred by any Indemnitee or asserted against any Indemnitee by any third party or by the Borrowers arising out of, in connection with, or as a result of (i) the execution or delivery of this Agreement, any other Loan Document or any agreement or instrument contemplated hereby or thereby, the performance by the parties hereto of their respective obligations hereunder or thereunder or the consummation of the transactions contemplated hereby or thereby, (ii) any Loan or Letter of Credit or the use or proposed use of the proceeds therefrom (including any refusal by any Issuing Lender to honor a demand for payment under a Letter of Credit if the documents presented in connection with such demand do not strictly comply with the terms of such Letter of Credit) and any payments that the Administrative Agent is required to make under any indemnity issued to any bank to which remittances in respect of Accounts (as defined in the UCC), as defined in the Collateral Agreement, are to be made, (iii) any actual or alleged presence or release of Hazardous Materials on or from any property owned or operated by any Borrower or any of their respective Subsidiaries, or any Environmental Liability related in any way to any Borrower or any of their respective Subsidiaries, or (iv) any actual or prospective claim, litigation, investigation or proceeding relating to any of the foregoing, whether based on contract, tort or any other theory, whether brought by a third party or by any Borrower, and regardless of whether any Indemnitee is a party thereto; </w:t>
      </w:r>
      <w:r>
        <w:rPr>
          <w:rFonts w:ascii="Times New Roman" w:hAnsi="Times New Roman"/>
          <w:sz w:val="20"/>
          <w:u w:val="single"/>
        </w:rPr>
        <w:t>provided</w:t>
      </w:r>
      <w:r>
        <w:rPr>
          <w:rFonts w:ascii="Times New Roman" w:hAnsi="Times New Roman"/>
          <w:sz w:val="20"/>
        </w:rPr>
        <w:t xml:space="preserve"> that such indemnity shall not, as to any Indemnitee, be available to the extent that such losses, claims, damages, liabilities or related expenses (x) are determined by a court of competent jurisdiction in a final and nonappealable judgment to have resulted from the gross negligence or willful misconduct of such Indemnitee, (y) except with respect to the Administrative Agent and its Related Parties, result from a claim brought by any Borrower against an Indemnitee for breach in bad faith of such Indemnitee’s obligations hereunder or under any other Loan Document, if any Borrower has obtained a final and nonappealable judgment in its favor on such claim as determined by a court of competent jurisdiction or (z) arise with respect to Taxes other than any Taxes that represent losses, claims, damages, liabilities or related expenses arising from any non-Tax claim addressed in </w:t>
      </w:r>
      <w:r>
        <w:rPr>
          <w:rFonts w:ascii="Times New Roman" w:hAnsi="Times New Roman"/>
          <w:sz w:val="20"/>
          <w:u w:val="single"/>
        </w:rPr>
        <w:t>Section 2.15</w:t>
      </w:r>
      <w:r>
        <w:rPr>
          <w:rFonts w:ascii="Times New Roman" w:hAnsi="Times New Roman"/>
          <w:sz w:val="20"/>
        </w:rPr>
        <w:t xml:space="preserve"> hereof.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Reimbursement by Lenders</w:t>
      </w:r>
      <w:r>
        <w:rPr>
          <w:rFonts w:ascii="Times New Roman" w:hAnsi="Times New Roman"/>
          <w:sz w:val="20"/>
        </w:rPr>
        <w:t xml:space="preserve">. To the extent that any Borrower for any reason fails to indefeasibly pay any amount required under </w:t>
      </w:r>
      <w:r>
        <w:rPr>
          <w:rFonts w:ascii="Times New Roman" w:hAnsi="Times New Roman"/>
          <w:sz w:val="20"/>
          <w:u w:val="single"/>
        </w:rPr>
        <w:t>Sections 9.03(a)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to be paid by it to the Administrative Agent (or any sub-agent thereof), an Issuing Lender or the Swingline Lender or any Related Party of any of the foregoing, each Lender severally agrees to pay to the Administrative Agent (or any such sub-agent), such Issuing Lender, the Swingline Lender or such Related Party, as the case may be, such Lender’s Applicable Percentage (determined as of the time that the applicable unreimbursed expense or indemnity payment is sought) of such unpaid amount; </w:t>
      </w:r>
      <w:r>
        <w:rPr>
          <w:rFonts w:ascii="Times New Roman" w:hAnsi="Times New Roman"/>
          <w:sz w:val="20"/>
          <w:u w:val="single"/>
        </w:rPr>
        <w:t>provided</w:t>
      </w:r>
      <w:r>
        <w:rPr>
          <w:rFonts w:ascii="Times New Roman" w:hAnsi="Times New Roman"/>
          <w:sz w:val="20"/>
        </w:rPr>
        <w:t xml:space="preserve"> that the unreimbursed expense or indemnified loss, claim, damage, liability or related expense, as the case may be, was incurred by or asserted against the Administrative Agent (or any such sub-agent), such Issuing Lender or the Swingline Lender in its capacity as such, or against any Related Party of any of the foregoing acting for the Administrative Agent (or any such sub-agent), such Issuing Lender or the Swingline Lender in connection with such capacity.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Waiver of Consequential Damages, Etc.</w:t>
      </w:r>
      <w:r>
        <w:rPr>
          <w:rFonts w:ascii="Times New Roman" w:hAnsi="Times New Roman"/>
          <w:sz w:val="20"/>
        </w:rPr>
        <w:t xml:space="preserve"> To the fullest extent permitted by applicable law, no Borrower shall assert, and each Borrower hereby waives,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or thereby, the transactions contemplated hereby or thereby, any Loan, Letter of Credit or the use of the proceeds thereof. No Indemnitee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Payments</w:t>
      </w:r>
      <w:r>
        <w:rPr>
          <w:rFonts w:ascii="Times New Roman" w:hAnsi="Times New Roman"/>
          <w:sz w:val="20"/>
        </w:rPr>
        <w:t xml:space="preserve">. All amounts due under this Section shall be payable promptly after demand therefor. </w:t>
      </w:r>
    </w:p>
    <w:p>
      <w:pPr>
        <w:pStyle w:val="TextBody"/>
        <w:bidi w:val="0"/>
        <w:spacing w:before="240" w:after="0"/>
        <w:jc w:val="left"/>
        <w:rPr>
          <w:rFonts w:ascii="Times New Roman" w:hAnsi="Times New Roman"/>
          <w:sz w:val="20"/>
        </w:rPr>
      </w:pPr>
      <w:r>
        <w:rPr>
          <w:rFonts w:ascii="Times New Roman" w:hAnsi="Times New Roman"/>
          <w:sz w:val="20"/>
        </w:rPr>
        <w:t xml:space="preserve">Section 9.04 </w:t>
      </w:r>
      <w:r>
        <w:rPr>
          <w:rFonts w:ascii="Times New Roman" w:hAnsi="Times New Roman"/>
          <w:sz w:val="20"/>
          <w:u w:val="single"/>
        </w:rPr>
        <w:t>Successors and Assigns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Successors and Assigns Generally</w:t>
      </w:r>
      <w:r>
        <w:rPr>
          <w:rFonts w:ascii="Times New Roman" w:hAnsi="Times New Roman"/>
          <w:sz w:val="20"/>
        </w:rPr>
        <w:t xml:space="preserve">. The provisions of this Agreement shall be binding upon and inure to the benefit of the parties hereto and their respective successors and assigns permitted hereby, except that no Borrower may assign or otherwise transfer any of its rights or obligations hereunder without the prior written consent of the Administrative Agent and each Lender, and no Lender may assign or otherwise transfer any of its rights or obligations hereunder except (i) to an assignee in accordance with </w:t>
      </w:r>
      <w:r>
        <w:rPr>
          <w:rFonts w:ascii="Times New Roman" w:hAnsi="Times New Roman"/>
          <w:sz w:val="20"/>
          <w:u w:val="single"/>
        </w:rPr>
        <w:t>Section 9.04(b)</w:t>
      </w:r>
      <w:r>
        <w:rPr>
          <w:rFonts w:ascii="Times New Roman" w:hAnsi="Times New Roman"/>
          <w:sz w:val="20"/>
        </w:rPr>
        <w:t xml:space="preserve">, (ii) by way of participation in accordance with </w:t>
      </w:r>
      <w:r>
        <w:rPr>
          <w:rFonts w:ascii="Times New Roman" w:hAnsi="Times New Roman"/>
          <w:sz w:val="20"/>
          <w:u w:val="single"/>
        </w:rPr>
        <w:t>Section 9.04(d)</w:t>
      </w:r>
      <w:r>
        <w:rPr>
          <w:rFonts w:ascii="Times New Roman" w:hAnsi="Times New Roman"/>
          <w:sz w:val="20"/>
        </w:rPr>
        <w:t xml:space="preserve"> or (iii) by way of pledge or assignment of a security interest subject to the restrictions of </w:t>
      </w:r>
      <w:r>
        <w:rPr>
          <w:rFonts w:ascii="Times New Roman" w:hAnsi="Times New Roman"/>
          <w:sz w:val="20"/>
          <w:u w:val="single"/>
        </w:rPr>
        <w:t>Section 9.04(f)</w:t>
      </w:r>
      <w:r>
        <w:rPr>
          <w:rFonts w:ascii="Times New Roman" w:hAnsi="Times New Roman"/>
          <w:sz w:val="20"/>
        </w:rPr>
        <w:t xml:space="preserve"> (and any other attempted assignment or transfer by any party hereto shall be null and void). Nothing in this Agreement, expressed or implied, shall be construed to confer upon any Person (other than the parties hereto, their respective successors and assigns permitted hereby, each Issuing Lender, the Swingline Lender, Participants, to the extent provided in </w:t>
      </w:r>
      <w:r>
        <w:rPr>
          <w:rFonts w:ascii="Times New Roman" w:hAnsi="Times New Roman"/>
          <w:sz w:val="20"/>
          <w:u w:val="single"/>
        </w:rPr>
        <w:t>Section 9.04(d)</w:t>
      </w:r>
      <w:r>
        <w:rPr>
          <w:rFonts w:ascii="Times New Roman" w:hAnsi="Times New Roman"/>
          <w:sz w:val="20"/>
        </w:rPr>
        <w:t xml:space="preserve"> and, to the extent expressly contemplated hereby, the Related Parties of each of the Administrative Agent, each Issuing Lender, the Swingline Lender and the Lenders) any legal or equitable right, remedy or claim under or by reason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Assignments by Lenders</w:t>
      </w:r>
      <w:r>
        <w:rPr>
          <w:rFonts w:ascii="Times New Roman" w:hAnsi="Times New Roman"/>
          <w:sz w:val="20"/>
        </w:rPr>
        <w:t xml:space="preserve">. Any Lender may at any time assign to one or more assignees all or a portion of its rights and obligations under this Agreement (including all or a portion of its Commitments and the Loans at the time owing to it) to any Person; </w:t>
      </w:r>
      <w:r>
        <w:rPr>
          <w:rFonts w:ascii="Times New Roman" w:hAnsi="Times New Roman"/>
          <w:sz w:val="20"/>
          <w:u w:val="single"/>
        </w:rPr>
        <w:t>provided</w:t>
      </w:r>
      <w:r>
        <w:rPr>
          <w:rFonts w:ascii="Times New Roman" w:hAnsi="Times New Roman"/>
          <w:sz w:val="20"/>
        </w:rPr>
        <w:t xml:space="preserve"> that any such assignment shall be subject to the following conditions: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Minimum Amounts; Resulting Commitments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In the case of an assignment of the entire remaining amount of the assigning Lender’s Commitments and the Loans at the time owing to it or in the case of an assignment to a Lender, an Affiliate of a Lender or an Approved Fund, no minimum amount need be assigned; </w:t>
      </w:r>
    </w:p>
    <w:p>
      <w:pPr>
        <w:pStyle w:val="TextBody"/>
        <w:bidi w:val="0"/>
        <w:spacing w:before="120" w:after="0"/>
        <w:jc w:val="left"/>
        <w:rPr>
          <w:rFonts w:ascii="Times New Roman" w:hAnsi="Times New Roman"/>
          <w:sz w:val="20"/>
        </w:rPr>
      </w:pPr>
      <w:r>
        <w:rPr>
          <w:rFonts w:ascii="Times New Roman" w:hAnsi="Times New Roman"/>
          <w:sz w:val="20"/>
        </w:rPr>
        <w:t xml:space="preserve">(B) in any case not described in </w:t>
      </w:r>
      <w:r>
        <w:rPr>
          <w:rFonts w:ascii="Times New Roman" w:hAnsi="Times New Roman"/>
          <w:sz w:val="20"/>
          <w:u w:val="single"/>
        </w:rPr>
        <w:t>Section 9.04(b)(i)(A)</w:t>
      </w:r>
      <w:r>
        <w:rPr>
          <w:rFonts w:ascii="Times New Roman" w:hAnsi="Times New Roman"/>
          <w:sz w:val="20"/>
        </w:rPr>
        <w:t xml:space="preserve">, the aggregate amount of the Commitment (which for this purpose includes Loans outstanding thereunder) or, if the applicable Commitment is not then in effect, the principal outstanding balance of the Loans of the assigning Lender subject to each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assignment (determined as of the date the Assignment and Assumption with respect to such assignment is delivered to the Administrative Agent) shall not be less than $5,000,000, in the case of any assignment in respect of a Revolving Credit Commitment or a Refinancing Revolving Commitment, $1,000,000, in the case of any assignment in respect of any Term Loan Commitment, an Incremental Term Loan Commitment or a Refinancing Term Loan Commitment, in each case unless each of the Administrative Agent and, so long as no Event of Default has occurred and is continuing, GEO otherwise consents (each such consent not to be unreasonably withheld or delayed); and </w:t>
      </w:r>
    </w:p>
    <w:p>
      <w:pPr>
        <w:pStyle w:val="TextBody"/>
        <w:bidi w:val="0"/>
        <w:spacing w:before="120" w:after="0"/>
        <w:jc w:val="left"/>
        <w:rPr>
          <w:rFonts w:ascii="Times New Roman" w:hAnsi="Times New Roman"/>
          <w:sz w:val="20"/>
        </w:rPr>
      </w:pPr>
      <w:r>
        <w:rPr>
          <w:rFonts w:ascii="Times New Roman" w:hAnsi="Times New Roman"/>
          <w:sz w:val="20"/>
        </w:rPr>
        <w:t xml:space="preserve">(C) immediately after giving effect to any such assignment of Revolving Credit Commitments, with respect to each of the assignor Lender and the assignee Lender, such Lender’s Revolving Credit Exposure shall not exceed its Revolving Credit Commitment.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Proportionate Amounts</w:t>
      </w:r>
      <w:r>
        <w:rPr>
          <w:rFonts w:ascii="Times New Roman" w:hAnsi="Times New Roman"/>
          <w:sz w:val="20"/>
        </w:rPr>
        <w:t xml:space="preserve">. Each partial assignment shall be made as an assignment of a proportionate part of all the assigning Lender’s rights and obligations under this Agreement with respect to the Loan or the Commitment assigned, except that this </w:t>
      </w:r>
      <w:r>
        <w:rPr>
          <w:rFonts w:ascii="Times New Roman" w:hAnsi="Times New Roman"/>
          <w:sz w:val="20"/>
          <w:u w:val="single"/>
        </w:rPr>
        <w:t>clause (ii)</w:t>
      </w:r>
      <w:r>
        <w:rPr>
          <w:rFonts w:ascii="Times New Roman" w:hAnsi="Times New Roman"/>
          <w:sz w:val="20"/>
        </w:rPr>
        <w:t> shall not prohibit any Lender from assigning all or a portion of its rights and obligations in respect of different Classes of Commitments on a non-</w:t>
      </w:r>
      <w:r>
        <w:rPr>
          <w:rFonts w:ascii="Times New Roman" w:hAnsi="Times New Roman"/>
          <w:i/>
          <w:sz w:val="20"/>
        </w:rPr>
        <w:t>pro rata</w:t>
      </w:r>
      <w:r>
        <w:rPr>
          <w:rFonts w:ascii="Times New Roman" w:hAnsi="Times New Roman"/>
          <w:sz w:val="20"/>
        </w:rPr>
        <w:t xml:space="preserve"> basis. </w:t>
      </w:r>
    </w:p>
    <w:p>
      <w:pPr>
        <w:pStyle w:val="TextBody"/>
        <w:bidi w:val="0"/>
        <w:spacing w:before="12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Required Consents</w:t>
      </w:r>
      <w:r>
        <w:rPr>
          <w:rFonts w:ascii="Times New Roman" w:hAnsi="Times New Roman"/>
          <w:sz w:val="20"/>
        </w:rPr>
        <w:t xml:space="preserve">. No consent shall be required for any assignment to a Lender, an Affiliate of a Lender or an Approved Fund except to the extent required by </w:t>
      </w:r>
      <w:r>
        <w:rPr>
          <w:rFonts w:ascii="Times New Roman" w:hAnsi="Times New Roman"/>
          <w:sz w:val="20"/>
          <w:u w:val="single"/>
        </w:rPr>
        <w:t>Section 9.04(b)(i)(B)</w:t>
      </w:r>
      <w:r>
        <w:rPr>
          <w:rFonts w:ascii="Times New Roman" w:hAnsi="Times New Roman"/>
          <w:sz w:val="20"/>
        </w:rPr>
        <w:t xml:space="preserve"> and, in addition: </w:t>
      </w:r>
    </w:p>
    <w:p>
      <w:pPr>
        <w:pStyle w:val="TextBody"/>
        <w:bidi w:val="0"/>
        <w:spacing w:before="120" w:after="0"/>
        <w:jc w:val="left"/>
        <w:rPr>
          <w:rFonts w:ascii="Times New Roman" w:hAnsi="Times New Roman"/>
          <w:sz w:val="20"/>
        </w:rPr>
      </w:pPr>
      <w:r>
        <w:rPr>
          <w:rFonts w:ascii="Times New Roman" w:hAnsi="Times New Roman"/>
          <w:sz w:val="20"/>
        </w:rPr>
        <w:t xml:space="preserve">(A) the consent of GEO (such consent not to be unreasonably withheld or delayed) shall be required unless (x) a Default or Event of Default has occurred and is continuing at the time of such assignment or (y) such assignment is to a Lender, an Affiliate of a Lender or an Approved Fund; </w:t>
      </w:r>
      <w:r>
        <w:rPr>
          <w:rFonts w:ascii="Times New Roman" w:hAnsi="Times New Roman"/>
          <w:sz w:val="20"/>
          <w:u w:val="single"/>
        </w:rPr>
        <w:t>provided</w:t>
      </w:r>
      <w:r>
        <w:rPr>
          <w:rFonts w:ascii="Times New Roman" w:hAnsi="Times New Roman"/>
          <w:sz w:val="20"/>
        </w:rPr>
        <w:t xml:space="preserve"> that (x) no such consent of GEO shall be required for assignments made by any Lead Arranger or an Affiliate thereof in furtherance of primary syndication of the Term Loans, to the extent such assignments are made in accordance with any arrangements separately agreed upon between GEO and such Lead Arranger, and (y) GEO shall be deemed to have given its consent ten days after the date a request therefor has been delivered by the Administrative Agent unless such consent is expressly refused in writing by GEO prior to such tenth day; </w:t>
      </w:r>
    </w:p>
    <w:p>
      <w:pPr>
        <w:pStyle w:val="TextBody"/>
        <w:bidi w:val="0"/>
        <w:spacing w:before="120" w:after="0"/>
        <w:jc w:val="left"/>
        <w:rPr>
          <w:rFonts w:ascii="Times New Roman" w:hAnsi="Times New Roman"/>
          <w:sz w:val="20"/>
        </w:rPr>
      </w:pPr>
      <w:r>
        <w:rPr>
          <w:rFonts w:ascii="Times New Roman" w:hAnsi="Times New Roman"/>
          <w:sz w:val="20"/>
        </w:rPr>
        <w:t xml:space="preserve">(B) the consent of the Administrative Agent (such consent not to be unreasonably withheld or delayed) shall be required for assignments in respect of (x) a Revolving Credit Commitment, a Term Loan Commitment or an Incremental Term Loan Commitment no part of which has been utilized if such assignment is to a Person that is not a Lender with a Commitment of such Class, an Affiliate of such Lender or an Approved Fund with respect to such Lender or (y) a Term Loan Commitment, a Term Loan or an Incremental Term Loan Commitment which has been utilized to a Person who is not a Lender, an Affiliate of a Lender or an Approved Fund;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the consent(s) of the relevant Issuing Lender(s) shall be required for any assignment that increases the obligation of the assignee to participate in exposure under one or more Letters of Credit (whether or not then outstanding); and </w:t>
      </w:r>
    </w:p>
    <w:p>
      <w:pPr>
        <w:pStyle w:val="TextBody"/>
        <w:bidi w:val="0"/>
        <w:spacing w:before="120" w:after="0"/>
        <w:jc w:val="left"/>
        <w:rPr>
          <w:rFonts w:ascii="Times New Roman" w:hAnsi="Times New Roman"/>
          <w:sz w:val="20"/>
        </w:rPr>
      </w:pPr>
      <w:r>
        <w:rPr>
          <w:rFonts w:ascii="Times New Roman" w:hAnsi="Times New Roman"/>
          <w:sz w:val="20"/>
        </w:rPr>
        <w:t xml:space="preserve">(D) the consent of the Swingline Lender and each Issuing Lender shall be required for any assignment in respect of the Revolving Credit Commitments. </w:t>
      </w:r>
    </w:p>
    <w:p>
      <w:pPr>
        <w:pStyle w:val="TextBody"/>
        <w:bidi w:val="0"/>
        <w:spacing w:before="120" w:after="0"/>
        <w:jc w:val="left"/>
        <w:rPr>
          <w:rFonts w:ascii="Times New Roman" w:hAnsi="Times New Roman"/>
          <w:sz w:val="20"/>
        </w:rPr>
      </w:pPr>
      <w:r>
        <w:rPr>
          <w:rFonts w:ascii="Times New Roman" w:hAnsi="Times New Roman"/>
          <w:sz w:val="20"/>
        </w:rPr>
        <w:t xml:space="preserve">(iv) </w:t>
      </w:r>
      <w:r>
        <w:rPr>
          <w:rFonts w:ascii="Times New Roman" w:hAnsi="Times New Roman"/>
          <w:sz w:val="20"/>
          <w:u w:val="single"/>
        </w:rPr>
        <w:t>Assignment and Assumption</w:t>
      </w:r>
      <w:r>
        <w:rPr>
          <w:rFonts w:ascii="Times New Roman" w:hAnsi="Times New Roman"/>
          <w:sz w:val="20"/>
        </w:rPr>
        <w:t xml:space="preserve">. The parties to each assignment shall execute and deliver to the Administrative Agent an Assignment and Assumption, together with a processing and recordation fee of $3,500 (which fee may be waived in the sole discretion of the Administrative Agent), and the assignee, if it is not a Lender, shall deliver to the Administrative Agent an Administrative Questionnaire and all documentation and other information reasonably determined by the Administrative Agent to be required by applicable regulatory authorities under applicable “know your customer” and anti-money laundering rules and regulations, including the Patriot Act. </w:t>
      </w:r>
    </w:p>
    <w:p>
      <w:pPr>
        <w:pStyle w:val="TextBody"/>
        <w:bidi w:val="0"/>
        <w:spacing w:before="120" w:after="0"/>
        <w:jc w:val="left"/>
        <w:rPr>
          <w:rFonts w:ascii="Times New Roman" w:hAnsi="Times New Roman"/>
          <w:sz w:val="20"/>
        </w:rPr>
      </w:pPr>
      <w:r>
        <w:rPr>
          <w:rFonts w:ascii="Times New Roman" w:hAnsi="Times New Roman"/>
          <w:sz w:val="20"/>
        </w:rPr>
        <w:t xml:space="preserve">(v) </w:t>
      </w:r>
      <w:r>
        <w:rPr>
          <w:rFonts w:ascii="Times New Roman" w:hAnsi="Times New Roman"/>
          <w:sz w:val="20"/>
          <w:u w:val="single"/>
        </w:rPr>
        <w:t>No Assignment to Natural Persons</w:t>
      </w:r>
      <w:r>
        <w:rPr>
          <w:rFonts w:ascii="Times New Roman" w:hAnsi="Times New Roman"/>
          <w:sz w:val="20"/>
        </w:rPr>
        <w:t xml:space="preserve">. No such assignment shall be made to a natural person (or a holding company, investment vehicle or trust for, or owned and operated for the primary benefit of, a natural person). </w:t>
      </w:r>
    </w:p>
    <w:p>
      <w:pPr>
        <w:pStyle w:val="TextBody"/>
        <w:bidi w:val="0"/>
        <w:spacing w:before="120" w:after="0"/>
        <w:jc w:val="left"/>
        <w:rPr>
          <w:rFonts w:ascii="Times New Roman" w:hAnsi="Times New Roman"/>
          <w:sz w:val="20"/>
        </w:rPr>
      </w:pPr>
      <w:r>
        <w:rPr>
          <w:rFonts w:ascii="Times New Roman" w:hAnsi="Times New Roman"/>
          <w:sz w:val="20"/>
        </w:rPr>
        <w:t xml:space="preserve">(vi) </w:t>
      </w:r>
      <w:r>
        <w:rPr>
          <w:rFonts w:ascii="Times New Roman" w:hAnsi="Times New Roman"/>
          <w:sz w:val="20"/>
          <w:u w:val="single"/>
        </w:rPr>
        <w:t>No Assignment to Defaulting Lender</w:t>
      </w:r>
      <w:r>
        <w:rPr>
          <w:rFonts w:ascii="Times New Roman" w:hAnsi="Times New Roman"/>
          <w:sz w:val="20"/>
        </w:rPr>
        <w:t xml:space="preserve">. No such assignment shall be made to any Defaulting Lender or any of its Subsidiaries, or any Person who, upon becoming a Lender hereunder, would constitute any of the foregoing Persons described in this </w:t>
      </w:r>
      <w:r>
        <w:rPr>
          <w:rFonts w:ascii="Times New Roman" w:hAnsi="Times New Roman"/>
          <w:sz w:val="20"/>
          <w:u w:val="single"/>
        </w:rPr>
        <w:t>clause (vi)</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(vii) </w:t>
      </w:r>
      <w:r>
        <w:rPr>
          <w:rFonts w:ascii="Times New Roman" w:hAnsi="Times New Roman"/>
          <w:sz w:val="20"/>
          <w:u w:val="single"/>
        </w:rPr>
        <w:t>Limitations on Assignments to GEO and its Affiliates</w:t>
      </w:r>
      <w:r>
        <w:rPr>
          <w:rFonts w:ascii="Times New Roman" w:hAnsi="Times New Roman"/>
          <w:sz w:val="20"/>
        </w:rPr>
        <w:t xml:space="preserve">. No such assignments shall be made to GEO or any of its Affiliates, except, solely with respect to Term Loans, as otherwise provided below in this Section. </w:t>
      </w:r>
    </w:p>
    <w:p>
      <w:pPr>
        <w:pStyle w:val="TextBody"/>
        <w:bidi w:val="0"/>
        <w:spacing w:before="120" w:after="0"/>
        <w:jc w:val="left"/>
        <w:rPr>
          <w:rFonts w:ascii="Times New Roman" w:hAnsi="Times New Roman"/>
          <w:sz w:val="20"/>
        </w:rPr>
      </w:pPr>
      <w:r>
        <w:rPr>
          <w:rFonts w:ascii="Times New Roman" w:hAnsi="Times New Roman"/>
          <w:sz w:val="20"/>
        </w:rPr>
        <w:t xml:space="preserve">(viii) </w:t>
      </w:r>
      <w:r>
        <w:rPr>
          <w:rFonts w:ascii="Times New Roman" w:hAnsi="Times New Roman"/>
          <w:sz w:val="20"/>
          <w:u w:val="single"/>
        </w:rPr>
        <w:t>Certain Additional Payments</w:t>
      </w:r>
      <w:r>
        <w:rPr>
          <w:rFonts w:ascii="Times New Roman" w:hAnsi="Times New Roman"/>
          <w:sz w:val="20"/>
        </w:rPr>
        <w:t xml:space="preserve">.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GEO and the Administrative Agent, the applicable </w:t>
      </w:r>
      <w:r>
        <w:rPr>
          <w:rFonts w:ascii="Times New Roman" w:hAnsi="Times New Roman"/>
          <w:i/>
          <w:sz w:val="20"/>
        </w:rPr>
        <w:t>pro rata</w:t>
      </w:r>
      <w:r>
        <w:rPr>
          <w:rFonts w:ascii="Times New Roman" w:hAnsi="Times New Roman"/>
          <w:sz w:val="20"/>
        </w:rPr>
        <w:t xml:space="preserve"> share of Loans previously requested but not funded by the Defaulting Lender, to each of which the applicable assignee and assignor hereby irrevocably consent), to (x) pay and satisfy in full all payment liabilities then owed by such Defaulting Lender to the Administrative Agent, each Issuing Lender, the Swingline Lender and each other Lender hereunder (and interest accrued thereon), and (y) acquire (and fund as appropriate) its full </w:t>
      </w:r>
      <w:r>
        <w:rPr>
          <w:rFonts w:ascii="Times New Roman" w:hAnsi="Times New Roman"/>
          <w:i/>
          <w:sz w:val="20"/>
        </w:rPr>
        <w:t>pro rata</w:t>
      </w:r>
      <w:r>
        <w:rPr>
          <w:rFonts w:ascii="Times New Roman" w:hAnsi="Times New Roman"/>
          <w:sz w:val="20"/>
        </w:rPr>
        <w:t xml:space="preserve"> share of all Loans and participations in Letters of Credit and Swingline Loans in accordance with its Applicable Percentage. Notwithstanding the foregoing, in the event that any assignment of rights and obligations of any Defaulting Lender hereunder shall become effective under applicable law without compliance with the provisions of this </w:t>
      </w:r>
      <w:r>
        <w:rPr>
          <w:rFonts w:ascii="Times New Roman" w:hAnsi="Times New Roman"/>
          <w:sz w:val="20"/>
          <w:u w:val="single"/>
        </w:rPr>
        <w:t>clause (viii)</w:t>
      </w:r>
      <w:r>
        <w:rPr>
          <w:rFonts w:ascii="Times New Roman" w:hAnsi="Times New Roman"/>
          <w:sz w:val="20"/>
        </w:rPr>
        <w:t>,</w:t>
      </w:r>
      <w:r>
        <w:rPr>
          <w:rFonts w:ascii="Times New Roman" w:hAnsi="Times New Roman"/>
          <w:sz w:val="20"/>
          <w:u w:val="single"/>
        </w:rPr>
        <w:t xml:space="preserve"> </w:t>
      </w:r>
      <w:r>
        <w:rPr>
          <w:rFonts w:ascii="Times New Roman" w:hAnsi="Times New Roman"/>
          <w:sz w:val="20"/>
        </w:rPr>
        <w:t xml:space="preserve">then the assignee of such interest shall be deemed to be a Defaulting Lender for all purposes of this Agreement until such compliance occurs.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Notwithstanding anything to the contrary contained in this </w:t>
      </w:r>
      <w:r>
        <w:rPr>
          <w:rFonts w:ascii="Times New Roman" w:hAnsi="Times New Roman"/>
          <w:sz w:val="20"/>
          <w:u w:val="single"/>
        </w:rPr>
        <w:t>Section 9.04</w:t>
      </w:r>
      <w:r>
        <w:rPr>
          <w:rFonts w:ascii="Times New Roman" w:hAnsi="Times New Roman"/>
          <w:sz w:val="20"/>
        </w:rPr>
        <w:t>, so long as no Default or Event of Default has occurred and is continuing or would result therefrom, each Term Lender shall have the right at any time to sell, assign or transfer all or a portion of the Term Loans owing to it to GEO (but not any Subsidiary of GEO) on a non-</w:t>
      </w:r>
      <w:r>
        <w:rPr>
          <w:rFonts w:ascii="Times New Roman" w:hAnsi="Times New Roman"/>
          <w:i/>
          <w:sz w:val="20"/>
        </w:rPr>
        <w:t>pro rata</w:t>
      </w:r>
      <w:r>
        <w:rPr>
          <w:rFonts w:ascii="Times New Roman" w:hAnsi="Times New Roman"/>
          <w:sz w:val="20"/>
        </w:rPr>
        <w:t xml:space="preserve"> basis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each assignment shall be of a uniform, and not varying, percentage of all rights and obligations under and in respect of any applicable Term Loan) pursuant to (x) one or more modified Dutch auctions (each, an “</w:t>
      </w:r>
      <w:r>
        <w:rPr>
          <w:rFonts w:ascii="Times New Roman" w:hAnsi="Times New Roman"/>
          <w:sz w:val="20"/>
          <w:u w:val="single"/>
        </w:rPr>
        <w:t>Auction</w:t>
      </w:r>
      <w:r>
        <w:rPr>
          <w:rFonts w:ascii="Times New Roman" w:hAnsi="Times New Roman"/>
          <w:sz w:val="20"/>
        </w:rPr>
        <w:t>”) to repurchase all or any portion of the Term Loans (</w:t>
      </w:r>
      <w:r>
        <w:rPr>
          <w:rFonts w:ascii="Times New Roman" w:hAnsi="Times New Roman"/>
          <w:sz w:val="20"/>
          <w:u w:val="single"/>
        </w:rPr>
        <w:t>provided</w:t>
      </w:r>
      <w:r>
        <w:rPr>
          <w:rFonts w:ascii="Times New Roman" w:hAnsi="Times New Roman"/>
          <w:sz w:val="20"/>
        </w:rPr>
        <w:t xml:space="preserve"> that, (A) notice of the Auction shall be made to all Term Lenders and (B) the Auction shall be conducted pursuant to such procedures which are consistent with this </w:t>
      </w:r>
      <w:r>
        <w:rPr>
          <w:rFonts w:ascii="Times New Roman" w:hAnsi="Times New Roman"/>
          <w:sz w:val="20"/>
          <w:u w:val="single"/>
        </w:rPr>
        <w:t>Section 9.04(b)</w:t>
      </w:r>
      <w:r>
        <w:rPr>
          <w:rFonts w:ascii="Times New Roman" w:hAnsi="Times New Roman"/>
          <w:sz w:val="20"/>
        </w:rPr>
        <w:t xml:space="preserve"> as the Auction Manager may establish and otherwise reasonably acceptable to GEO, the Auction Manager, and the Administrative Agent) or (y) open market purchases, in each case subject to the following additional limitations: (A) with respect to all purchases made by GEO pursuant to this </w:t>
      </w:r>
      <w:r>
        <w:rPr>
          <w:rFonts w:ascii="Times New Roman" w:hAnsi="Times New Roman"/>
          <w:sz w:val="20"/>
          <w:u w:val="single"/>
        </w:rPr>
        <w:t>Section 9.04(b)</w:t>
      </w:r>
      <w:r>
        <w:rPr>
          <w:rFonts w:ascii="Times New Roman" w:hAnsi="Times New Roman"/>
          <w:sz w:val="20"/>
        </w:rPr>
        <w:t xml:space="preserve">, (I) GEO shall deliver to the Auction Manager, if applicable, a certificate of the President, a Vice President or a Financial Officer of GEO stating that no Default has occurred and is continuing or would result from such purchase, (II) GEO shall not, directly or indirectly, use the proceeds of any Revolving Credit Loans to acquire any Term Loan, (III) GEO shall disclose in writing to the assigning Lender (prior to the entering into of an Assignment and Assumption or other agreement in respect of such assignment) its identity as the purchaser of such Term Loans, and (IV) the assigning Lender and the Borrowers shall execute and deliver to the Auction Manager, if applicable, an Assignment and Assumption; (B) immediately upon the consummation of any purchase by GEO pursuant to this </w:t>
      </w:r>
      <w:r>
        <w:rPr>
          <w:rFonts w:ascii="Times New Roman" w:hAnsi="Times New Roman"/>
          <w:sz w:val="20"/>
          <w:u w:val="single"/>
        </w:rPr>
        <w:t>Section 9.04(b)</w:t>
      </w:r>
      <w:r>
        <w:rPr>
          <w:rFonts w:ascii="Times New Roman" w:hAnsi="Times New Roman"/>
          <w:sz w:val="20"/>
        </w:rPr>
        <w:t xml:space="preserve">, all Term Loans so repurchased shall, without further action by any Person, be deemed cancelled by the full par value of the aggregate principal amount of the Term Loans so purchased and cancelled for all purposes and no longer outstanding (and, for the avoidance of doubt, may not be resold by GEO), for all purposes of this Agreement and all other Loan Documents, including, but not limited to (I) the making of, or the application of, any payments to the Lenders under this Agreement or any other Loan Document (and each principal repayment installment with respect to the Term Loans pursuant to </w:t>
      </w:r>
      <w:r>
        <w:rPr>
          <w:rFonts w:ascii="Times New Roman" w:hAnsi="Times New Roman"/>
          <w:sz w:val="20"/>
          <w:u w:val="single"/>
        </w:rPr>
        <w:t>Section 2.09(a)</w:t>
      </w:r>
      <w:r>
        <w:rPr>
          <w:rFonts w:ascii="Times New Roman" w:hAnsi="Times New Roman"/>
          <w:sz w:val="20"/>
        </w:rPr>
        <w:t xml:space="preserve"> shall be reduced </w:t>
      </w:r>
      <w:r>
        <w:rPr>
          <w:rFonts w:ascii="Times New Roman" w:hAnsi="Times New Roman"/>
          <w:i/>
          <w:sz w:val="20"/>
        </w:rPr>
        <w:t xml:space="preserve">pro rata </w:t>
      </w:r>
      <w:r>
        <w:rPr>
          <w:rFonts w:ascii="Times New Roman" w:hAnsi="Times New Roman"/>
          <w:sz w:val="20"/>
        </w:rPr>
        <w:t xml:space="preserve">by the full par value of the aggregate principal amount of Term Loans so purchased and cancelled), (II) the making of any request, demand, authorization, direction, notice, consent or waiver under this Agreement or any other Loan Document or (III) the determination of Required Lenders (or Required Term Lenders), or for any similar or related purpose, under this Agreement or any other Loan Document; and (C) the purchase price paid by GEO in connection with any such purchases shall be paid only in cash. In connection with any Term Loans purchased and cancelled pursuant to this </w:t>
      </w:r>
      <w:r>
        <w:rPr>
          <w:rFonts w:ascii="Times New Roman" w:hAnsi="Times New Roman"/>
          <w:sz w:val="20"/>
          <w:u w:val="single"/>
        </w:rPr>
        <w:t>Section 9.04(b)</w:t>
      </w:r>
      <w:r>
        <w:rPr>
          <w:rFonts w:ascii="Times New Roman" w:hAnsi="Times New Roman"/>
          <w:sz w:val="20"/>
        </w:rPr>
        <w:t xml:space="preserve">, Administrative Agent is authorized to make appropriate entries in the Register to reflect any such cancellation. </w:t>
      </w:r>
    </w:p>
    <w:p>
      <w:pPr>
        <w:pStyle w:val="TextBody"/>
        <w:bidi w:val="0"/>
        <w:spacing w:before="240" w:after="0"/>
        <w:jc w:val="left"/>
        <w:rPr>
          <w:rFonts w:ascii="Times New Roman" w:hAnsi="Times New Roman"/>
          <w:sz w:val="20"/>
        </w:rPr>
      </w:pPr>
      <w:r>
        <w:rPr>
          <w:rFonts w:ascii="Times New Roman" w:hAnsi="Times New Roman"/>
          <w:sz w:val="20"/>
        </w:rPr>
        <w:t xml:space="preserve">Subject to acceptance and recording thereof by the Administrative Agent pursuant to </w:t>
      </w:r>
      <w:r>
        <w:rPr>
          <w:rFonts w:ascii="Times New Roman" w:hAnsi="Times New Roman"/>
          <w:sz w:val="20"/>
          <w:u w:val="single"/>
        </w:rPr>
        <w:t>Section 9.04(c)</w:t>
      </w:r>
      <w:r>
        <w:rPr>
          <w:rFonts w:ascii="Times New Roman" w:hAnsi="Times New Roman"/>
          <w:sz w:val="20"/>
        </w:rPr>
        <w:t xml:space="preserve">,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to be (x) entitled to the benefits of </w:t>
      </w:r>
      <w:r>
        <w:rPr>
          <w:rFonts w:ascii="Times New Roman" w:hAnsi="Times New Roman"/>
          <w:sz w:val="20"/>
          <w:u w:val="single"/>
        </w:rPr>
        <w:t>Section 2.14</w:t>
      </w:r>
      <w:r>
        <w:rPr>
          <w:rFonts w:ascii="Times New Roman" w:hAnsi="Times New Roman"/>
          <w:sz w:val="20"/>
        </w:rPr>
        <w:t xml:space="preserve">, </w:t>
      </w:r>
      <w:r>
        <w:rPr>
          <w:rFonts w:ascii="Times New Roman" w:hAnsi="Times New Roman"/>
          <w:sz w:val="20"/>
          <w:u w:val="single"/>
        </w:rPr>
        <w:t>Section 2.15</w:t>
      </w:r>
      <w:r>
        <w:rPr>
          <w:rFonts w:ascii="Times New Roman" w:hAnsi="Times New Roman"/>
          <w:sz w:val="20"/>
        </w:rPr>
        <w:t xml:space="preserve"> and </w:t>
      </w:r>
      <w:r>
        <w:rPr>
          <w:rFonts w:ascii="Times New Roman" w:hAnsi="Times New Roman"/>
          <w:sz w:val="20"/>
          <w:u w:val="single"/>
        </w:rPr>
        <w:t xml:space="preserve">Section 9.03 </w:t>
      </w:r>
      <w:r>
        <w:rPr>
          <w:rFonts w:ascii="Times New Roman" w:hAnsi="Times New Roman"/>
          <w:sz w:val="20"/>
        </w:rPr>
        <w:t xml:space="preserve">and (y) obligated pursuant to </w:t>
      </w:r>
      <w:r>
        <w:rPr>
          <w:rFonts w:ascii="Times New Roman" w:hAnsi="Times New Roman"/>
          <w:sz w:val="20"/>
          <w:u w:val="single"/>
        </w:rPr>
        <w:t>Section 2.17(g)</w:t>
      </w:r>
      <w:r>
        <w:rPr>
          <w:rFonts w:ascii="Times New Roman" w:hAnsi="Times New Roman"/>
          <w:sz w:val="20"/>
        </w:rPr>
        <w:t xml:space="preserve">, in each case with respect to facts and circumstances occurring prior to the effective date of such assignment; </w:t>
      </w:r>
      <w:r>
        <w:rPr>
          <w:rFonts w:ascii="Times New Roman" w:hAnsi="Times New Roman"/>
          <w:sz w:val="20"/>
          <w:u w:val="single"/>
        </w:rPr>
        <w:t>provided</w:t>
      </w:r>
      <w:r>
        <w:rPr>
          <w:rFonts w:ascii="Times New Roman" w:hAnsi="Times New Roman"/>
          <w:sz w:val="20"/>
        </w:rPr>
        <w:t xml:space="preserve">, that except to the extent otherwise expressly agreed by the affected parties, no assignment by a Defaulting Lender will constitute a waiver or release of any claim of any party hereunder arising from that Lender’s having been a Defaulting Lender. Any assignment or transfer by a Lender of rights or obligations under this Agreement that does not comply with this paragraph shall be treated for purposes of this Agreement as a sale by such Lender of a participation in such rights and obligations in accordance with </w:t>
      </w:r>
      <w:r>
        <w:rPr>
          <w:rFonts w:ascii="Times New Roman" w:hAnsi="Times New Roman"/>
          <w:sz w:val="20"/>
          <w:u w:val="single"/>
        </w:rPr>
        <w:t>Section 9.04(d)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Register</w:t>
      </w:r>
      <w:r>
        <w:rPr>
          <w:rFonts w:ascii="Times New Roman" w:hAnsi="Times New Roman"/>
          <w:sz w:val="20"/>
        </w:rPr>
        <w:t>. The Administrative Agent, acting solely for this purpose as a non-fiduciary agent of the Borrowers, shall maintain at one of its offices in New York a copy of each Assignment and Assumption delivered to it and a register for the recordation of the names and addresses of the Lenders, and the Commitments of, and principal amounts (and stated interest) of the Loans owing to, each Lender pursuant to the terms hereof from time to time (the “</w:t>
      </w:r>
      <w:r>
        <w:rPr>
          <w:rFonts w:ascii="Times New Roman" w:hAnsi="Times New Roman"/>
          <w:sz w:val="20"/>
          <w:u w:val="single"/>
        </w:rPr>
        <w:t>Register</w:t>
      </w:r>
      <w:r>
        <w:rPr>
          <w:rFonts w:ascii="Times New Roman" w:hAnsi="Times New Roman"/>
          <w:sz w:val="20"/>
        </w:rPr>
        <w:t xml:space="preserve">”). The entries in the Register shall be conclusive absent manifest error, and the Borrowers, the Administrative Agent and the Lenders shall treat each Person whose name is recorded in the Register pursuant to the terms hereof as a Lender hereunder for all purposes of this Agreement, notwithstanding notice to the contrary. The Register shall be available for inspection by GEO or any Lender at any reasonable time and from time to time upon reasonable prior notice.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Participations</w:t>
      </w:r>
      <w:r>
        <w:rPr>
          <w:rFonts w:ascii="Times New Roman" w:hAnsi="Times New Roman"/>
          <w:sz w:val="20"/>
        </w:rPr>
        <w:t>. Any Lender may at any time, without the consent of, or notice to, the Borrowers or the Administrative Agent, sell participations to any Person (other than a natural person (or a holding company, investment vehicle or trust for, or owned and operated for the primary benefit of, a natural person) or any Borrower or any of the Borrowers’ respective Affiliates or Subsidiaries) in all or a portion (</w:t>
      </w:r>
      <w:r>
        <w:rPr>
          <w:rFonts w:ascii="Times New Roman" w:hAnsi="Times New Roman"/>
          <w:sz w:val="20"/>
          <w:u w:val="single"/>
        </w:rPr>
        <w:t>provided</w:t>
      </w:r>
      <w:r>
        <w:rPr>
          <w:rFonts w:ascii="Times New Roman" w:hAnsi="Times New Roman"/>
          <w:sz w:val="20"/>
        </w:rPr>
        <w:t xml:space="preserve"> that any such portion shall not be less than $5,000,000, in the case of any participation in respect of a Revolving Credit Commitment or Refinancing Revolving Credit Commitment, or $1,000,000, in the case of any participation in respect of a Term Loan Commitment, an Incremental Term Loan Commitment or a Refinancing Term Loan Commitment) of such Lender’s rights and/or obligations under this Agreement (including all or a portion of its Commitment and/or the Loans owing to it); </w:t>
      </w:r>
      <w:r>
        <w:rPr>
          <w:rFonts w:ascii="Times New Roman" w:hAnsi="Times New Roman"/>
          <w:sz w:val="20"/>
          <w:u w:val="single"/>
        </w:rPr>
        <w:t>provided</w:t>
      </w:r>
      <w:r>
        <w:rPr>
          <w:rFonts w:ascii="Times New Roman" w:hAnsi="Times New Roman"/>
          <w:sz w:val="20"/>
        </w:rPr>
        <w:t xml:space="preserve"> that (i) such Lender’s obligations under this Agreement shall remain unchanged, (ii) such Lender shall remain solely responsible to the other parties hereto for the performance of such obligations and (iii) the Borrowers, the Administrative Agent, the Lenders, the Issuing Lenders and the Swingline Lender shall continue to deal solely and directly with such Lender in connection with such Lender’s rights and obligations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hAnsi="Times New Roman"/>
          <w:sz w:val="20"/>
          <w:u w:val="single"/>
        </w:rPr>
        <w:t>provided</w:t>
      </w:r>
      <w:r>
        <w:rPr>
          <w:rFonts w:ascii="Times New Roman" w:hAnsi="Times New Roman"/>
          <w:sz w:val="20"/>
        </w:rPr>
        <w:t xml:space="preserve"> that such agreement or instrument may provide that such Lender will not, without the consent of the Participant, agree to any amendment, modification or waiver which would reduce the principal of or the interest rate on any Loan or the obligation of the Borrowers to reimburse any Borrowing, extend the term or increase the amount of the applicable Commitment of such Lender, reduce the amount of any fees to which such Participant is entitled, extend any scheduled payment date for principal of any Loan or, except as expressly contemplated hereby or thereby, release substantially all of the collateral granted in favor of the Administrative Agent for the benefit of the Secured Parties, in any such case in a manner that would affect such Participant. Subject to </w:t>
      </w:r>
      <w:r>
        <w:rPr>
          <w:rFonts w:ascii="Times New Roman" w:hAnsi="Times New Roman"/>
          <w:sz w:val="20"/>
          <w:u w:val="single"/>
        </w:rPr>
        <w:t>Section 9.04(e)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Borrowers agree that each Participant shall be entitled to the benefits of </w:t>
      </w:r>
      <w:r>
        <w:rPr>
          <w:rFonts w:ascii="Times New Roman" w:hAnsi="Times New Roman"/>
          <w:sz w:val="20"/>
          <w:u w:val="single"/>
        </w:rPr>
        <w:t>Section 2.14</w:t>
      </w:r>
      <w:r>
        <w:rPr>
          <w:rFonts w:ascii="Times New Roman" w:hAnsi="Times New Roman"/>
          <w:sz w:val="20"/>
        </w:rPr>
        <w:t xml:space="preserve"> to the same extent as if it were a Lender and had acquired its interest by assignment pursuant to </w:t>
      </w:r>
      <w:r>
        <w:rPr>
          <w:rFonts w:ascii="Times New Roman" w:hAnsi="Times New Roman"/>
          <w:sz w:val="20"/>
          <w:u w:val="single"/>
        </w:rPr>
        <w:t>Section 9.04(b)</w:t>
      </w:r>
      <w:r>
        <w:rPr>
          <w:rFonts w:ascii="Times New Roman" w:hAnsi="Times New Roman"/>
          <w:sz w:val="20"/>
        </w:rPr>
        <w:t xml:space="preserve">. To the extent permitted by law, each Participant also shall be entitled to the benefits of </w:t>
      </w:r>
      <w:r>
        <w:rPr>
          <w:rFonts w:ascii="Times New Roman" w:hAnsi="Times New Roman"/>
          <w:sz w:val="20"/>
          <w:u w:val="single"/>
        </w:rPr>
        <w:t>Section 9.08</w:t>
      </w:r>
      <w:r>
        <w:rPr>
          <w:rFonts w:ascii="Times New Roman" w:hAnsi="Times New Roman"/>
          <w:sz w:val="20"/>
        </w:rPr>
        <w:t xml:space="preserve"> as though it were a Lender; </w:t>
      </w:r>
      <w:r>
        <w:rPr>
          <w:rFonts w:ascii="Times New Roman" w:hAnsi="Times New Roman"/>
          <w:sz w:val="20"/>
          <w:u w:val="single"/>
        </w:rPr>
        <w:t>provided</w:t>
      </w:r>
      <w:r>
        <w:rPr>
          <w:rFonts w:ascii="Times New Roman" w:hAnsi="Times New Roman"/>
          <w:sz w:val="20"/>
        </w:rPr>
        <w:t xml:space="preserve"> that such Participant agrees to be subject to </w:t>
      </w:r>
      <w:r>
        <w:rPr>
          <w:rFonts w:ascii="Times New Roman" w:hAnsi="Times New Roman"/>
          <w:sz w:val="20"/>
          <w:u w:val="single"/>
        </w:rPr>
        <w:t>Section 2.16(d)</w:t>
      </w:r>
      <w:r>
        <w:rPr>
          <w:rFonts w:ascii="Times New Roman" w:hAnsi="Times New Roman"/>
          <w:sz w:val="20"/>
        </w:rPr>
        <w:t xml:space="preserve"> as though it were a Lender. </w:t>
      </w:r>
    </w:p>
    <w:p>
      <w:pPr>
        <w:pStyle w:val="TextBody"/>
        <w:bidi w:val="0"/>
        <w:spacing w:before="240" w:after="0"/>
        <w:jc w:val="left"/>
        <w:rPr>
          <w:rFonts w:ascii="Times New Roman" w:hAnsi="Times New Roman"/>
          <w:sz w:val="20"/>
        </w:rPr>
      </w:pPr>
      <w:r>
        <w:rPr>
          <w:rFonts w:ascii="Times New Roman" w:hAnsi="Times New Roman"/>
          <w:sz w:val="20"/>
        </w:rPr>
        <w:t>Each Lender that sells a participation shall, acting solely for this purpose as a non-fiduciary agent of the Borrowers, maintain a register on which it enters the name and address of each Participant and the principal amounts (and stated interest) of each Participant’s interest in the Loans or other obligations under this Agreement (the “</w:t>
      </w:r>
      <w:r>
        <w:rPr>
          <w:rFonts w:ascii="Times New Roman" w:hAnsi="Times New Roman"/>
          <w:sz w:val="20"/>
          <w:u w:val="single"/>
        </w:rPr>
        <w:t>Participant Register</w:t>
      </w:r>
      <w:r>
        <w:rPr>
          <w:rFonts w:ascii="Times New Roman" w:hAnsi="Times New Roman"/>
          <w:sz w:val="20"/>
        </w:rPr>
        <w:t xml:space="preserve">”).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This </w:t>
      </w:r>
      <w:r>
        <w:rPr>
          <w:rFonts w:ascii="Times New Roman" w:hAnsi="Times New Roman"/>
          <w:sz w:val="20"/>
          <w:u w:val="single"/>
        </w:rPr>
        <w:t>Section 9.04(d)</w:t>
      </w:r>
      <w:r>
        <w:rPr>
          <w:rFonts w:ascii="Times New Roman" w:hAnsi="Times New Roman"/>
          <w:sz w:val="20"/>
        </w:rPr>
        <w:t xml:space="preserve"> shall be construed so that the Loans and other obligations hereunder are at all times maintained in “registered form” within the meaning of Sections 163(f), 871(h)(2) and 881(c)(2) of the Code and any related regulations (or any other relevant or successor provisions of the Code or such regulations), including Section 5f.103-1(c) of the United States Treasury Regulations. For the avoidance of doubt, the Administrative Agent (in its capacity as Administrative Agent) shall have no responsibility for maintaining a Participant Register.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Limitations upon Participant Rights</w:t>
      </w:r>
      <w:r>
        <w:rPr>
          <w:rFonts w:ascii="Times New Roman" w:hAnsi="Times New Roman"/>
          <w:sz w:val="20"/>
        </w:rPr>
        <w:t xml:space="preserve">. A Participant shall not be entitled to receive any greater payment under </w:t>
      </w:r>
      <w:r>
        <w:rPr>
          <w:rFonts w:ascii="Times New Roman" w:hAnsi="Times New Roman"/>
          <w:sz w:val="20"/>
          <w:u w:val="single"/>
        </w:rPr>
        <w:t>Section 2.13</w:t>
      </w:r>
      <w:r>
        <w:rPr>
          <w:rFonts w:ascii="Times New Roman" w:hAnsi="Times New Roman"/>
          <w:sz w:val="20"/>
        </w:rPr>
        <w:t xml:space="preserve"> and </w:t>
      </w:r>
      <w:r>
        <w:rPr>
          <w:rFonts w:ascii="Times New Roman" w:hAnsi="Times New Roman"/>
          <w:sz w:val="20"/>
          <w:u w:val="single"/>
        </w:rPr>
        <w:t>Section 2.15</w:t>
      </w:r>
      <w:r>
        <w:rPr>
          <w:rFonts w:ascii="Times New Roman" w:hAnsi="Times New Roman"/>
          <w:sz w:val="20"/>
        </w:rPr>
        <w:t xml:space="preserve"> than the applicable Lender would have been entitled to receive with respect to the participation sold to such Participant, unless the sale of the participation to such Participant is made with GEO’s prior written consent or to the extent such entitlement to receive a greater payment results from a Change in Law that occurs after the Participant acquired the applicable participation. A Participant that would be a Foreign Lender if it were a Lender shall not be entitled to the benefits of </w:t>
      </w:r>
      <w:r>
        <w:rPr>
          <w:rFonts w:ascii="Times New Roman" w:hAnsi="Times New Roman"/>
          <w:sz w:val="20"/>
          <w:u w:val="single"/>
        </w:rPr>
        <w:t>Section 2.15</w:t>
      </w:r>
      <w:r>
        <w:rPr>
          <w:rFonts w:ascii="Times New Roman" w:hAnsi="Times New Roman"/>
          <w:sz w:val="20"/>
        </w:rPr>
        <w:t xml:space="preserve"> unless GEO is notified of the participation sold to such Participant and such Participant agrees, for the benefit of the Borrowers, to comply with </w:t>
      </w:r>
      <w:r>
        <w:rPr>
          <w:rFonts w:ascii="Times New Roman" w:hAnsi="Times New Roman"/>
          <w:sz w:val="20"/>
          <w:u w:val="single"/>
        </w:rPr>
        <w:t>Sections 2.15(f)</w:t>
      </w:r>
      <w:r>
        <w:rPr>
          <w:rFonts w:ascii="Times New Roman" w:hAnsi="Times New Roman"/>
          <w:sz w:val="20"/>
        </w:rPr>
        <w:t xml:space="preserve"> and </w:t>
      </w:r>
      <w:r>
        <w:rPr>
          <w:rFonts w:ascii="Times New Roman" w:hAnsi="Times New Roman"/>
          <w:sz w:val="20"/>
          <w:u w:val="single"/>
        </w:rPr>
        <w:t>(h)</w:t>
      </w:r>
      <w:r>
        <w:rPr>
          <w:rFonts w:ascii="Times New Roman" w:hAnsi="Times New Roman"/>
          <w:sz w:val="20"/>
        </w:rPr>
        <w:t xml:space="preserve"> as though it were a Lender.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Certain Pledges</w:t>
      </w:r>
      <w:r>
        <w:rPr>
          <w:rFonts w:ascii="Times New Roman" w:hAnsi="Times New Roman"/>
          <w:sz w:val="20"/>
        </w:rPr>
        <w:t xml:space="preserve">. Any Lender may at any time pledge or assign a security interest in all or any portion of its rights under this Agreement to secure obligations of such Lender, including any pledge or assignment to secure obligations to a Federal Reserve Bank or any central bank having jurisdiction over such Lender; </w:t>
      </w:r>
      <w:r>
        <w:rPr>
          <w:rFonts w:ascii="Times New Roman" w:hAnsi="Times New Roman"/>
          <w:sz w:val="20"/>
          <w:u w:val="single"/>
        </w:rPr>
        <w:t>provided</w:t>
      </w:r>
      <w:r>
        <w:rPr>
          <w:rFonts w:ascii="Times New Roman" w:hAnsi="Times New Roman"/>
          <w:sz w:val="20"/>
        </w:rPr>
        <w:t xml:space="preserve"> that no such pledge or assignment shall release such Lender from any of its obligations hereunder or substitute any such pledgee or assignee for such Lender as a party hereto. </w:t>
      </w:r>
    </w:p>
    <w:p>
      <w:pPr>
        <w:pStyle w:val="TextBody"/>
        <w:bidi w:val="0"/>
        <w:spacing w:before="240" w:after="0"/>
        <w:jc w:val="left"/>
        <w:rPr>
          <w:rFonts w:ascii="Times New Roman" w:hAnsi="Times New Roman"/>
          <w:sz w:val="20"/>
        </w:rPr>
      </w:pPr>
      <w:r>
        <w:rPr>
          <w:rFonts w:ascii="Times New Roman" w:hAnsi="Times New Roman"/>
          <w:sz w:val="20"/>
        </w:rPr>
        <w:t xml:space="preserve">Section 9.05 </w:t>
      </w:r>
      <w:r>
        <w:rPr>
          <w:rFonts w:ascii="Times New Roman" w:hAnsi="Times New Roman"/>
          <w:sz w:val="20"/>
          <w:u w:val="single"/>
        </w:rPr>
        <w:t>Survival</w:t>
      </w:r>
      <w:r>
        <w:rPr>
          <w:rFonts w:ascii="Times New Roman" w:hAnsi="Times New Roman"/>
          <w:sz w:val="20"/>
        </w:rPr>
        <w:t xml:space="preserve">. All covenants, agreements, representations and warranties made by any of the Borrowers herein and in the certificates or other instruments delivered in connection with or pursuant to this Agreement shall be considered to have been relied upon by the other parties hereto and shall survive the execution and delivery of this Agreement and the making of any Loans and issuance, amendment, renewal or extension of any Letters of Credit, regardless of any investigation made by any such other party or on its behalf and notwithstanding that the Administrative Agent, any Issuing Lender or any Lender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this Agreement is outstanding and unpaid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Letter of Credit is outstanding and so long as the Commitments have not expired or been terminated. The provisions of </w:t>
      </w:r>
      <w:r>
        <w:rPr>
          <w:rFonts w:ascii="Times New Roman" w:hAnsi="Times New Roman"/>
          <w:sz w:val="20"/>
          <w:u w:val="single"/>
        </w:rPr>
        <w:t>Section 2.13</w:t>
      </w:r>
      <w:r>
        <w:rPr>
          <w:rFonts w:ascii="Times New Roman" w:hAnsi="Times New Roman"/>
          <w:sz w:val="20"/>
        </w:rPr>
        <w:t xml:space="preserve">, </w:t>
      </w:r>
      <w:r>
        <w:rPr>
          <w:rFonts w:ascii="Times New Roman" w:hAnsi="Times New Roman"/>
          <w:sz w:val="20"/>
          <w:u w:val="single"/>
        </w:rPr>
        <w:t>Section 2.14</w:t>
      </w:r>
      <w:r>
        <w:rPr>
          <w:rFonts w:ascii="Times New Roman" w:hAnsi="Times New Roman"/>
          <w:sz w:val="20"/>
        </w:rPr>
        <w:t xml:space="preserve">, </w:t>
      </w:r>
      <w:r>
        <w:rPr>
          <w:rFonts w:ascii="Times New Roman" w:hAnsi="Times New Roman"/>
          <w:sz w:val="20"/>
          <w:u w:val="single"/>
        </w:rPr>
        <w:t>Section 2.15</w:t>
      </w:r>
      <w:r>
        <w:rPr>
          <w:rFonts w:ascii="Times New Roman" w:hAnsi="Times New Roman"/>
          <w:sz w:val="20"/>
        </w:rPr>
        <w:t xml:space="preserve"> and </w:t>
      </w:r>
      <w:r>
        <w:rPr>
          <w:rFonts w:ascii="Times New Roman" w:hAnsi="Times New Roman"/>
          <w:sz w:val="20"/>
          <w:u w:val="single"/>
        </w:rPr>
        <w:t>Section 9.03</w:t>
      </w:r>
      <w:r>
        <w:rPr>
          <w:rFonts w:ascii="Times New Roman" w:hAnsi="Times New Roman"/>
          <w:sz w:val="20"/>
        </w:rPr>
        <w:t xml:space="preserve"> and </w:t>
      </w:r>
      <w:r>
        <w:rPr>
          <w:rFonts w:ascii="Times New Roman" w:hAnsi="Times New Roman"/>
          <w:sz w:val="20"/>
          <w:u w:val="single"/>
        </w:rPr>
        <w:t>Article VIII</w:t>
      </w:r>
      <w:r>
        <w:rPr>
          <w:rFonts w:ascii="Times New Roman" w:hAnsi="Times New Roman"/>
          <w:sz w:val="20"/>
        </w:rPr>
        <w:t xml:space="preserve"> shall survive and remain in full force and effect regardless of the consummation of the transactions contemplated hereby, the repayment of the Loans, the expiration or termination of the Letters of Credit and the Commitments or the termination of this Agreement or any provision hereof. </w:t>
      </w:r>
    </w:p>
    <w:p>
      <w:pPr>
        <w:pStyle w:val="TextBody"/>
        <w:bidi w:val="0"/>
        <w:spacing w:before="240" w:after="0"/>
        <w:jc w:val="left"/>
        <w:rPr>
          <w:rFonts w:ascii="Times New Roman" w:hAnsi="Times New Roman"/>
          <w:sz w:val="20"/>
        </w:rPr>
      </w:pPr>
      <w:r>
        <w:rPr>
          <w:rFonts w:ascii="Times New Roman" w:hAnsi="Times New Roman"/>
          <w:sz w:val="20"/>
        </w:rPr>
        <w:t xml:space="preserve">Section 9.06 </w:t>
      </w:r>
      <w:r>
        <w:rPr>
          <w:rFonts w:ascii="Times New Roman" w:hAnsi="Times New Roman"/>
          <w:sz w:val="20"/>
          <w:u w:val="single"/>
        </w:rPr>
        <w:t>Counterparts; Integration; Effectiveness; Lender Addendum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Counterparts; Integration; Effectiveness</w:t>
      </w:r>
      <w:r>
        <w:rPr>
          <w:rFonts w:ascii="Times New Roman" w:hAnsi="Times New Roman"/>
          <w:sz w:val="20"/>
        </w:rPr>
        <w:t xml:space="preserve">. This Agreement (and any amendment hereto or waiver hereunder) may be executed in counterparts (and by different parties hereto in different counterparts), including the Lender Addenda, each of which shall constitute an original, but all of which when taken together shall constitute a single contract. This Agreement (including the Lender Addenda) and the other Loan Documents, and any separate letter agreements with respect to fees payable to the Administrative Agent, constitute the entire contract between and among the parties relating to the subject matter hereof and supersede any and all previous agreements and understandings, oral or written, relating to the subject matter hereof. Except as provided in </w:t>
      </w:r>
      <w:r>
        <w:rPr>
          <w:rFonts w:ascii="Times New Roman" w:hAnsi="Times New Roman"/>
          <w:sz w:val="20"/>
          <w:u w:val="single"/>
        </w:rPr>
        <w:t>Section 4.01</w:t>
      </w:r>
      <w:r>
        <w:rPr>
          <w:rFonts w:ascii="Times New Roman" w:hAnsi="Times New Roman"/>
          <w:sz w:val="20"/>
        </w:rPr>
        <w:t xml:space="preserve">, this Agreement shall become effective when it shall have been executed by the Administrative Agent and when the Administrative Agent shall have received counterparts hereof that, when taken together, bear the signatures of each of the other parties hereto. Delivery of an executed counterpart of a signature page to this Agreement by telecopy or in “Portable Document Format” shall be effective as delivery of a manually executed counterpart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Lender Addendum</w:t>
      </w:r>
      <w:r>
        <w:rPr>
          <w:rFonts w:ascii="Times New Roman" w:hAnsi="Times New Roman"/>
          <w:sz w:val="20"/>
        </w:rPr>
        <w:t xml:space="preserve">. Each Lender shall become a party to this Agreement by delivering to the Administrative Agent (i) a counterpart of this Agreement duly executed by such Lender or (ii) a Lender Addendum duly executed by such Lender and GEO, and, by executing this Agreement or a Lender Addendum, each such Lender agrees to be bound by the provisions hereof as a Lender hereunder. </w:t>
      </w:r>
    </w:p>
    <w:p>
      <w:pPr>
        <w:pStyle w:val="TextBody"/>
        <w:bidi w:val="0"/>
        <w:spacing w:before="240" w:after="0"/>
        <w:jc w:val="left"/>
        <w:rPr>
          <w:rFonts w:ascii="Times New Roman" w:hAnsi="Times New Roman"/>
          <w:sz w:val="20"/>
        </w:rPr>
      </w:pPr>
      <w:r>
        <w:rPr>
          <w:rFonts w:ascii="Times New Roman" w:hAnsi="Times New Roman"/>
          <w:sz w:val="20"/>
        </w:rPr>
        <w:t xml:space="preserve">Section 9.07 </w:t>
      </w:r>
      <w:r>
        <w:rPr>
          <w:rFonts w:ascii="Times New Roman" w:hAnsi="Times New Roman"/>
          <w:sz w:val="20"/>
          <w:u w:val="single"/>
        </w:rPr>
        <w:t>Severability</w:t>
      </w:r>
      <w:r>
        <w:rPr>
          <w:rFonts w:ascii="Times New Roman" w:hAnsi="Times New Roman"/>
          <w:sz w:val="20"/>
        </w:rPr>
        <w:t xml:space="preserve">.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 </w:t>
      </w:r>
    </w:p>
    <w:p>
      <w:pPr>
        <w:pStyle w:val="TextBody"/>
        <w:bidi w:val="0"/>
        <w:spacing w:before="240" w:after="0"/>
        <w:jc w:val="left"/>
        <w:rPr>
          <w:rFonts w:ascii="Times New Roman" w:hAnsi="Times New Roman"/>
          <w:sz w:val="20"/>
        </w:rPr>
      </w:pPr>
      <w:r>
        <w:rPr>
          <w:rFonts w:ascii="Times New Roman" w:hAnsi="Times New Roman"/>
          <w:sz w:val="20"/>
        </w:rPr>
        <w:t xml:space="preserve">Section 9.08 </w:t>
      </w:r>
      <w:r>
        <w:rPr>
          <w:rFonts w:ascii="Times New Roman" w:hAnsi="Times New Roman"/>
          <w:sz w:val="20"/>
          <w:u w:val="single"/>
        </w:rPr>
        <w:t>Right of Setoff</w:t>
      </w:r>
      <w:r>
        <w:rPr>
          <w:rFonts w:ascii="Times New Roman" w:hAnsi="Times New Roman"/>
          <w:sz w:val="20"/>
        </w:rPr>
        <w:t xml:space="preserve">. If an Event of Default shall have occurred and be continuing, each Lender, each Issuing Lender and each of their respective Affiliates is hereby authorized at any time and from time to time, to the fullest extent permitted by applicable law, to set off and apply any and all deposits (general or special, time or demand, provisional or final, in whatever currency) at any time held and other obligations (in whatever currency) at any time owing by such Lender, such Issuing Lender or any such Affiliate to or for the credit or the account of any Borrower against any and all of the obligations of the Borrowers now or hereafter existing under this Agreement or any other Loan Document to such Lender or such Issuing Lender, irrespective of whether or not such Lender or such Issuing Lender shall have made any demand under this Agreement or any other Loan Document and although such obligations of the Borrowers may be contingent or unmatured or are owed to a branch or office of such Lender or such Issuing Lender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different from the branch or office holding such deposit or obligated on such indebtedness; </w:t>
      </w:r>
      <w:r>
        <w:rPr>
          <w:rFonts w:ascii="Times New Roman" w:hAnsi="Times New Roman"/>
          <w:sz w:val="20"/>
          <w:u w:val="single"/>
        </w:rPr>
        <w:t>provided</w:t>
      </w:r>
      <w:r>
        <w:rPr>
          <w:rFonts w:ascii="Times New Roman" w:hAnsi="Times New Roman"/>
          <w:sz w:val="20"/>
        </w:rPr>
        <w:t xml:space="preserve"> that in the event that any Defaulting Lender shall exercise any such right of setoff, (i) all amounts so set off shall be paid over immediately to the Administrative Agent for further application in accordance with the provisions of </w:t>
      </w:r>
      <w:r>
        <w:rPr>
          <w:rFonts w:ascii="Times New Roman" w:hAnsi="Times New Roman"/>
          <w:sz w:val="20"/>
          <w:u w:val="single"/>
        </w:rPr>
        <w:t>Section 2.18</w:t>
      </w:r>
      <w:r>
        <w:rPr>
          <w:rFonts w:ascii="Times New Roman" w:hAnsi="Times New Roman"/>
          <w:sz w:val="20"/>
        </w:rPr>
        <w:t xml:space="preserve"> and, pending such payment, shall be segregated by such Defaulting Lender from its other funds and deemed held in trust for the benefit of the Administrative Agent, the Issuing Lenders and the Lenders, and (ii) the Defaulting Lender shall provide promptly to the Administrative Agent a statement describing in reasonable detail the Obligations owing to such Defaulting Lender as to which it exercised such right of setoff. The rights of each Lender, each Issuing Lender and their respective Affiliates under this Section are in addition to other rights and remedies (including other rights of setoff) that such Lender, such Issuing Lender or their respective Affiliates may have. Each Lender and each Issuing Lender agrees to notify GEO and the Administrative Agent promptly after any such setoff and application; </w:t>
      </w:r>
      <w:r>
        <w:rPr>
          <w:rFonts w:ascii="Times New Roman" w:hAnsi="Times New Roman"/>
          <w:sz w:val="20"/>
          <w:u w:val="single"/>
        </w:rPr>
        <w:t>provided</w:t>
      </w:r>
      <w:r>
        <w:rPr>
          <w:rFonts w:ascii="Times New Roman" w:hAnsi="Times New Roman"/>
          <w:sz w:val="20"/>
        </w:rPr>
        <w:t xml:space="preserve"> that the failure to give such notice shall not affect the validity of such setoff and application. </w:t>
      </w:r>
    </w:p>
    <w:p>
      <w:pPr>
        <w:pStyle w:val="TextBody"/>
        <w:bidi w:val="0"/>
        <w:spacing w:before="240" w:after="0"/>
        <w:jc w:val="left"/>
        <w:rPr>
          <w:rFonts w:ascii="Times New Roman" w:hAnsi="Times New Roman"/>
          <w:sz w:val="20"/>
        </w:rPr>
      </w:pPr>
      <w:r>
        <w:rPr>
          <w:rFonts w:ascii="Times New Roman" w:hAnsi="Times New Roman"/>
          <w:sz w:val="20"/>
        </w:rPr>
        <w:t xml:space="preserve">Section 9.09 </w:t>
      </w:r>
      <w:r>
        <w:rPr>
          <w:rFonts w:ascii="Times New Roman" w:hAnsi="Times New Roman"/>
          <w:sz w:val="20"/>
          <w:u w:val="single"/>
        </w:rPr>
        <w:t>Governing Law; Jurisdiction; Etc.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Governing Law</w:t>
      </w:r>
      <w:r>
        <w:rPr>
          <w:rFonts w:ascii="Times New Roman" w:hAnsi="Times New Roman"/>
          <w:sz w:val="20"/>
        </w:rPr>
        <w:t xml:space="preserve">. This Agreement and the other Loan Documents (other than as expressly set forth in any such other Loan Documents) and any claim, controversy or dispute arising under or related to this Agreement and the other Loan Documents (other than as expressly set forth in any such other Loan Documents), whether in tort, contract (at law or in equity) or otherwise, shall be governed by, and construed in accordance with, the laws of the State of New York.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Submission to Jurisdiction</w:t>
      </w:r>
      <w:r>
        <w:rPr>
          <w:rFonts w:ascii="Times New Roman" w:hAnsi="Times New Roman"/>
          <w:sz w:val="20"/>
        </w:rPr>
        <w:t xml:space="preserve">. Each Borrower irrevocably and unconditionally submit, for itself and its property, to the exclusive jurisdiction (except for proceedings instituted in regard to the enforcement of a judgment of any such court, as to which such jurisdiction is non-exclusive) of the Supreme Court of the State of New York and of the United States District Court for the Southern District of New York, in each case sitting in New York County, and any appellate court from any thereof, in any action or proceeding arising out of or relating to this Agreement or any other Loan Document, or for recognition or enforcement of any judgment,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or proceeding shall be conclusive and may be enforced in other jurisdictions by suit on the judgment or in any other manner provided by law. Nothing in this Agreement or in any other Loan Document shall affect any right that the Administrative Agent, any Issuing Lender or any Lender may otherwise have to bring any action or proceeding relating to this Agreement or any other Loan Document against any Borrower or any of its respective properties in the courts of any jurisdiction.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Waiver of Venue</w:t>
      </w:r>
      <w:r>
        <w:rPr>
          <w:rFonts w:ascii="Times New Roman" w:hAnsi="Times New Roman"/>
          <w:sz w:val="20"/>
        </w:rPr>
        <w:t xml:space="preserve">. Each Borrower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w:t>
      </w:r>
      <w:r>
        <w:rPr>
          <w:rFonts w:ascii="Times New Roman" w:hAnsi="Times New Roman"/>
          <w:sz w:val="20"/>
          <w:u w:val="single"/>
        </w:rPr>
        <w:t>Section 9.09(b)</w:t>
      </w:r>
      <w:r>
        <w:rPr>
          <w:rFonts w:ascii="Times New Roman" w:hAnsi="Times New Roman"/>
          <w:sz w:val="20"/>
        </w:rPr>
        <w:t xml:space="preserve">. Each of the parties hereto irrevocably waives, to the fullest extent permitted by applicable law, the defense of an inconvenient forum to the maintenance of such action or proceeding in any such court.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Service of Process</w:t>
      </w:r>
      <w:r>
        <w:rPr>
          <w:rFonts w:ascii="Times New Roman" w:hAnsi="Times New Roman"/>
          <w:sz w:val="20"/>
        </w:rPr>
        <w:t xml:space="preserve">. Each party hereto irrevocably consents to service of process in the manner provided for notices in </w:t>
      </w:r>
      <w:r>
        <w:rPr>
          <w:rFonts w:ascii="Times New Roman" w:hAnsi="Times New Roman"/>
          <w:sz w:val="20"/>
          <w:u w:val="single"/>
        </w:rPr>
        <w:t>Section 9.01</w:t>
      </w:r>
      <w:r>
        <w:rPr>
          <w:rFonts w:ascii="Times New Roman" w:hAnsi="Times New Roman"/>
          <w:sz w:val="20"/>
        </w:rPr>
        <w:t xml:space="preserve">. Nothing in this Agreement will affect the right of any party hereto to serve process in any other manner permitted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Section 9.10 </w:t>
      </w:r>
      <w:r>
        <w:rPr>
          <w:rFonts w:ascii="Times New Roman" w:hAnsi="Times New Roman"/>
          <w:sz w:val="20"/>
          <w:u w:val="single"/>
        </w:rPr>
        <w:t>WAIVER OF JURY TRIAL</w:t>
      </w:r>
      <w:r>
        <w:rPr>
          <w:rFonts w:ascii="Times New Roman" w:hAnsi="Times New Roman"/>
          <w:sz w:val="20"/>
        </w:rPr>
        <w:t xml:space="preserve">. 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 </w:t>
      </w:r>
    </w:p>
    <w:p>
      <w:pPr>
        <w:pStyle w:val="TextBody"/>
        <w:bidi w:val="0"/>
        <w:spacing w:before="240" w:after="0"/>
        <w:jc w:val="left"/>
        <w:rPr>
          <w:rFonts w:ascii="Times New Roman" w:hAnsi="Times New Roman"/>
          <w:sz w:val="20"/>
        </w:rPr>
      </w:pPr>
      <w:r>
        <w:rPr>
          <w:rFonts w:ascii="Times New Roman" w:hAnsi="Times New Roman"/>
          <w:sz w:val="20"/>
        </w:rPr>
        <w:t xml:space="preserve">Section 9.11 </w:t>
      </w:r>
      <w:r>
        <w:rPr>
          <w:rFonts w:ascii="Times New Roman" w:hAnsi="Times New Roman"/>
          <w:sz w:val="20"/>
          <w:u w:val="single"/>
        </w:rPr>
        <w:t>Headings</w:t>
      </w:r>
      <w:r>
        <w:rPr>
          <w:rFonts w:ascii="Times New Roman" w:hAnsi="Times New Roman"/>
          <w:sz w:val="20"/>
        </w:rPr>
        <w:t xml:space="preserve">. Article and Section headings and the Table of Contents used herein are for convenience of reference only, are not part of this Agreement and shall not affect the construction of, or be taken into consideration in interpreting,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9.12 </w:t>
      </w:r>
      <w:r>
        <w:rPr>
          <w:rFonts w:ascii="Times New Roman" w:hAnsi="Times New Roman"/>
          <w:sz w:val="20"/>
          <w:u w:val="single"/>
        </w:rPr>
        <w:t>Treatment of Certain Information; Confidentiality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Treatment of Certain Information</w:t>
      </w:r>
      <w:r>
        <w:rPr>
          <w:rFonts w:ascii="Times New Roman" w:hAnsi="Times New Roman"/>
          <w:sz w:val="20"/>
        </w:rPr>
        <w:t xml:space="preserve">. Each Borrower acknowledges that from time to time financial advisory, investment banking and other services may be offered or provided to GEO or one or more of its Subsidiaries (in connection with this Agreement or otherwise) by any Lender or by one or more subsidiaries or affiliates of such Lender and the Borrowers hereby authorize each Lender to share any information delivered to such Lender by GEO or any of its Subsidiaries pursuant to this Agreement, or in connection with the decision of such Lender to enter into this Agreement, to any such subsidiary or affiliate, it being understood that any such subsidiary or affiliate receiving such information shall be bound by the provisions of </w:t>
      </w:r>
      <w:r>
        <w:rPr>
          <w:rFonts w:ascii="Times New Roman" w:hAnsi="Times New Roman"/>
          <w:sz w:val="20"/>
          <w:u w:val="single"/>
        </w:rPr>
        <w:t>Section 9.12(b)</w:t>
      </w:r>
      <w:r>
        <w:rPr>
          <w:rFonts w:ascii="Times New Roman" w:hAnsi="Times New Roman"/>
          <w:sz w:val="20"/>
        </w:rPr>
        <w:t xml:space="preserve"> as if it were a Lender hereunder. Such authorization shall survive the repayment of the Loans, the expiration or termination of the Letters of Credit and the Commitments or the termination of this Agreement or any provision hereof.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Confidentiality</w:t>
      </w:r>
      <w:r>
        <w:rPr>
          <w:rFonts w:ascii="Times New Roman" w:hAnsi="Times New Roman"/>
          <w:sz w:val="20"/>
        </w:rPr>
        <w:t xml:space="preserve">. Each of the Administrative Agent, the Issuing Lenders and the Lenders agrees to maintain the confidentiality of the Information (as defined below), except that Information may be disclosed (i) to its Affiliates and Related Parties (it being understood that the Persons to whom such disclosure is made will be informed of the confidential nature of such Information and instructed to keep such Information confidential), (ii) to the extent required or requested by any regulatory authority purporting to have jurisdiction over such Person or its Related Parties (including any self-regulatory authority, such as the National Association of Insurance Commissioners), (iii) to the extent required by applicable laws or regulations or by any subpoena or similar legal process, (iv) to any other party hereto, (v) in connection with the exercise of any remedies hereunder or under any other Loan Document or any action or proceeding relating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to this Agreement or any other Loan Document or the enforcement of rights hereunder or thereunder, (vi) subject to an agreement containing provisions substantially the same as those of this Section, to (A) any assignee of or Participant in, or any prospective assignee of or Participant in, any of its rights or obligations under this Agreement or (B) any actual or prospective counterparty (or its advisors) to any swap or derivative transaction relating to the Loan Parties and their obligations, (vii) on a confidential basis to (A) any rating agency in connection with rating GEO and its Subsidiaries or the credit facilities established or documented under this Agreement or (B) the CUSIP Service Bureau or any similar agency in connection with the issuance and monitoring of CUSIP numbers with respect to the credit facilities established or documented under this Agreement, (viii) with the consent of GEO or (ix) to the extent such Information (A) becomes publicly available other than as a result of a breach of this Section or (B) becomes available to the Administrative Agent, any Issuing Lender or any Lender or any of their respective Affiliates on a nonconfidential basis from a source other than GEO. </w:t>
      </w:r>
    </w:p>
    <w:p>
      <w:pPr>
        <w:pStyle w:val="TextBody"/>
        <w:bidi w:val="0"/>
        <w:spacing w:before="240" w:after="0"/>
        <w:jc w:val="left"/>
        <w:rPr>
          <w:rFonts w:ascii="Times New Roman" w:hAnsi="Times New Roman"/>
          <w:sz w:val="20"/>
        </w:rPr>
      </w:pPr>
      <w:r>
        <w:rPr>
          <w:rFonts w:ascii="Times New Roman" w:hAnsi="Times New Roman"/>
          <w:sz w:val="20"/>
        </w:rPr>
        <w:t>For purposes of this Section, “</w:t>
      </w:r>
      <w:r>
        <w:rPr>
          <w:rFonts w:ascii="Times New Roman" w:hAnsi="Times New Roman"/>
          <w:sz w:val="20"/>
          <w:u w:val="single"/>
        </w:rPr>
        <w:t>Information</w:t>
      </w:r>
      <w:r>
        <w:rPr>
          <w:rFonts w:ascii="Times New Roman" w:hAnsi="Times New Roman"/>
          <w:sz w:val="20"/>
        </w:rPr>
        <w:t xml:space="preserve">” means all information received from the Borrowers or any of their respective Subsidiaries relating to the Borrowers or any of their respective Subsidiaries or any of their respective businesses, other than any such information that is available to the Administrative Agent, any Issuing Lender or any Lender on a nonconfidential basis prior to disclosure by the Borrowers or any of their respective Subsidiaries; </w:t>
      </w:r>
      <w:r>
        <w:rPr>
          <w:rFonts w:ascii="Times New Roman" w:hAnsi="Times New Roman"/>
          <w:sz w:val="20"/>
          <w:u w:val="single"/>
        </w:rPr>
        <w:t>provided</w:t>
      </w:r>
      <w:r>
        <w:rPr>
          <w:rFonts w:ascii="Times New Roman" w:hAnsi="Times New Roman"/>
          <w:sz w:val="20"/>
        </w:rPr>
        <w:t xml:space="preserve"> that, in the case of information received from the Borrowers or any of their respective Subsidiaries after the date hereof, such information shall be deemed confidential unless clearly identified as “PUBLIC” at the time of delivery.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 </w:t>
      </w:r>
    </w:p>
    <w:p>
      <w:pPr>
        <w:pStyle w:val="TextBody"/>
        <w:bidi w:val="0"/>
        <w:spacing w:before="240" w:after="0"/>
        <w:jc w:val="left"/>
        <w:rPr>
          <w:rFonts w:ascii="Times New Roman" w:hAnsi="Times New Roman"/>
          <w:sz w:val="20"/>
        </w:rPr>
      </w:pPr>
      <w:r>
        <w:rPr>
          <w:rFonts w:ascii="Times New Roman" w:hAnsi="Times New Roman"/>
          <w:sz w:val="20"/>
        </w:rPr>
        <w:t xml:space="preserve">Section 9.13 </w:t>
      </w:r>
      <w:r>
        <w:rPr>
          <w:rFonts w:ascii="Times New Roman" w:hAnsi="Times New Roman"/>
          <w:sz w:val="20"/>
          <w:u w:val="single"/>
        </w:rPr>
        <w:t>USA PATRIOT Act</w:t>
      </w:r>
      <w:r>
        <w:rPr>
          <w:rFonts w:ascii="Times New Roman" w:hAnsi="Times New Roman"/>
          <w:sz w:val="20"/>
        </w:rPr>
        <w:t xml:space="preserve">. Each Lender hereby notifies the Borrowers that pursuant to the requirements of the Patriot Act, such Lender may be required to obtain, verify and record information that identifies the Loan Parties, which information includes the name, address and tax identification number of the Loan Parties and other information that will allow such Lender to identify the Loan Parties in accordance with said Patriot Act. Each Borrower hereby agrees to provide and verify any such required information promptly following the written request therefor by the Administrative Agent or any Lender. </w:t>
      </w:r>
    </w:p>
    <w:p>
      <w:pPr>
        <w:pStyle w:val="TextBody"/>
        <w:bidi w:val="0"/>
        <w:spacing w:before="240" w:after="0"/>
        <w:jc w:val="left"/>
        <w:rPr>
          <w:rFonts w:ascii="Times New Roman" w:hAnsi="Times New Roman"/>
          <w:sz w:val="20"/>
        </w:rPr>
      </w:pPr>
      <w:r>
        <w:rPr>
          <w:rFonts w:ascii="Times New Roman" w:hAnsi="Times New Roman"/>
          <w:sz w:val="20"/>
        </w:rPr>
        <w:t xml:space="preserve">Section 9.14 </w:t>
      </w:r>
      <w:r>
        <w:rPr>
          <w:rFonts w:ascii="Times New Roman" w:hAnsi="Times New Roman"/>
          <w:sz w:val="20"/>
          <w:u w:val="single"/>
        </w:rPr>
        <w:t>Interest Rate Limitation</w:t>
      </w:r>
      <w:r>
        <w:rPr>
          <w:rFonts w:ascii="Times New Roman" w:hAnsi="Times New Roman"/>
          <w:sz w:val="20"/>
        </w:rPr>
        <w:t>. Notwithstanding anything herein to the contrary, if at any time the interest rate applicable to any Loan, together with all fees, charges and other amounts which are treated as interest on such Loan under applicable law (collectively the “</w:t>
      </w:r>
      <w:r>
        <w:rPr>
          <w:rFonts w:ascii="Times New Roman" w:hAnsi="Times New Roman"/>
          <w:sz w:val="20"/>
          <w:u w:val="single"/>
        </w:rPr>
        <w:t>Charges</w:t>
      </w:r>
      <w:r>
        <w:rPr>
          <w:rFonts w:ascii="Times New Roman" w:hAnsi="Times New Roman"/>
          <w:sz w:val="20"/>
        </w:rPr>
        <w:t>”), shall exceed the maximum lawful rate (the “</w:t>
      </w:r>
      <w:r>
        <w:rPr>
          <w:rFonts w:ascii="Times New Roman" w:hAnsi="Times New Roman"/>
          <w:sz w:val="20"/>
          <w:u w:val="single"/>
        </w:rPr>
        <w:t>Maximum Rate</w:t>
      </w:r>
      <w:r>
        <w:rPr>
          <w:rFonts w:ascii="Times New Roman" w:hAnsi="Times New Roman"/>
          <w:sz w:val="20"/>
        </w:rPr>
        <w:t xml:space="preserve">”) which may be contracted for, charged, taken, received or reserved by the Lender holding such Loan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w:t>
      </w:r>
      <w:r>
        <w:rPr>
          <w:rFonts w:ascii="Times New Roman" w:hAnsi="Times New Roman"/>
          <w:sz w:val="20"/>
          <w:u w:val="single"/>
        </w:rPr>
        <w:t>Section 9.14</w:t>
      </w:r>
      <w:r>
        <w:rPr>
          <w:rFonts w:ascii="Times New Roman" w:hAnsi="Times New Roman"/>
          <w:sz w:val="20"/>
        </w:rPr>
        <w:t xml:space="preserve"> shall be cumulated and the interest and Charges payable to such Lender in respect of other Loans or periods shall be increased (but not above the Maximum Rate therefor) until such cumulated amount, together with interest thereon at the Federal Funds Rate for each day to the date of repayment, shall have been received by such Lender.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9.15 </w:t>
      </w:r>
      <w:r>
        <w:rPr>
          <w:rFonts w:ascii="Times New Roman" w:hAnsi="Times New Roman"/>
          <w:sz w:val="20"/>
          <w:u w:val="single"/>
        </w:rPr>
        <w:t>Judgment Currency</w:t>
      </w:r>
      <w:r>
        <w:rPr>
          <w:rFonts w:ascii="Times New Roman" w:hAnsi="Times New Roman"/>
          <w:sz w:val="20"/>
        </w:rPr>
        <w:t>. This is an international loan transaction in which the specification of Dollars or any Foreign Currency, as the case may be (the “</w:t>
      </w:r>
      <w:r>
        <w:rPr>
          <w:rFonts w:ascii="Times New Roman" w:hAnsi="Times New Roman"/>
          <w:sz w:val="20"/>
          <w:u w:val="single"/>
        </w:rPr>
        <w:t>Specified Currency</w:t>
      </w:r>
      <w:r>
        <w:rPr>
          <w:rFonts w:ascii="Times New Roman" w:hAnsi="Times New Roman"/>
          <w:sz w:val="20"/>
        </w:rPr>
        <w:t>”), and payment in New York City or the country of the Specified Currency, as the case may be (the “</w:t>
      </w:r>
      <w:r>
        <w:rPr>
          <w:rFonts w:ascii="Times New Roman" w:hAnsi="Times New Roman"/>
          <w:sz w:val="20"/>
          <w:u w:val="single"/>
        </w:rPr>
        <w:t>Specified</w:t>
      </w:r>
      <w:r>
        <w:rPr>
          <w:rFonts w:ascii="Times New Roman" w:hAnsi="Times New Roman"/>
          <w:sz w:val="20"/>
        </w:rPr>
        <w:t xml:space="preserve"> </w:t>
      </w:r>
      <w:r>
        <w:rPr>
          <w:rFonts w:ascii="Times New Roman" w:hAnsi="Times New Roman"/>
          <w:sz w:val="20"/>
          <w:u w:val="single"/>
        </w:rPr>
        <w:t>Place</w:t>
      </w:r>
      <w:r>
        <w:rPr>
          <w:rFonts w:ascii="Times New Roman" w:hAnsi="Times New Roman"/>
          <w:sz w:val="20"/>
        </w:rPr>
        <w:t>”), is of the essence, and the Specified Currency shall be the currency of account in all events relating to Loans denominated in the Specified Currency. The payment obligations of the Borrowers under this Agreement shall not be discharged or satisfied by an amount paid in another currency or in another place, whether pursuant to a judgment or otherwise, to the extent that the amount so paid on conversion to the Specified Currency and transfer to the Specified Place under normal banking procedures does not yield the amount of the Specified Currency at the Specified Place due hereunder. If for the purpose of obtaining judgment in any court it is necessary to convert a sum due hereunder in the Specified Currency into another currency (the “</w:t>
      </w:r>
      <w:r>
        <w:rPr>
          <w:rFonts w:ascii="Times New Roman" w:hAnsi="Times New Roman"/>
          <w:sz w:val="20"/>
          <w:u w:val="single"/>
        </w:rPr>
        <w:t>Second Currency</w:t>
      </w:r>
      <w:r>
        <w:rPr>
          <w:rFonts w:ascii="Times New Roman" w:hAnsi="Times New Roman"/>
          <w:sz w:val="20"/>
        </w:rPr>
        <w:t>”), the rate of exchange that shall be applied shall be the rate at which in accordance with normal banking procedures the Administrative Agent could purchase the Specified Currency with the Second Currency on the Business Day next preceding the day on which such judgment is rendered. The obligation of the Borrowers in respect of any such sum due from them to the Administrative Agent or any Lender hereunder or under any other Loan Document (in this Section called an “</w:t>
      </w:r>
      <w:r>
        <w:rPr>
          <w:rFonts w:ascii="Times New Roman" w:hAnsi="Times New Roman"/>
          <w:sz w:val="20"/>
          <w:u w:val="single"/>
        </w:rPr>
        <w:t>Entitled Person</w:t>
      </w:r>
      <w:r>
        <w:rPr>
          <w:rFonts w:ascii="Times New Roman" w:hAnsi="Times New Roman"/>
          <w:sz w:val="20"/>
        </w:rPr>
        <w:t xml:space="preserve">”) shall, notwithstanding the rate of exchange actually applied in rendering such judgment, be discharged only to the extent that on the Business Day following receipt by such Entitled Person of any sum adjudged to be due hereunder in the Second Currency such Entitled Person may in accordance with normal banking procedures purchase and transfer to the Specified Place the Specified Currency with the amount of the Second Currency so adjudged to be due; and the Borrowers hereby, as a separate obligation and notwithstanding any such judgment, agree to indemnify such Entitled Person against, and to pay such Entitled Person on demand, in the Specified Currency, the amount (if any) by which the sum originally due to such Entitled Person in the Specified Currency hereunder exceeds the amount of the Specified Currency so purchased and transferred. </w:t>
      </w:r>
    </w:p>
    <w:p>
      <w:pPr>
        <w:pStyle w:val="TextBody"/>
        <w:bidi w:val="0"/>
        <w:spacing w:before="240" w:after="0"/>
        <w:jc w:val="left"/>
        <w:rPr>
          <w:rFonts w:ascii="Times New Roman" w:hAnsi="Times New Roman"/>
          <w:sz w:val="20"/>
        </w:rPr>
      </w:pPr>
      <w:r>
        <w:rPr>
          <w:rFonts w:ascii="Times New Roman" w:hAnsi="Times New Roman"/>
          <w:sz w:val="20"/>
        </w:rPr>
        <w:t xml:space="preserve">Section 9.16 </w:t>
      </w:r>
      <w:r>
        <w:rPr>
          <w:rFonts w:ascii="Times New Roman" w:hAnsi="Times New Roman"/>
          <w:sz w:val="20"/>
          <w:u w:val="single"/>
        </w:rPr>
        <w:t>Acknowledgement and Consent to Bail-In of Affected Financial Institutions</w:t>
      </w:r>
      <w:r>
        <w:rPr>
          <w:rFonts w:ascii="Times New Roman" w:hAnsi="Times New Roman"/>
          <w:sz w:val="20"/>
        </w:rPr>
        <w:t xml:space="preserve">.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 </w:t>
      </w:r>
    </w:p>
    <w:p>
      <w:pPr>
        <w:pStyle w:val="TextBody"/>
        <w:bidi w:val="0"/>
        <w:spacing w:before="120" w:after="0"/>
        <w:jc w:val="left"/>
        <w:rPr>
          <w:rFonts w:ascii="Times New Roman" w:hAnsi="Times New Roman"/>
          <w:sz w:val="20"/>
        </w:rPr>
      </w:pPr>
      <w:r>
        <w:rPr>
          <w:rFonts w:ascii="Times New Roman" w:hAnsi="Times New Roman"/>
          <w:sz w:val="20"/>
        </w:rPr>
        <w:t xml:space="preserve">(a) the application of any Write-Down and Conversion Powers by the applicable Resolution Authority to any such liabilities arising hereunder that may be payable to it by any party hereto that is an Affected Financial Institution; and </w:t>
      </w:r>
    </w:p>
    <w:p>
      <w:pPr>
        <w:pStyle w:val="TextBody"/>
        <w:bidi w:val="0"/>
        <w:spacing w:before="240" w:after="0"/>
        <w:jc w:val="left"/>
        <w:rPr>
          <w:rFonts w:ascii="Times New Roman" w:hAnsi="Times New Roman"/>
          <w:sz w:val="20"/>
        </w:rPr>
      </w:pPr>
      <w:r>
        <w:rPr>
          <w:rFonts w:ascii="Times New Roman" w:hAnsi="Times New Roman"/>
          <w:sz w:val="20"/>
        </w:rPr>
        <w:t xml:space="preserve">(b) the effects of any Bail-In Action on any such liability, including, if applicable: </w:t>
      </w:r>
    </w:p>
    <w:p>
      <w:pPr>
        <w:pStyle w:val="TextBody"/>
        <w:bidi w:val="0"/>
        <w:spacing w:before="120" w:after="0"/>
        <w:jc w:val="left"/>
        <w:rPr>
          <w:rFonts w:ascii="Times New Roman" w:hAnsi="Times New Roman"/>
          <w:sz w:val="20"/>
        </w:rPr>
      </w:pPr>
      <w:r>
        <w:rPr>
          <w:rFonts w:ascii="Times New Roman" w:hAnsi="Times New Roman"/>
          <w:sz w:val="20"/>
        </w:rPr>
        <w:t xml:space="preserve">(i) a reduction in full or in part or cancellation of any such liability; </w:t>
      </w:r>
    </w:p>
    <w:p>
      <w:pPr>
        <w:pStyle w:val="TextBody"/>
        <w:bidi w:val="0"/>
        <w:spacing w:before="120" w:after="0"/>
        <w:jc w:val="left"/>
        <w:rPr>
          <w:rFonts w:ascii="Times New Roman" w:hAnsi="Times New Roman"/>
          <w:sz w:val="20"/>
        </w:rPr>
      </w:pPr>
      <w:r>
        <w:rPr>
          <w:rFonts w:ascii="Times New Roman" w:hAnsi="Times New Roman"/>
          <w:sz w:val="20"/>
        </w:rPr>
        <w:t xml:space="preserve">(ii) 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the variation of the terms of such liability in connection with the exercise of the Write-Down and Conversion Powers of the applicable Resolution Authority. </w:t>
      </w:r>
    </w:p>
    <w:p>
      <w:pPr>
        <w:pStyle w:val="TextBody"/>
        <w:bidi w:val="0"/>
        <w:spacing w:before="240" w:after="0"/>
        <w:jc w:val="left"/>
        <w:rPr>
          <w:rFonts w:ascii="Times New Roman" w:hAnsi="Times New Roman"/>
          <w:sz w:val="20"/>
        </w:rPr>
      </w:pPr>
      <w:r>
        <w:rPr>
          <w:rFonts w:ascii="Times New Roman" w:hAnsi="Times New Roman"/>
          <w:sz w:val="20"/>
        </w:rPr>
        <w:t xml:space="preserve">Section 9.17 </w:t>
      </w:r>
      <w:r>
        <w:rPr>
          <w:rFonts w:ascii="Times New Roman" w:hAnsi="Times New Roman"/>
          <w:sz w:val="20"/>
          <w:u w:val="single"/>
        </w:rPr>
        <w:t>Acknowledgement Regarding Any Supported QFCs</w:t>
      </w:r>
      <w:r>
        <w:rPr>
          <w:rFonts w:ascii="Times New Roman" w:hAnsi="Times New Roman"/>
          <w:sz w:val="20"/>
        </w:rPr>
        <w:t>. To the extent that the Loan Documents provide support, through a guarantee or otherwise, for any Swap Obligations or any other agreement or instrument that is a QFC (such support, “</w:t>
      </w:r>
      <w:r>
        <w:rPr>
          <w:rFonts w:ascii="Times New Roman" w:hAnsi="Times New Roman"/>
          <w:sz w:val="20"/>
          <w:u w:val="single"/>
        </w:rPr>
        <w:t>QFC Credit Support</w:t>
      </w:r>
      <w:r>
        <w:rPr>
          <w:rFonts w:ascii="Times New Roman" w:hAnsi="Times New Roman"/>
          <w:sz w:val="20"/>
        </w:rPr>
        <w:t>”, and each such QFC, a “</w:t>
      </w:r>
      <w:r>
        <w:rPr>
          <w:rFonts w:ascii="Times New Roman" w:hAnsi="Times New Roman"/>
          <w:sz w:val="20"/>
          <w:u w:val="single"/>
        </w:rPr>
        <w:t>Supported QFC</w:t>
      </w:r>
      <w:r>
        <w:rPr>
          <w:rFonts w:ascii="Times New Roman" w:hAnsi="Times New Roman"/>
          <w:sz w:val="20"/>
        </w:rPr>
        <w:t>”), the parties hereto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hAnsi="Times New Roman"/>
          <w:sz w:val="20"/>
          <w:u w:val="single"/>
        </w:rPr>
        <w:t>U.S. Special Resolution Regimes</w:t>
      </w:r>
      <w:r>
        <w:rPr>
          <w:rFonts w:ascii="Times New Roman" w:hAnsi="Times New Roman"/>
          <w:sz w:val="20"/>
        </w:rPr>
        <w:t xml:space="preserve">”)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 </w:t>
      </w:r>
    </w:p>
    <w:p>
      <w:pPr>
        <w:pStyle w:val="TextBody"/>
        <w:bidi w:val="0"/>
        <w:spacing w:before="120" w:after="0"/>
        <w:jc w:val="left"/>
        <w:rPr>
          <w:rFonts w:ascii="Times New Roman" w:hAnsi="Times New Roman"/>
          <w:sz w:val="20"/>
        </w:rPr>
      </w:pPr>
      <w:r>
        <w:rPr>
          <w:rFonts w:ascii="Times New Roman" w:hAnsi="Times New Roman"/>
          <w:sz w:val="20"/>
        </w:rPr>
        <w:t>(a) In the event a Covered Entity that is party to a Supported QFC (each, a “</w:t>
      </w:r>
      <w:r>
        <w:rPr>
          <w:rFonts w:ascii="Times New Roman" w:hAnsi="Times New Roman"/>
          <w:sz w:val="20"/>
          <w:u w:val="single"/>
        </w:rPr>
        <w:t>Covered Party</w:t>
      </w:r>
      <w:r>
        <w:rPr>
          <w:rFonts w:ascii="Times New Roman" w:hAnsi="Times New Roman"/>
          <w:sz w:val="20"/>
        </w:rPr>
        <w:t xml:space="preserve">”)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 </w:t>
      </w:r>
    </w:p>
    <w:p>
      <w:pPr>
        <w:pStyle w:val="TextBody"/>
        <w:bidi w:val="0"/>
        <w:spacing w:before="240" w:after="0"/>
        <w:jc w:val="left"/>
        <w:rPr>
          <w:rFonts w:ascii="Times New Roman" w:hAnsi="Times New Roman"/>
          <w:sz w:val="20"/>
        </w:rPr>
      </w:pPr>
      <w:r>
        <w:rPr>
          <w:rFonts w:ascii="Times New Roman" w:hAnsi="Times New Roman"/>
          <w:sz w:val="20"/>
        </w:rPr>
        <w:t xml:space="preserve">(b) As used in this </w:t>
      </w:r>
      <w:r>
        <w:rPr>
          <w:rFonts w:ascii="Times New Roman" w:hAnsi="Times New Roman"/>
          <w:sz w:val="20"/>
          <w:u w:val="single"/>
        </w:rPr>
        <w:t>Section 9.17</w:t>
      </w:r>
      <w:r>
        <w:rPr>
          <w:rFonts w:ascii="Times New Roman" w:hAnsi="Times New Roman"/>
          <w:sz w:val="20"/>
        </w:rPr>
        <w:t xml:space="preserve">, the following terms have the following meanings: </w:t>
      </w:r>
    </w:p>
    <w:p>
      <w:pPr>
        <w:pStyle w:val="TextBody"/>
        <w:bidi w:val="0"/>
        <w:spacing w:before="120" w:after="0"/>
        <w:jc w:val="left"/>
        <w:rPr>
          <w:rFonts w:ascii="Times New Roman" w:hAnsi="Times New Roman"/>
          <w:sz w:val="20"/>
        </w:rPr>
      </w:pPr>
      <w:r>
        <w:rPr>
          <w:rFonts w:ascii="Times New Roman" w:hAnsi="Times New Roman"/>
          <w:sz w:val="20"/>
        </w:rPr>
        <w:t>(i) “</w:t>
      </w:r>
      <w:r>
        <w:rPr>
          <w:rFonts w:ascii="Times New Roman" w:hAnsi="Times New Roman"/>
          <w:sz w:val="20"/>
          <w:u w:val="single"/>
        </w:rPr>
        <w:t>BHC Act Affiliate</w:t>
      </w:r>
      <w:r>
        <w:rPr>
          <w:rFonts w:ascii="Times New Roman" w:hAnsi="Times New Roman"/>
          <w:sz w:val="20"/>
        </w:rPr>
        <w:t xml:space="preserve">” of a party means an “affiliate” (as such term is defined under, and interpreted in accordance with, 12 U.S.C. 1841(k)) of such party. </w:t>
      </w:r>
    </w:p>
    <w:p>
      <w:pPr>
        <w:pStyle w:val="TextBody"/>
        <w:bidi w:val="0"/>
        <w:spacing w:before="120" w:after="0"/>
        <w:jc w:val="left"/>
        <w:rPr>
          <w:rFonts w:ascii="Times New Roman" w:hAnsi="Times New Roman"/>
          <w:sz w:val="20"/>
        </w:rPr>
      </w:pPr>
      <w:r>
        <w:rPr>
          <w:rFonts w:ascii="Times New Roman" w:hAnsi="Times New Roman"/>
          <w:sz w:val="20"/>
        </w:rPr>
        <w:t>(ii) “</w:t>
      </w:r>
      <w:r>
        <w:rPr>
          <w:rFonts w:ascii="Times New Roman" w:hAnsi="Times New Roman"/>
          <w:sz w:val="20"/>
          <w:u w:val="single"/>
        </w:rPr>
        <w:t>Covered Entity</w:t>
      </w:r>
      <w:r>
        <w:rPr>
          <w:rFonts w:ascii="Times New Roman" w:hAnsi="Times New Roman"/>
          <w:sz w:val="20"/>
        </w:rPr>
        <w:t xml:space="preserve">”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(iii) “</w:t>
      </w:r>
      <w:r>
        <w:rPr>
          <w:rFonts w:ascii="Times New Roman" w:hAnsi="Times New Roman"/>
          <w:sz w:val="20"/>
          <w:u w:val="single"/>
        </w:rPr>
        <w:t>Default Right</w:t>
      </w:r>
      <w:r>
        <w:rPr>
          <w:rFonts w:ascii="Times New Roman" w:hAnsi="Times New Roman"/>
          <w:sz w:val="20"/>
        </w:rPr>
        <w:t xml:space="preserve">” has the meaning assigned to that term in, and shall be interpreted in accordance with, 12 C.F.R. §§ 252.81, 47.2 or 382.1, as applicable. </w:t>
      </w:r>
    </w:p>
    <w:p>
      <w:pPr>
        <w:pStyle w:val="TextBody"/>
        <w:bidi w:val="0"/>
        <w:spacing w:before="120" w:after="0"/>
        <w:jc w:val="left"/>
        <w:rPr>
          <w:rFonts w:ascii="Times New Roman" w:hAnsi="Times New Roman"/>
          <w:sz w:val="20"/>
        </w:rPr>
      </w:pPr>
      <w:r>
        <w:rPr>
          <w:rFonts w:ascii="Times New Roman" w:hAnsi="Times New Roman"/>
          <w:sz w:val="20"/>
        </w:rPr>
        <w:t>(iv) “</w:t>
      </w:r>
      <w:r>
        <w:rPr>
          <w:rFonts w:ascii="Times New Roman" w:hAnsi="Times New Roman"/>
          <w:sz w:val="20"/>
          <w:u w:val="single"/>
        </w:rPr>
        <w:t>QFC</w:t>
      </w:r>
      <w:r>
        <w:rPr>
          <w:rFonts w:ascii="Times New Roman" w:hAnsi="Times New Roman"/>
          <w:sz w:val="20"/>
        </w:rPr>
        <w:t xml:space="preserve">” has the meaning assigned to the term “qualified financial contract” in, and shall be interpreted in accordance with, 12 U.S.C. 5390(c)(8)(D) . </w:t>
      </w:r>
    </w:p>
    <w:p>
      <w:pPr>
        <w:pStyle w:val="TextBody"/>
        <w:bidi w:val="0"/>
        <w:spacing w:before="240" w:after="0"/>
        <w:jc w:val="left"/>
        <w:rPr>
          <w:rFonts w:ascii="Times New Roman" w:hAnsi="Times New Roman"/>
          <w:sz w:val="20"/>
        </w:rPr>
      </w:pPr>
      <w:r>
        <w:rPr>
          <w:rFonts w:ascii="Times New Roman" w:hAnsi="Times New Roman"/>
          <w:sz w:val="20"/>
        </w:rPr>
        <w:t xml:space="preserve">Section 9.18 </w:t>
      </w:r>
      <w:r>
        <w:rPr>
          <w:rFonts w:ascii="Times New Roman" w:hAnsi="Times New Roman"/>
          <w:sz w:val="20"/>
          <w:u w:val="single"/>
        </w:rPr>
        <w:t>Prepayment Premium</w:t>
      </w:r>
      <w:r>
        <w:rPr>
          <w:rFonts w:ascii="Times New Roman" w:hAnsi="Times New Roman"/>
          <w:sz w:val="20"/>
        </w:rPr>
        <w:t xml:space="preserve">. It is understood and agreed that the Prepayment Premium applicable at the time of a Prepayment Premium Trigger Event shall constitute part of the Obligations, in view of the impracticability and extreme difficulty of ascertaining actual damages and by mutual agreement of the parties as to a reasonable calculation of each Term Lender’s lost profits as a result thereof. Any Prepayment Premium payable under the terms of this Agreement shall be presumed to be the liquidated damages sustained by each Term Lender as the result of the early termination, and each Borrower agrees that it is reasonable under the circumstances currently existing. The Prepayment Premium (if any) shall also become due and payable under this Agreement in the event the Obligations (and/or this Agreement) are satisfied or released by foreclosure (whether by power of judicial proceeding), deed in lieu of foreclosure or by any other means or the Obligations are reinstated pursuant to Section 1124 of the Bankruptcy Code of the United States. In the event the Prepayment Premium is determined not to be due and payable by order of any court of competent jurisdiction, including by operation any Debtor Relief Laws, despite such a triggering event having occurred, the Prepayment Premium shall nonetheless constitute Obligations under this Agreement for all purposes hereunder. EACH LOAN PARTY EXPRESSLY WAIVES (TO THE FULLEST EXTENT IT MAY LAWFULLY DO SO) THE PROVISIONS OF ANY PRESENT OR FUTURE STATUTE OR LAW THAT PROHIBITS OR MAY PROHIBIT THE COLLECTION OF THE FOREGOING PREPAYMENT PREMIUM IN CONNECTION WITH SUCH PREPAYMENT OR ACCELERATION. Each Borrower expressly agrees (to the fullest extent that it may lawfully do so) that: (A) the Prepayment Premium is reasonable and is the product of an arm’s length transaction between sophisticated business people, ably represented by counsel; (B) the Prepayment Premium shall be payable notwithstanding the then-prevailing market rates at the time payment is made; (C) there has been a course of conduct between the Term Lenders and the Borrowers giving specific consideration in this transaction for such agreement to pay the Prepayment Premium; and (D) each Borrower shall be estopped hereafter from claiming differently than as agreed to in this paragraph. Each Borrower expressly acknowledges that its agreement to pay the Prepayment Premium to the Term Lenders as herein described is a material inducement to the Term Lenders to provide the Term Loan Commitments and make the Term Loans. For the avoidance of doubt, the Administrative Agent shall have no obligation to calculate, or to verify any Borrower’s or any Term Lender’s calculation of, any Prepayment Premium due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9.19 </w:t>
      </w:r>
      <w:r>
        <w:rPr>
          <w:rFonts w:ascii="Times New Roman" w:hAnsi="Times New Roman"/>
          <w:sz w:val="20"/>
          <w:u w:val="single"/>
        </w:rPr>
        <w:t>Original Issue Discount Legend</w:t>
      </w:r>
      <w:r>
        <w:rPr>
          <w:rFonts w:ascii="Times New Roman" w:hAnsi="Times New Roman"/>
          <w:sz w:val="20"/>
        </w:rPr>
        <w:t xml:space="preserve">. THE TERM LOANS MAY BE ISSUED WITH ORIGINAL ISSUE DISCOUNT FOR U.S. FEDERAL INCOME TAX PURPOSES. THE ISSUE PRICE, AMOUNT OF ORIGINAL DISCOUNT, ISSUE DATE AND YIELD TO MATURITY OF THE TERM LOANS MAY BE OBTAINED BY WRITING TO THE BORROWERS AT THEIR ADDRESS SPECIFIED 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9.20 </w:t>
      </w:r>
      <w:r>
        <w:rPr>
          <w:rFonts w:ascii="Times New Roman" w:hAnsi="Times New Roman"/>
          <w:sz w:val="20"/>
          <w:u w:val="single"/>
        </w:rPr>
        <w:t>Effect of Amendment and Restatement</w:t>
      </w:r>
      <w:r>
        <w:rPr>
          <w:rFonts w:ascii="Times New Roman" w:hAnsi="Times New Roman"/>
          <w:sz w:val="20"/>
        </w:rPr>
        <w:t xml:space="preserve">. As of the Effective Date, this Agreement shall amend, and restate as amended, the Existing Credit Agreement, but shall not constitute a novation thereof or in any way impair or otherwise affect the rights or obligations of the parties thereunder (including with respect to Loans and Commitments and representations and warranties made thereunder) except as such rights or obligations are amended or modified hereby. The Existing Credit Agreement as amended and restated hereby shall be deemed to be a continuing agreement among the parties, and all documents, instruments and agreements delivered pursuant to or in connection with the Existing Credit Agreement not amended and restated in connection with the entry of the parties into this Agreement shall remain in full force and effect, each in accordance with its terms, as of the date of delivery or such other date as contemplated by such document, instrument or agreement to the same extent as if the modifications to the Existing Credit Agreement contained herein were set forth in an amendment to the Existing Credit Agreement in a customary form, unless such document, instrument or agreement has otherwise been terminated or has expired in accordance with or pursuant to the terms of this Agreement, the Existing Credit Agreement or such document, instrument or agreement or as otherwise agreed by the required parties hereto or thereto.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Pages Follow</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caused this Agreement to be duly executed by their respective authorized officers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43"/>
        <w:gridCol w:w="60"/>
        <w:gridCol w:w="3679"/>
      </w:tblGrid>
      <w:tr>
        <w:trPr/>
        <w:tc>
          <w:tcPr>
            <w:tcW w:w="34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7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THE GEO GROUP, INC.</w:t>
            </w:r>
          </w:p>
        </w:tc>
      </w:tr>
      <w:tr>
        <w:trPr>
          <w:trHeight w:val="240" w:hRule="atLeast"/>
        </w:trPr>
        <w:tc>
          <w:tcPr>
            <w:tcW w:w="343" w:type="dxa"/>
            <w:tcBorders/>
            <w:vAlign w:val="center"/>
          </w:tcPr>
          <w:p>
            <w:pPr>
              <w:pStyle w:val="TableContents"/>
              <w:bidi w:val="0"/>
              <w:spacing w:before="0" w:after="283"/>
              <w:jc w:val="left"/>
              <w:rPr>
                <w:sz w:val="4"/>
                <w:szCs w:val="4"/>
              </w:rPr>
            </w:pPr>
            <w:r>
              <w:rPr>
                <w:sz w:val="4"/>
                <w:szCs w:val="4"/>
              </w:rPr>
            </w:r>
          </w:p>
        </w:tc>
        <w:tc>
          <w:tcPr>
            <w:tcW w:w="3739" w:type="dxa"/>
            <w:gridSpan w:val="2"/>
            <w:tcBorders/>
            <w:vAlign w:val="center"/>
          </w:tcPr>
          <w:p>
            <w:pPr>
              <w:pStyle w:val="TableContents"/>
              <w:bidi w:val="0"/>
              <w:spacing w:before="0" w:after="283"/>
              <w:jc w:val="left"/>
              <w:rPr>
                <w:sz w:val="4"/>
                <w:szCs w:val="4"/>
              </w:rPr>
            </w:pPr>
            <w:r>
              <w:rPr>
                <w:sz w:val="4"/>
                <w:szCs w:val="4"/>
              </w:rPr>
            </w:r>
          </w:p>
        </w:tc>
      </w:tr>
      <w:tr>
        <w:trPr/>
        <w:tc>
          <w:tcPr>
            <w:tcW w:w="343"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79" w:type="dxa"/>
            <w:tcBorders>
              <w:bottom w:val="single" w:sz="2" w:space="0" w:color="000000"/>
            </w:tcBorders>
            <w:tcMar>
              <w:bottom w:w="28" w:type="dxa"/>
            </w:tcMar>
          </w:tcPr>
          <w:p>
            <w:pPr>
              <w:pStyle w:val="TableContents"/>
              <w:bidi w:val="0"/>
              <w:spacing w:before="0" w:after="283"/>
              <w:jc w:val="left"/>
              <w:rPr/>
            </w:pPr>
            <w:r>
              <w:rPr/>
              <w:t>/s/ Shayn March</w:t>
            </w:r>
          </w:p>
        </w:tc>
      </w:tr>
      <w:tr>
        <w:trPr/>
        <w:tc>
          <w:tcPr>
            <w:tcW w:w="34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79" w:type="dxa"/>
            <w:tcBorders/>
            <w:vAlign w:val="bottom"/>
          </w:tcPr>
          <w:p>
            <w:pPr>
              <w:pStyle w:val="TableContents"/>
              <w:bidi w:val="0"/>
              <w:spacing w:before="0" w:after="283"/>
              <w:jc w:val="left"/>
              <w:rPr/>
            </w:pPr>
            <w:r>
              <w:rPr/>
              <w:t>Name:  Shayn March</w:t>
            </w:r>
          </w:p>
        </w:tc>
      </w:tr>
      <w:tr>
        <w:trPr/>
        <w:tc>
          <w:tcPr>
            <w:tcW w:w="34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79" w:type="dxa"/>
            <w:tcBorders/>
            <w:vAlign w:val="bottom"/>
          </w:tcPr>
          <w:p>
            <w:pPr>
              <w:pStyle w:val="TableContents"/>
              <w:bidi w:val="0"/>
              <w:spacing w:before="0" w:after="283"/>
              <w:jc w:val="left"/>
              <w:rPr/>
            </w:pPr>
            <w:r>
              <w:rPr/>
              <w:t>Title:  Senior Vice President, Chief Financial</w:t>
            </w:r>
          </w:p>
        </w:tc>
      </w:tr>
      <w:tr>
        <w:trPr/>
        <w:tc>
          <w:tcPr>
            <w:tcW w:w="34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79" w:type="dxa"/>
            <w:tcBorders/>
            <w:vAlign w:val="bottom"/>
          </w:tcPr>
          <w:p>
            <w:pPr>
              <w:pStyle w:val="TableContents"/>
              <w:bidi w:val="0"/>
              <w:spacing w:before="0" w:after="283"/>
              <w:jc w:val="left"/>
              <w:rPr/>
            </w:pPr>
            <w:r>
              <w:rPr/>
              <w:t>    </w:t>
            </w:r>
            <w:r>
              <w:rPr/>
              <w:t>Officer &amp; Treasurer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GEO CORRECTIONS HOLDINGS, INC.</w:t>
            </w:r>
          </w:p>
        </w:tc>
      </w:tr>
      <w:tr>
        <w:trPr>
          <w:trHeight w:val="240" w:hRule="atLeast"/>
        </w:trPr>
        <w:tc>
          <w:tcPr>
            <w:tcW w:w="343" w:type="dxa"/>
            <w:tcBorders/>
            <w:vAlign w:val="center"/>
          </w:tcPr>
          <w:p>
            <w:pPr>
              <w:pStyle w:val="TableContents"/>
              <w:bidi w:val="0"/>
              <w:spacing w:before="0" w:after="283"/>
              <w:jc w:val="left"/>
              <w:rPr>
                <w:sz w:val="4"/>
                <w:szCs w:val="4"/>
              </w:rPr>
            </w:pPr>
            <w:r>
              <w:rPr>
                <w:sz w:val="4"/>
                <w:szCs w:val="4"/>
              </w:rPr>
            </w:r>
          </w:p>
        </w:tc>
        <w:tc>
          <w:tcPr>
            <w:tcW w:w="3739" w:type="dxa"/>
            <w:gridSpan w:val="2"/>
            <w:tcBorders/>
            <w:vAlign w:val="center"/>
          </w:tcPr>
          <w:p>
            <w:pPr>
              <w:pStyle w:val="TableContents"/>
              <w:bidi w:val="0"/>
              <w:spacing w:before="0" w:after="283"/>
              <w:jc w:val="left"/>
              <w:rPr>
                <w:sz w:val="4"/>
                <w:szCs w:val="4"/>
              </w:rPr>
            </w:pPr>
            <w:r>
              <w:rPr>
                <w:sz w:val="4"/>
                <w:szCs w:val="4"/>
              </w:rPr>
            </w:r>
          </w:p>
        </w:tc>
      </w:tr>
      <w:tr>
        <w:trPr/>
        <w:tc>
          <w:tcPr>
            <w:tcW w:w="343"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79" w:type="dxa"/>
            <w:tcBorders>
              <w:bottom w:val="single" w:sz="2" w:space="0" w:color="000000"/>
            </w:tcBorders>
            <w:tcMar>
              <w:bottom w:w="28" w:type="dxa"/>
            </w:tcMar>
          </w:tcPr>
          <w:p>
            <w:pPr>
              <w:pStyle w:val="TableContents"/>
              <w:bidi w:val="0"/>
              <w:spacing w:before="0" w:after="283"/>
              <w:jc w:val="left"/>
              <w:rPr/>
            </w:pPr>
            <w:r>
              <w:rPr/>
              <w:t>/s/ Shayn March</w:t>
            </w:r>
          </w:p>
        </w:tc>
      </w:tr>
      <w:tr>
        <w:trPr/>
        <w:tc>
          <w:tcPr>
            <w:tcW w:w="34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79" w:type="dxa"/>
            <w:tcBorders/>
            <w:vAlign w:val="bottom"/>
          </w:tcPr>
          <w:p>
            <w:pPr>
              <w:pStyle w:val="TableContents"/>
              <w:bidi w:val="0"/>
              <w:spacing w:before="0" w:after="283"/>
              <w:jc w:val="left"/>
              <w:rPr/>
            </w:pPr>
            <w:r>
              <w:rPr/>
              <w:t>Name:  Shayn March</w:t>
            </w:r>
          </w:p>
        </w:tc>
      </w:tr>
      <w:tr>
        <w:trPr/>
        <w:tc>
          <w:tcPr>
            <w:tcW w:w="34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79" w:type="dxa"/>
            <w:tcBorders/>
            <w:vAlign w:val="bottom"/>
          </w:tcPr>
          <w:p>
            <w:pPr>
              <w:pStyle w:val="TableContents"/>
              <w:bidi w:val="0"/>
              <w:spacing w:before="0" w:after="283"/>
              <w:jc w:val="left"/>
              <w:rPr/>
            </w:pPr>
            <w:r>
              <w:rPr/>
              <w:t>Title:  Vice President, Chief Financial Officer</w:t>
            </w:r>
          </w:p>
        </w:tc>
      </w:tr>
      <w:tr>
        <w:trPr/>
        <w:tc>
          <w:tcPr>
            <w:tcW w:w="34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79" w:type="dxa"/>
            <w:tcBorders/>
            <w:vAlign w:val="bottom"/>
          </w:tcPr>
          <w:p>
            <w:pPr>
              <w:pStyle w:val="TableContents"/>
              <w:bidi w:val="0"/>
              <w:spacing w:before="0" w:after="283"/>
              <w:jc w:val="left"/>
              <w:rPr/>
            </w:pPr>
            <w:r>
              <w:rPr/>
              <w:t>    </w:t>
            </w:r>
            <w:r>
              <w:rPr/>
              <w:t>&amp; Treasurer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i/>
          <w:sz w:val="20"/>
        </w:rPr>
        <w:t>Amended and Restated Credit Agreement – The GEO Group, Inc.</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58"/>
        <w:gridCol w:w="60"/>
        <w:gridCol w:w="3664"/>
      </w:tblGrid>
      <w:tr>
        <w:trPr/>
        <w:tc>
          <w:tcPr>
            <w:tcW w:w="35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6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b/>
                <w:sz w:val="20"/>
              </w:rPr>
              <w:t>BANK OZK</w:t>
            </w:r>
            <w:r>
              <w:rPr>
                <w:rFonts w:ascii="Times New Roman" w:hAnsi="Times New Roman"/>
                <w:sz w:val="20"/>
              </w:rPr>
              <w:t>,</w:t>
            </w:r>
          </w:p>
          <w:p>
            <w:pPr>
              <w:pStyle w:val="TableContents"/>
              <w:bidi w:val="0"/>
              <w:spacing w:before="0" w:after="20"/>
              <w:jc w:val="left"/>
              <w:rPr>
                <w:rFonts w:ascii="Times New Roman" w:hAnsi="Times New Roman"/>
                <w:sz w:val="20"/>
              </w:rPr>
            </w:pPr>
            <w:r>
              <w:rPr>
                <w:rFonts w:ascii="Times New Roman" w:hAnsi="Times New Roman"/>
                <w:sz w:val="20"/>
              </w:rPr>
              <w:t>as Administrative Agent and Swingline Lender</w:t>
            </w:r>
          </w:p>
        </w:tc>
      </w:tr>
      <w:tr>
        <w:trPr>
          <w:trHeight w:val="240" w:hRule="atLeast"/>
        </w:trPr>
        <w:tc>
          <w:tcPr>
            <w:tcW w:w="358" w:type="dxa"/>
            <w:tcBorders/>
            <w:vAlign w:val="center"/>
          </w:tcPr>
          <w:p>
            <w:pPr>
              <w:pStyle w:val="TableContents"/>
              <w:bidi w:val="0"/>
              <w:spacing w:before="0" w:after="283"/>
              <w:jc w:val="left"/>
              <w:rPr>
                <w:sz w:val="4"/>
                <w:szCs w:val="4"/>
              </w:rPr>
            </w:pPr>
            <w:r>
              <w:rPr>
                <w:sz w:val="4"/>
                <w:szCs w:val="4"/>
              </w:rPr>
            </w:r>
          </w:p>
        </w:tc>
        <w:tc>
          <w:tcPr>
            <w:tcW w:w="3724" w:type="dxa"/>
            <w:gridSpan w:val="2"/>
            <w:tcBorders/>
            <w:vAlign w:val="center"/>
          </w:tcPr>
          <w:p>
            <w:pPr>
              <w:pStyle w:val="TableContents"/>
              <w:bidi w:val="0"/>
              <w:spacing w:before="0" w:after="283"/>
              <w:jc w:val="left"/>
              <w:rPr>
                <w:sz w:val="4"/>
                <w:szCs w:val="4"/>
              </w:rPr>
            </w:pPr>
            <w:r>
              <w:rPr>
                <w:sz w:val="4"/>
                <w:szCs w:val="4"/>
              </w:rPr>
            </w:r>
          </w:p>
        </w:tc>
      </w:tr>
      <w:tr>
        <w:trPr/>
        <w:tc>
          <w:tcPr>
            <w:tcW w:w="358"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64" w:type="dxa"/>
            <w:tcBorders>
              <w:bottom w:val="single" w:sz="2" w:space="0" w:color="000000"/>
            </w:tcBorders>
            <w:tcMar>
              <w:bottom w:w="28" w:type="dxa"/>
            </w:tcMar>
          </w:tcPr>
          <w:p>
            <w:pPr>
              <w:pStyle w:val="TableContents"/>
              <w:bidi w:val="0"/>
              <w:spacing w:before="0" w:after="283"/>
              <w:jc w:val="left"/>
              <w:rPr/>
            </w:pPr>
            <w:r>
              <w:rPr/>
              <w:t>/s/ Phillip Gonzalez</w:t>
            </w:r>
          </w:p>
        </w:tc>
      </w:tr>
      <w:tr>
        <w:trPr/>
        <w:tc>
          <w:tcPr>
            <w:tcW w:w="35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4" w:type="dxa"/>
            <w:tcBorders/>
            <w:vAlign w:val="bottom"/>
          </w:tcPr>
          <w:p>
            <w:pPr>
              <w:pStyle w:val="TableContents"/>
              <w:bidi w:val="0"/>
              <w:spacing w:before="0" w:after="283"/>
              <w:jc w:val="left"/>
              <w:rPr/>
            </w:pPr>
            <w:r>
              <w:rPr/>
              <w:t>Authorized Signatory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i/>
          <w:sz w:val="20"/>
        </w:rPr>
        <w:t>Amended and Restated Credit Agreement – The GEO Group, Inc.</w:t>
      </w:r>
      <w:r>
        <w:rPr>
          <w:rFonts w:ascii="Times New Roman" w:hAnsi="Times New Roman"/>
          <w:sz w:val="20"/>
        </w:rPr>
        <w:t xml:space="preserve"> </w:t>
      </w:r>
    </w:p>
    <w:p>
      <w:pPr>
        <w:pStyle w:val="TextBody"/>
        <w:bidi w:val="0"/>
        <w:spacing w:before="0" w:after="0"/>
        <w:jc w:val="right"/>
        <w:rPr>
          <w:rFonts w:ascii="Times New Roman" w:hAnsi="Times New Roman"/>
          <w:b/>
          <w:sz w:val="20"/>
        </w:rPr>
      </w:pPr>
      <w:bookmarkStart w:id="4" w:name="d246793dex991.htm"/>
      <w:bookmarkStart w:id="5" w:name="ksd246793dex991"/>
      <w:bookmarkEnd w:id="4"/>
      <w:bookmarkEnd w:id="5"/>
      <w:r>
        <w:rPr>
          <w:rFonts w:ascii="Times New Roman" w:hAnsi="Times New Roman"/>
          <w:b/>
          <w:sz w:val="20"/>
        </w:rPr>
        <w:t xml:space="preserve">Exhibit 99.1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396"/>
        <w:gridCol w:w="120"/>
        <w:gridCol w:w="4689"/>
      </w:tblGrid>
      <w:tr>
        <w:trPr/>
        <w:tc>
          <w:tcPr>
            <w:tcW w:w="539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689" w:type="dxa"/>
            <w:tcBorders/>
            <w:vAlign w:val="center"/>
          </w:tcPr>
          <w:p>
            <w:pPr>
              <w:pStyle w:val="TableContents"/>
              <w:bidi w:val="0"/>
              <w:spacing w:before="0" w:after="283"/>
              <w:jc w:val="left"/>
              <w:rPr>
                <w:sz w:val="4"/>
                <w:szCs w:val="4"/>
              </w:rPr>
            </w:pPr>
            <w:r>
              <w:rPr>
                <w:sz w:val="4"/>
                <w:szCs w:val="4"/>
              </w:rPr>
            </w:r>
          </w:p>
        </w:tc>
      </w:tr>
      <w:tr>
        <w:trPr/>
        <w:tc>
          <w:tcPr>
            <w:tcW w:w="5396" w:type="dxa"/>
            <w:tcBorders/>
          </w:tcPr>
          <w:p>
            <w:pPr>
              <w:pStyle w:val="TableContents"/>
              <w:bidi w:val="0"/>
              <w:spacing w:before="0" w:after="283"/>
              <w:jc w:val="left"/>
              <w:rPr/>
            </w:pPr>
            <w:r>
              <w:rPr/>
              <w:drawing>
                <wp:inline distT="0" distB="0" distL="0" distR="0">
                  <wp:extent cx="1876425" cy="6953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76425" cy="695325"/>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4689" w:type="dxa"/>
            <w:tcBorders/>
            <w:vAlign w:val="bottom"/>
          </w:tcPr>
          <w:p>
            <w:pPr>
              <w:pStyle w:val="TableContents"/>
              <w:bidi w:val="0"/>
              <w:spacing w:before="0" w:after="283"/>
              <w:jc w:val="right"/>
              <w:rPr>
                <w:b/>
              </w:rPr>
            </w:pPr>
            <w:r>
              <w:rPr>
                <w:b/>
              </w:rPr>
              <w:t>NEWS RELEASE</w:t>
            </w:r>
          </w:p>
        </w:tc>
      </w:tr>
      <w:tr>
        <w:trPr/>
        <w:tc>
          <w:tcPr>
            <w:tcW w:w="5396" w:type="dxa"/>
            <w:tcBorders/>
          </w:tcPr>
          <w:p>
            <w:pPr>
              <w:pStyle w:val="TableContents"/>
              <w:bidi w:val="0"/>
              <w:spacing w:before="0" w:after="0"/>
              <w:jc w:val="left"/>
              <w:rPr>
                <w:rFonts w:ascii="Times New Roman" w:hAnsi="Times New Roman"/>
                <w:sz w:val="20"/>
              </w:rPr>
            </w:pPr>
            <w:r>
              <w:rPr>
                <w:rFonts w:ascii="Times New Roman" w:hAnsi="Times New Roman"/>
                <w:sz w:val="20"/>
              </w:rPr>
              <w:t>4955 Technology Way ∎ Boca Raton, Florida 33431 ∎ www.geogroup.com</w:t>
            </w:r>
          </w:p>
          <w:p>
            <w:pPr>
              <w:pStyle w:val="TableContents"/>
              <w:bidi w:val="0"/>
              <w:spacing w:before="0" w:after="20"/>
              <w:jc w:val="left"/>
              <w:rPr>
                <w:rFonts w:ascii="Times New Roman" w:hAnsi="Times New Roman"/>
                <w:b/>
                <w:sz w:val="20"/>
              </w:rPr>
            </w:pPr>
            <w:r>
              <w:rPr>
                <w:rFonts w:ascii="Times New Roman" w:hAnsi="Times New Roman"/>
                <w:b/>
                <w:sz w:val="20"/>
              </w:rPr>
              <w:t>CR-26-13</w:t>
            </w:r>
          </w:p>
        </w:tc>
        <w:tc>
          <w:tcPr>
            <w:tcW w:w="120" w:type="dxa"/>
            <w:tcBorders/>
            <w:vAlign w:val="bottom"/>
          </w:tcPr>
          <w:p>
            <w:pPr>
              <w:pStyle w:val="TableContents"/>
              <w:bidi w:val="0"/>
              <w:spacing w:before="0" w:after="283"/>
              <w:jc w:val="left"/>
              <w:rPr/>
            </w:pPr>
            <w:r>
              <w:rPr/>
              <w:t>  </w:t>
            </w:r>
          </w:p>
        </w:tc>
        <w:tc>
          <w:tcPr>
            <w:tcW w:w="4689"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THE GEO GROUP DELIVERS NOTICE OF REDEMPTION </w:t>
      </w:r>
    </w:p>
    <w:p>
      <w:pPr>
        <w:pStyle w:val="TextBody"/>
        <w:bidi w:val="0"/>
        <w:spacing w:before="0" w:after="0"/>
        <w:jc w:val="center"/>
        <w:rPr>
          <w:rFonts w:ascii="Times New Roman" w:hAnsi="Times New Roman"/>
          <w:b/>
          <w:sz w:val="20"/>
        </w:rPr>
      </w:pPr>
      <w:r>
        <w:rPr>
          <w:rFonts w:ascii="Times New Roman" w:hAnsi="Times New Roman"/>
          <w:b/>
          <w:sz w:val="20"/>
        </w:rPr>
        <w:t xml:space="preserve">FOR ALL SENIOR SECURED NOTES DUE 2029 AND </w:t>
      </w:r>
    </w:p>
    <w:p>
      <w:pPr>
        <w:pStyle w:val="TextBody"/>
        <w:bidi w:val="0"/>
        <w:spacing w:before="0" w:after="0"/>
        <w:jc w:val="center"/>
        <w:rPr>
          <w:rFonts w:ascii="Times New Roman" w:hAnsi="Times New Roman"/>
          <w:b/>
          <w:sz w:val="20"/>
        </w:rPr>
      </w:pPr>
      <w:r>
        <w:rPr>
          <w:rFonts w:ascii="Times New Roman" w:hAnsi="Times New Roman"/>
          <w:b/>
          <w:sz w:val="20"/>
        </w:rPr>
        <w:t xml:space="preserve">AMENDS AND EXTENDS REVOLVING CREDIT FACILITY </w:t>
      </w:r>
    </w:p>
    <w:p>
      <w:pPr>
        <w:pStyle w:val="TextBody"/>
        <w:bidi w:val="0"/>
        <w:spacing w:before="240" w:after="0"/>
        <w:jc w:val="left"/>
        <w:rPr>
          <w:rFonts w:ascii="Times New Roman" w:hAnsi="Times New Roman"/>
          <w:sz w:val="20"/>
        </w:rPr>
      </w:pPr>
      <w:r>
        <w:rPr>
          <w:rFonts w:ascii="Times New Roman" w:hAnsi="Times New Roman"/>
          <w:b/>
          <w:sz w:val="20"/>
        </w:rPr>
        <w:t>Boca Raton, Fla. – October</w:t>
      </w:r>
      <w:r>
        <w:rPr>
          <w:rFonts w:ascii="Times New Roman" w:hAnsi="Times New Roman"/>
          <w:sz w:val="20"/>
        </w:rPr>
        <w:t> </w:t>
      </w:r>
      <w:r>
        <w:rPr>
          <w:rFonts w:ascii="Times New Roman" w:hAnsi="Times New Roman"/>
          <w:b/>
          <w:sz w:val="20"/>
        </w:rPr>
        <w:t>6, 2026 — The GEO Group, Inc. (NYSE: GEO)</w:t>
      </w:r>
      <w:r>
        <w:rPr>
          <w:rFonts w:ascii="Times New Roman" w:hAnsi="Times New Roman"/>
          <w:sz w:val="20"/>
        </w:rPr>
        <w:t xml:space="preserve"> (“GEO” or the “Company”) has delivered a notice of redemption for all of the $650,000,000 in outstanding aggregate principal amount of its 8.625% Senior Secured Notes due 2029 (CUSIP Nos. 36162JAG1 and U32352AF0) (the “2029 Senior Secured Notes”). The redemption of the 2029 Senior Secured Notes will occur on October 15, 2026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The redemption price for the 2029 Senior Secured Notes will be equal to $1,043.13 per $1,000.00 original principal amount, or approximately $678 million, plus any accrued and unpaid interest up to, but excluding, the Redemption Date. GEO will deposit, with the trustee for the 2029 Senior Secured Notes, the redemption price for the 2029 Senior Secured Notes by October 14, 2026, using the net proceeds from its recently announced asset sales. Upon the funding of the redemption price, the Indenture governing the 2029 Senior Secured Notes will be discharged. Payment of the redemption price for the 2029 Senior Secured Notes will be made through the Depository Trust Company. </w:t>
      </w:r>
    </w:p>
    <w:p>
      <w:pPr>
        <w:pStyle w:val="TextBody"/>
        <w:bidi w:val="0"/>
        <w:spacing w:before="240" w:after="0"/>
        <w:jc w:val="left"/>
        <w:rPr>
          <w:rFonts w:ascii="Times New Roman" w:hAnsi="Times New Roman"/>
          <w:sz w:val="20"/>
        </w:rPr>
      </w:pPr>
      <w:r>
        <w:rPr>
          <w:rFonts w:ascii="Times New Roman" w:hAnsi="Times New Roman"/>
          <w:sz w:val="20"/>
        </w:rPr>
        <w:t xml:space="preserve">GEO also announced today the closing of an amendment to the Company’s Amended Credit Agreement to extend the maturity of its $550 million Revolving Credit Facility to July 14, 2031 and to increase the Company’s restricted payments capacity. Following this amendment and the discharge of the Indenture governing the 2029 Senior Secured Notes, GEO will be permitted to make unlimited restricted payments, including share repurchases, under the Amended Credit Agreement, to the extent the Company’s total leverage ratio (as defined therein) calculated on a pro forma basis after giving effect to such restricted payment would be equal to or less than 2.25 to 1.00 and no default exists thereunder. Additionally, under the Indenture governing the Company’s $625 million 10.25% Senior Unsecured Notes due 2031, GEO is permitted to make unlimited restricted payments, including share repurchases, to the extent the Company’s consolidated total leverage ratio (as defined therein) calculated on a pro forma basis after giving effect to such restricted payment would be equal to or less than 2.00 to 1.00 and no default exists thereunder. </w:t>
      </w:r>
    </w:p>
    <w:p>
      <w:pPr>
        <w:pStyle w:val="TextBody"/>
        <w:bidi w:val="0"/>
        <w:spacing w:before="240" w:after="0"/>
        <w:jc w:val="left"/>
        <w:rPr>
          <w:rFonts w:ascii="Times New Roman" w:hAnsi="Times New Roman"/>
          <w:sz w:val="20"/>
        </w:rPr>
      </w:pPr>
      <w:r>
        <w:rPr>
          <w:rFonts w:ascii="Times New Roman" w:hAnsi="Times New Roman"/>
          <w:sz w:val="20"/>
        </w:rPr>
        <w:t xml:space="preserve">GEO recently announced that its Board of Directors approved a $750 million increase to the Company’s share repurchase authorization program, which is effective through December 31, 2029, from $500 million to $1.25 billion.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 More - </w:t>
      </w:r>
    </w:p>
    <w:tbl>
      <w:tblPr>
        <w:tblW w:w="5000" w:type="pct"/>
        <w:jc w:val="center"/>
        <w:tblInd w:w="0" w:type="dxa"/>
        <w:tblLayout w:type="fixed"/>
        <w:tblCellMar>
          <w:top w:w="0" w:type="dxa"/>
          <w:left w:w="0" w:type="dxa"/>
          <w:bottom w:w="0" w:type="dxa"/>
          <w:right w:w="0" w:type="dxa"/>
        </w:tblCellMar>
      </w:tblPr>
      <w:tblGrid>
        <w:gridCol w:w="5220"/>
        <w:gridCol w:w="123"/>
        <w:gridCol w:w="4862"/>
      </w:tblGrid>
      <w:tr>
        <w:trPr/>
        <w:tc>
          <w:tcPr>
            <w:tcW w:w="5220"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4862" w:type="dxa"/>
            <w:tcBorders/>
            <w:vAlign w:val="center"/>
          </w:tcPr>
          <w:p>
            <w:pPr>
              <w:pStyle w:val="TableContents"/>
              <w:bidi w:val="0"/>
              <w:spacing w:before="0" w:after="283"/>
              <w:jc w:val="left"/>
              <w:rPr>
                <w:sz w:val="4"/>
                <w:szCs w:val="4"/>
              </w:rPr>
            </w:pPr>
            <w:r>
              <w:rPr>
                <w:sz w:val="4"/>
                <w:szCs w:val="4"/>
              </w:rPr>
            </w:r>
          </w:p>
        </w:tc>
      </w:tr>
      <w:tr>
        <w:trPr/>
        <w:tc>
          <w:tcPr>
            <w:tcW w:w="5220"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Contact: </w:t>
            </w:r>
            <w:r>
              <w:rPr>
                <w:rFonts w:ascii="Times New Roman" w:hAnsi="Times New Roman"/>
                <w:sz w:val="20"/>
              </w:rPr>
              <w:t>Pablo E. Paez</w:t>
            </w:r>
          </w:p>
          <w:p>
            <w:pPr>
              <w:pStyle w:val="TableContents"/>
              <w:bidi w:val="0"/>
              <w:spacing w:before="0" w:after="20"/>
              <w:jc w:val="left"/>
              <w:rPr>
                <w:rFonts w:ascii="Times New Roman" w:hAnsi="Times New Roman"/>
                <w:sz w:val="20"/>
              </w:rPr>
            </w:pPr>
            <w:r>
              <w:rPr>
                <w:rFonts w:ascii="Times New Roman" w:hAnsi="Times New Roman"/>
                <w:sz w:val="20"/>
              </w:rPr>
              <w:t>Executive Vice President, Corporate Relations</w:t>
            </w:r>
          </w:p>
        </w:tc>
        <w:tc>
          <w:tcPr>
            <w:tcW w:w="123" w:type="dxa"/>
            <w:tcBorders/>
            <w:vAlign w:val="bottom"/>
          </w:tcPr>
          <w:p>
            <w:pPr>
              <w:pStyle w:val="TableContents"/>
              <w:bidi w:val="0"/>
              <w:spacing w:before="0" w:after="283"/>
              <w:jc w:val="left"/>
              <w:rPr/>
            </w:pPr>
            <w:r>
              <w:rPr/>
              <w:t>  </w:t>
            </w:r>
          </w:p>
        </w:tc>
        <w:tc>
          <w:tcPr>
            <w:tcW w:w="4862" w:type="dxa"/>
            <w:tcBorders/>
          </w:tcPr>
          <w:p>
            <w:pPr>
              <w:pStyle w:val="TableContents"/>
              <w:bidi w:val="0"/>
              <w:spacing w:before="0" w:after="283"/>
              <w:jc w:val="right"/>
              <w:rPr/>
            </w:pPr>
            <w:r>
              <w:rPr/>
              <w:t>(866) 301 4436</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b/>
          <w:sz w:val="20"/>
        </w:rPr>
      </w:pPr>
      <w:r>
        <w:rPr>
          <w:rFonts w:ascii="Times New Roman" w:hAnsi="Times New Roman"/>
          <w:b/>
          <w:sz w:val="20"/>
        </w:rPr>
        <w:t xml:space="preserve">NEWS RELEASE </w:t>
      </w:r>
    </w:p>
    <w:p>
      <w:pPr>
        <w:pStyle w:val="TextBody"/>
        <w:bidi w:val="0"/>
        <w:spacing w:before="240" w:after="0"/>
        <w:jc w:val="left"/>
        <w:rPr>
          <w:rFonts w:ascii="Times New Roman" w:hAnsi="Times New Roman"/>
          <w:sz w:val="20"/>
        </w:rPr>
      </w:pPr>
      <w:r>
        <w:rPr>
          <w:rFonts w:ascii="Times New Roman" w:hAnsi="Times New Roman"/>
          <w:sz w:val="20"/>
        </w:rPr>
        <w:t xml:space="preserve">Repurchases of GEO’s outstanding common stock will be made in accordance with applicable securities laws and may be made at our senior management’s discretion from time to time in the open market, by block purchase, through privately negotiated transactions, pursuant to a trading plan, or otherwise in compliance with Rule 10b-18 under the Securities Exchange Act of 1934, as amended. The authorization for the share repurchase program may be extended, increased, decreased, suspended or terminated by our Board of Directors in its discretion at any time. Repurchases of the Company’s common stock (and the timing thereof) will depend upon market conditions, regulatory requirements, the Company’s existing obligations, including its Credit Agreement, other corporate liquidity requirements and priorities and other factors as may be considered in the Company’s sole discretion. The authorization for the share repurchase program does not obligate GEO to purchase any particular amount of the Company’s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About The GEO Group </w:t>
      </w:r>
    </w:p>
    <w:p>
      <w:pPr>
        <w:pStyle w:val="TextBody"/>
        <w:bidi w:val="0"/>
        <w:spacing w:before="120" w:after="0"/>
        <w:jc w:val="left"/>
        <w:rPr>
          <w:rFonts w:ascii="Times New Roman" w:hAnsi="Times New Roman"/>
          <w:sz w:val="20"/>
        </w:rPr>
      </w:pPr>
      <w:r>
        <w:rPr>
          <w:rFonts w:ascii="Times New Roman" w:hAnsi="Times New Roman"/>
          <w:sz w:val="20"/>
        </w:rPr>
        <w:t xml:space="preserve">The GEO Group, Inc. (NYSE: GEO) is a leading diversified government service provider, specializing in design, financing, development, and support services for secure facilities, processing centers, and community reentry centers in the United States, Australia, South Africa, and the United Kingdom. GEO’s diversified services include enhanced in-custody rehabilitation and post-release support through the award-winning GEO Continuum of Care®, secure transportation, electronic monitoring, community-based programs, and correctional health and mental health care. GEO’s worldwide operations include the ownership and/or delivery of support services for 97 facilities totaling approximately 76,000 beds, including idle facilities and projects under development, with a workforce of up to approximately 20,000 employees. </w:t>
      </w:r>
    </w:p>
    <w:p>
      <w:pPr>
        <w:pStyle w:val="TextBody"/>
        <w:bidi w:val="0"/>
        <w:spacing w:before="360" w:after="0"/>
        <w:jc w:val="left"/>
        <w:rPr>
          <w:rFonts w:ascii="Times New Roman" w:hAnsi="Times New Roman"/>
          <w:b/>
          <w:sz w:val="20"/>
        </w:rPr>
      </w:pPr>
      <w:r>
        <w:rPr>
          <w:rFonts w:ascii="Times New Roman" w:hAnsi="Times New Roman"/>
          <w:b/>
          <w:sz w:val="20"/>
        </w:rPr>
        <w:t xml:space="preserve">Use of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news release may contain “forward-looking statements” within the meaning of Section 21E of the Securities Exchange Act of 1934, as amended, and the U.S. Private Securities Litigation Reform Act of 1995. Readers are cautioned not to place undue reliance on these forward-looking statements and any such forward-looking statements are qualified in their entirety by reference to the cautionary statements and risk factors contained in GEO’s filings with the U.S. Securities and Exchange Commission including its Form 10-K, 10-Q and 8-K reports. All forward-looking statements speak only as of the date of this news release and are based on current expectations and involve a number of assumptions, risks and uncertainties that could cause the actual results to differ materially from such forward-looking statements. Readers are strongly encouraged to read the full cautionary statements and risk factors contained in GEO’s filings with the U.S. Securities and Exchange Commission, including those referenced above. GEO disclaims any obligation to update or revise any forward-looking statements, except as required by law.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 End - </w:t>
      </w:r>
    </w:p>
    <w:tbl>
      <w:tblPr>
        <w:tblW w:w="5000" w:type="pct"/>
        <w:jc w:val="center"/>
        <w:tblInd w:w="0" w:type="dxa"/>
        <w:tblLayout w:type="fixed"/>
        <w:tblCellMar>
          <w:top w:w="0" w:type="dxa"/>
          <w:left w:w="0" w:type="dxa"/>
          <w:bottom w:w="0" w:type="dxa"/>
          <w:right w:w="0" w:type="dxa"/>
        </w:tblCellMar>
      </w:tblPr>
      <w:tblGrid>
        <w:gridCol w:w="5220"/>
        <w:gridCol w:w="123"/>
        <w:gridCol w:w="4862"/>
      </w:tblGrid>
      <w:tr>
        <w:trPr/>
        <w:tc>
          <w:tcPr>
            <w:tcW w:w="5220"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4862" w:type="dxa"/>
            <w:tcBorders/>
            <w:vAlign w:val="center"/>
          </w:tcPr>
          <w:p>
            <w:pPr>
              <w:pStyle w:val="TableContents"/>
              <w:bidi w:val="0"/>
              <w:spacing w:before="0" w:after="283"/>
              <w:jc w:val="left"/>
              <w:rPr>
                <w:sz w:val="4"/>
                <w:szCs w:val="4"/>
              </w:rPr>
            </w:pPr>
            <w:r>
              <w:rPr>
                <w:sz w:val="4"/>
                <w:szCs w:val="4"/>
              </w:rPr>
            </w:r>
          </w:p>
        </w:tc>
      </w:tr>
      <w:tr>
        <w:trPr/>
        <w:tc>
          <w:tcPr>
            <w:tcW w:w="5220"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Contact: </w:t>
            </w:r>
            <w:r>
              <w:rPr>
                <w:rFonts w:ascii="Times New Roman" w:hAnsi="Times New Roman"/>
                <w:sz w:val="20"/>
              </w:rPr>
              <w:t>Pablo E. Paez</w:t>
            </w:r>
          </w:p>
          <w:p>
            <w:pPr>
              <w:pStyle w:val="TableContents"/>
              <w:bidi w:val="0"/>
              <w:spacing w:before="0" w:after="20"/>
              <w:jc w:val="left"/>
              <w:rPr>
                <w:rFonts w:ascii="Times New Roman" w:hAnsi="Times New Roman"/>
                <w:sz w:val="20"/>
              </w:rPr>
            </w:pPr>
            <w:r>
              <w:rPr>
                <w:rFonts w:ascii="Times New Roman" w:hAnsi="Times New Roman"/>
                <w:sz w:val="20"/>
              </w:rPr>
              <w:t>Executive Vice President, Corporate Relations</w:t>
            </w:r>
          </w:p>
        </w:tc>
        <w:tc>
          <w:tcPr>
            <w:tcW w:w="123" w:type="dxa"/>
            <w:tcBorders/>
            <w:vAlign w:val="bottom"/>
          </w:tcPr>
          <w:p>
            <w:pPr>
              <w:pStyle w:val="TableContents"/>
              <w:bidi w:val="0"/>
              <w:spacing w:before="0" w:after="283"/>
              <w:jc w:val="left"/>
              <w:rPr/>
            </w:pPr>
            <w:r>
              <w:rPr/>
              <w:t>  </w:t>
            </w:r>
          </w:p>
        </w:tc>
        <w:tc>
          <w:tcPr>
            <w:tcW w:w="4862" w:type="dxa"/>
            <w:tcBorders/>
          </w:tcPr>
          <w:p>
            <w:pPr>
              <w:pStyle w:val="TableContents"/>
              <w:bidi w:val="0"/>
              <w:spacing w:before="0" w:after="283"/>
              <w:jc w:val="right"/>
              <w:rPr/>
            </w:pPr>
            <w:r>
              <w:rPr/>
              <w:t>(866) 301 4436</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180</Pages>
  <Words>92162</Words>
  <Characters>488220</Characters>
  <CharactersWithSpaces>580899</CharactersWithSpaces>
  <Paragraphs>2794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