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Brack Ronald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4955 TECHNOLOGY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33431-3367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GEO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6"/>
        <w:gridCol w:w="903"/>
        <w:gridCol w:w="772"/>
        <w:gridCol w:w="600"/>
        <w:gridCol w:w="352"/>
        <w:gridCol w:w="857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71,614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33,125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Since the date of the Reporting Person's last Form 4, the Reporting Person transferred 17,030 shares of GEO common stock to his ex-spouse pursuant to a Final Judgment of Dissolution of Marriage that qualifies as a domestic relations order.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President, Chief Accounting Officer and Controller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Ronald A Brack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5270" TargetMode="External"/><Relationship Id="rId5" Type="http://schemas.openxmlformats.org/officeDocument/2006/relationships/hyperlink" Target="http://www.sec.gov/cgi-bin/browse-edgar?action=getcompany&amp;CIK=0000923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3329</Characters>
  <CharactersWithSpaces>3872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