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4" w:lineRule="auto"/>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860" w:hanging="3899"/>
        <w:spacing w:after="0" w:line="279" w:lineRule="auto"/>
        <w:tabs>
          <w:tab w:leader="none" w:pos="5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1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Commission file number: 1-14260</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3"/>
          </w:tcPr>
          <w:p>
            <w:pPr>
              <w:jc w:val="center"/>
              <w:ind w:right="520"/>
              <w:spacing w:after="0"/>
              <w:rPr>
                <w:sz w:val="20"/>
                <w:szCs w:val="20"/>
                <w:color w:val="auto"/>
              </w:rPr>
            </w:pPr>
            <w:r>
              <w:rPr>
                <w:rFonts w:ascii="Times New Roman" w:cs="Times New Roman" w:eastAsia="Times New Roman" w:hAnsi="Times New Roman"/>
                <w:sz w:val="36"/>
                <w:szCs w:val="36"/>
                <w:b w:val="1"/>
                <w:bCs w:val="1"/>
                <w:color w:val="auto"/>
                <w:w w:val="99"/>
              </w:rPr>
              <w:t>The GEO Group, Inc.</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43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20" w:type="dxa"/>
            <w:vAlign w:val="bottom"/>
            <w:gridSpan w:val="2"/>
          </w:tcPr>
          <w:p>
            <w:pPr>
              <w:jc w:val="center"/>
              <w:ind w:left="1619"/>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3"/>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65-0043078</w:t>
            </w: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820" w:type="dxa"/>
            <w:vAlign w:val="bottom"/>
            <w:gridSpan w:val="2"/>
          </w:tcPr>
          <w:p>
            <w:pPr>
              <w:jc w:val="center"/>
              <w:ind w:left="1619"/>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center"/>
              <w:ind w:right="119"/>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20" w:type="dxa"/>
            <w:vAlign w:val="bottom"/>
            <w:gridSpan w:val="2"/>
          </w:tcPr>
          <w:p>
            <w:pPr>
              <w:jc w:val="center"/>
              <w:ind w:left="1619"/>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w w:val="99"/>
              </w:rPr>
              <w:t>4955 Technology Way</w:t>
            </w:r>
          </w:p>
        </w:tc>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jc w:val="center"/>
              <w:ind w:left="1619"/>
              <w:spacing w:after="0"/>
              <w:rPr>
                <w:sz w:val="20"/>
                <w:szCs w:val="20"/>
                <w:color w:val="auto"/>
              </w:rPr>
            </w:pPr>
            <w:r>
              <w:rPr>
                <w:rFonts w:ascii="Times New Roman" w:cs="Times New Roman" w:eastAsia="Times New Roman" w:hAnsi="Times New Roman"/>
                <w:sz w:val="18"/>
                <w:szCs w:val="18"/>
                <w:b w:val="1"/>
                <w:bCs w:val="1"/>
                <w:color w:val="auto"/>
              </w:rPr>
              <w:t>Boca Raton, Florida</w:t>
            </w:r>
          </w:p>
        </w:tc>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w w:val="97"/>
              </w:rPr>
              <w:t>33431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820" w:type="dxa"/>
            <w:vAlign w:val="bottom"/>
            <w:gridSpan w:val="2"/>
          </w:tcPr>
          <w:p>
            <w:pPr>
              <w:jc w:val="center"/>
              <w:ind w:left="16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6"/>
                <w:szCs w:val="16"/>
                <w:color w:val="auto"/>
              </w:rPr>
            </w:pPr>
          </w:p>
        </w:tc>
        <w:tc>
          <w:tcPr>
            <w:tcW w:w="40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2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4"/>
        </w:trPr>
        <w:tc>
          <w:tcPr>
            <w:tcW w:w="36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5"/>
                <w:szCs w:val="15"/>
                <w:b w:val="1"/>
                <w:bCs w:val="1"/>
                <w:color w:val="auto"/>
              </w:rPr>
              <w:t>Common Stock, $0.01 Par Value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GEO</w:t>
            </w: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3"/>
          </w:tcPr>
          <w:p>
            <w:pPr>
              <w:jc w:val="center"/>
              <w:ind w:right="519"/>
              <w:spacing w:after="0"/>
              <w:rPr>
                <w:sz w:val="20"/>
                <w:szCs w:val="20"/>
                <w:color w:val="auto"/>
              </w:rPr>
            </w:pPr>
            <w:r>
              <w:rPr>
                <w:rFonts w:ascii="Times New Roman" w:cs="Times New Roman" w:eastAsia="Times New Roman" w:hAnsi="Times New Roman"/>
                <w:sz w:val="15"/>
                <w:szCs w:val="15"/>
                <w:b w:val="1"/>
                <w:bCs w:val="1"/>
                <w:color w:val="auto"/>
              </w:rPr>
              <w:t>New York Stock Exchange</w:t>
            </w:r>
          </w:p>
        </w:tc>
        <w:tc>
          <w:tcPr>
            <w:tcW w:w="0" w:type="dxa"/>
            <w:vAlign w:val="bottom"/>
          </w:tcPr>
          <w:p>
            <w:pPr>
              <w:spacing w:after="0"/>
              <w:rPr>
                <w:sz w:val="1"/>
                <w:szCs w:val="1"/>
                <w:color w:val="auto"/>
              </w:rPr>
            </w:pPr>
          </w:p>
        </w:tc>
      </w:tr>
      <w:tr>
        <w:trPr>
          <w:trHeight w:val="216"/>
        </w:trPr>
        <w:tc>
          <w:tcPr>
            <w:tcW w:w="7920" w:type="dxa"/>
            <w:vAlign w:val="bottom"/>
            <w:gridSpan w:val="6"/>
          </w:tcPr>
          <w:p>
            <w:pPr>
              <w:jc w:val="center"/>
              <w:ind w:left="32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vMerge w:val="restart"/>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19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0"/>
        </w:trPr>
        <w:tc>
          <w:tcPr>
            <w:tcW w:w="8260" w:type="dxa"/>
            <w:vAlign w:val="bottom"/>
            <w:gridSpan w:val="7"/>
          </w:tcPr>
          <w:p>
            <w:pPr>
              <w:ind w:left="52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Yes</w:t>
            </w:r>
          </w:p>
        </w:tc>
        <w:tc>
          <w:tcPr>
            <w:tcW w:w="60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8260" w:type="dxa"/>
            <w:vAlign w:val="bottom"/>
            <w:gridSpan w:val="7"/>
          </w:tcPr>
          <w:p>
            <w:pPr>
              <w:ind w:left="52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6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19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180" w:firstLine="50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8420"/>
        <w:spacing w:after="0" w:line="184" w:lineRule="exact"/>
        <w:tabs>
          <w:tab w:leader="none" w:pos="90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jc w:val="both"/>
        <w:ind w:right="200" w:firstLine="50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p>
      <w:pPr>
        <w:spacing w:after="0" w:line="26" w:lineRule="exact"/>
        <w:rPr>
          <w:sz w:val="24"/>
          <w:szCs w:val="24"/>
          <w:color w:val="auto"/>
        </w:rPr>
      </w:pPr>
    </w:p>
    <w:p>
      <w:pPr>
        <w:spacing w:after="0" w:line="184" w:lineRule="exact"/>
        <w:tabs>
          <w:tab w:leader="none" w:pos="7880" w:val="left"/>
        </w:tabs>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51" w:lineRule="exact"/>
        <w:rPr>
          <w:sz w:val="24"/>
          <w:szCs w:val="24"/>
          <w:color w:val="auto"/>
        </w:rPr>
      </w:pPr>
    </w:p>
    <w:p>
      <w:pPr>
        <w:jc w:val="both"/>
        <w:ind w:right="300" w:firstLine="50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231F20"/>
        </w:rPr>
        <w:t>If securities are registered pursuant to Section 12(b) of the Act, indicate by check mark whether the financial statements of the registrant included in the filing reflect</w:t>
      </w:r>
    </w:p>
    <w:p>
      <w:pPr>
        <w:spacing w:after="0" w:line="8" w:lineRule="exact"/>
        <w:rPr>
          <w:sz w:val="24"/>
          <w:szCs w:val="24"/>
          <w:color w:val="auto"/>
        </w:rPr>
      </w:pPr>
    </w:p>
    <w:p>
      <w:pPr>
        <w:spacing w:after="0" w:line="184" w:lineRule="exact"/>
        <w:tabs>
          <w:tab w:leader="none" w:pos="8080" w:val="left"/>
        </w:tabs>
        <w:rPr>
          <w:sz w:val="20"/>
          <w:szCs w:val="20"/>
          <w:color w:val="auto"/>
        </w:rPr>
      </w:pPr>
      <w:r>
        <w:rPr>
          <w:rFonts w:ascii="Times New Roman" w:cs="Times New Roman" w:eastAsia="Times New Roman" w:hAnsi="Times New Roman"/>
          <w:sz w:val="16"/>
          <w:szCs w:val="16"/>
          <w:color w:val="231F20"/>
        </w:rPr>
        <w:t>the correction of an error to previously issued financial statements.</w:t>
      </w:r>
      <w:r>
        <w:rPr>
          <w:sz w:val="20"/>
          <w:szCs w:val="20"/>
          <w:color w:val="auto"/>
        </w:rPr>
        <w:tab/>
      </w:r>
      <w:r>
        <w:rPr>
          <w:rFonts w:ascii="MS PGothic" w:cs="MS PGothic" w:eastAsia="MS PGothic" w:hAnsi="MS PGothic"/>
          <w:sz w:val="14"/>
          <w:szCs w:val="14"/>
          <w:color w:val="auto"/>
        </w:rPr>
        <w:t>☐</w:t>
      </w:r>
    </w:p>
    <w:p>
      <w:pPr>
        <w:spacing w:after="0" w:line="2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231F20"/>
        </w:rPr>
        <w:t>Indicate by check mark whether any of those error corrections are restatements that required a recovery analysis of incentive-based compensation received by any of</w:t>
      </w:r>
    </w:p>
    <w:p>
      <w:pPr>
        <w:spacing w:after="0" w:line="8" w:lineRule="exact"/>
        <w:rPr>
          <w:sz w:val="24"/>
          <w:szCs w:val="24"/>
          <w:color w:val="auto"/>
        </w:rPr>
      </w:pPr>
    </w:p>
    <w:p>
      <w:pPr>
        <w:spacing w:after="0" w:line="184" w:lineRule="exact"/>
        <w:tabs>
          <w:tab w:leader="none" w:pos="7700" w:val="left"/>
        </w:tabs>
        <w:rPr>
          <w:sz w:val="20"/>
          <w:szCs w:val="20"/>
          <w:color w:val="auto"/>
        </w:rPr>
      </w:pPr>
      <w:r>
        <w:rPr>
          <w:rFonts w:ascii="Times New Roman" w:cs="Times New Roman" w:eastAsia="Times New Roman" w:hAnsi="Times New Roman"/>
          <w:sz w:val="16"/>
          <w:szCs w:val="16"/>
          <w:color w:val="231F20"/>
        </w:rPr>
        <w:t>the registrant’s executive officers during the relevant recovery period pursuant to §240.10D-1(b).</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40"/>
          </w:cols>
          <w:pgMar w:left="320" w:top="1262" w:right="339" w:bottom="1440" w:gutter="0" w:footer="0" w:header="0"/>
        </w:sectPr>
      </w:pPr>
    </w:p>
    <w:p>
      <w:pPr>
        <w:spacing w:after="0" w:line="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5">
            <w:col w:w="7200" w:space="160"/>
            <w:col w:w="260" w:space="80"/>
            <w:col w:w="140" w:space="160"/>
            <w:col w:w="200" w:space="80"/>
            <w:col w:w="2960"/>
          </w:cols>
          <w:pgMar w:left="320" w:top="1262" w:right="339" w:bottom="1440" w:gutter="0" w:footer="0" w:header="0"/>
          <w:type w:val="continuous"/>
        </w:sectPr>
      </w:pPr>
    </w:p>
    <w:p>
      <w:pPr>
        <w:jc w:val="both"/>
        <w:ind w:right="100" w:firstLine="509"/>
        <w:spacing w:after="0" w:line="275" w:lineRule="auto"/>
        <w:rPr>
          <w:sz w:val="20"/>
          <w:szCs w:val="20"/>
          <w:color w:val="auto"/>
        </w:rPr>
      </w:pPr>
      <w:r>
        <w:rPr>
          <w:rFonts w:ascii="Times New Roman" w:cs="Times New Roman" w:eastAsia="Times New Roman" w:hAnsi="Times New Roman"/>
          <w:sz w:val="16"/>
          <w:szCs w:val="16"/>
          <w:color w:val="auto"/>
        </w:rPr>
        <w:t>The aggregate market value of the 136,868,866 voting and non-voting shares of common stock held by non-affiliates of the registrant as of June 28, 2024 (based on the last reported sales price of such stock on the New York Stock Exchange on such date, the last business day of the registrant's quarter ended June 30, 2024 of $14.36 per share) was approximately $2.0 billion.</w:t>
      </w:r>
    </w:p>
    <w:p>
      <w:pPr>
        <w:spacing w:after="0" w:line="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February 24, 2025, the registrant had 140,379,419 shares of common stock outstanding.</w:t>
      </w:r>
    </w:p>
    <w:p>
      <w:pPr>
        <w:spacing w:after="0" w:line="5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ind w:right="320" w:firstLine="509"/>
        <w:spacing w:after="0" w:line="281"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pursuant to Regulation 14A of the Securities Exchange Act of 1934 for its 2025 annual meeting of shareholders, which will be filed with the Securities and Exchange Commission within 120 days after the end of the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type w:val="continuous"/>
        </w:sectPr>
      </w:pPr>
    </w:p>
    <w:bookmarkStart w:id="1" w:name="page2"/>
    <w:bookmarkEnd w:id="1"/>
    <w:p>
      <w:pPr>
        <w:spacing w:after="0"/>
        <w:tabs>
          <w:tab w:leader="none" w:pos="2160" w:val="left"/>
          <w:tab w:leader="none" w:pos="4840" w:val="left"/>
        </w:tabs>
        <w:rPr>
          <w:sz w:val="20"/>
          <w:szCs w:val="20"/>
          <w:color w:val="auto"/>
        </w:rPr>
      </w:pPr>
      <w:r>
        <w:rPr>
          <w:rFonts w:ascii="Times New Roman" w:cs="Times New Roman" w:eastAsia="Times New Roman" w:hAnsi="Times New Roman"/>
          <w:sz w:val="16"/>
          <w:szCs w:val="16"/>
          <w:color w:val="auto"/>
        </w:rPr>
        <w:t>Auditor Firm Id: 248</w:t>
      </w:r>
      <w:r>
        <w:rPr>
          <w:sz w:val="20"/>
          <w:szCs w:val="20"/>
          <w:color w:val="auto"/>
        </w:rPr>
        <w:tab/>
      </w:r>
      <w:r>
        <w:rPr>
          <w:rFonts w:ascii="Times New Roman" w:cs="Times New Roman" w:eastAsia="Times New Roman" w:hAnsi="Times New Roman"/>
          <w:sz w:val="16"/>
          <w:szCs w:val="16"/>
          <w:color w:val="auto"/>
        </w:rPr>
        <w:t>Auditor Name: Grant Thornton LLP</w:t>
        <w:tab/>
        <w:t>Auditor Location: Miami, Florida,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166370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183515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453390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05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20" w:type="dxa"/>
            <w:vAlign w:val="bottom"/>
            <w:gridSpan w:val="16"/>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580" w:type="dxa"/>
            <w:vAlign w:val="bottom"/>
            <w:gridSpan w:val="13"/>
            <w:vMerge w:val="restart"/>
          </w:tcPr>
          <w:p>
            <w:pPr>
              <w:jc w:val="center"/>
              <w:ind w:right="498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580" w:type="dxa"/>
            <w:vAlign w:val="bottom"/>
            <w:gridSpan w:val="1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Business</w:t>
            </w:r>
          </w:p>
        </w:tc>
        <w:tc>
          <w:tcPr>
            <w:tcW w:w="600" w:type="dxa"/>
            <w:vAlign w:val="bottom"/>
            <w:tcBorders>
              <w:top w:val="single" w:sz="8" w:color="0000EE"/>
            </w:tcBorders>
            <w:gridSpan w:val="3"/>
          </w:tcPr>
          <w:p>
            <w:pPr>
              <w:spacing w:after="0"/>
              <w:rPr>
                <w:sz w:val="17"/>
                <w:szCs w:val="17"/>
                <w:color w:val="auto"/>
              </w:rPr>
            </w:pPr>
          </w:p>
        </w:tc>
        <w:tc>
          <w:tcPr>
            <w:tcW w:w="498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i w:val="1"/>
                <w:iCs w:val="1"/>
                <w:color w:val="0000FF"/>
                <w:w w:val="98"/>
              </w:rPr>
              <w:t>Risk Factors</w:t>
            </w:r>
          </w:p>
        </w:tc>
        <w:tc>
          <w:tcPr>
            <w:tcW w:w="8660" w:type="dxa"/>
            <w:vAlign w:val="bottom"/>
            <w:gridSpan w:val="2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Unresolved Staff Comments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Cybersecurity</w:t>
            </w:r>
          </w:p>
        </w:tc>
        <w:tc>
          <w:tcPr>
            <w:tcW w:w="7580" w:type="dxa"/>
            <w:vAlign w:val="bottom"/>
            <w:gridSpan w:val="1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0000FF"/>
                <w:w w:val="97"/>
              </w:rPr>
              <w:t>Properties</w:t>
            </w:r>
          </w:p>
        </w:tc>
        <w:tc>
          <w:tcPr>
            <w:tcW w:w="240" w:type="dxa"/>
            <w:vAlign w:val="bottom"/>
            <w:tcBorders>
              <w:top w:val="single" w:sz="8" w:color="0000EE"/>
            </w:tcBorders>
            <w:gridSpan w:val="3"/>
          </w:tcPr>
          <w:p>
            <w:pPr>
              <w:spacing w:after="0"/>
              <w:rPr>
                <w:sz w:val="17"/>
                <w:szCs w:val="17"/>
                <w:color w:val="auto"/>
              </w:rPr>
            </w:pPr>
          </w:p>
        </w:tc>
        <w:tc>
          <w:tcPr>
            <w:tcW w:w="8580" w:type="dxa"/>
            <w:vAlign w:val="bottom"/>
            <w:gridSpan w:val="2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i w:val="1"/>
                <w:iCs w:val="1"/>
                <w:color w:val="0000FF"/>
                <w:w w:val="98"/>
              </w:rPr>
              <w:t>Legal Proceedings</w:t>
            </w:r>
          </w:p>
        </w:tc>
        <w:tc>
          <w:tcPr>
            <w:tcW w:w="8220" w:type="dxa"/>
            <w:vAlign w:val="bottom"/>
            <w:gridSpan w:val="2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4"/>
          </w:tcPr>
          <w:p>
            <w:pPr>
              <w:jc w:val="center"/>
              <w:ind w:right="4940"/>
              <w:spacing w:after="0" w:line="19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i w:val="1"/>
                <w:iCs w:val="1"/>
                <w:color w:val="0000FF"/>
              </w:rPr>
              <w:t>Market for Registrant’s Common Equity, Related Stockholder Matters and Issuer Purchases of Equity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EE"/>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FF"/>
              </w:rPr>
              <w:t>[</w:t>
            </w:r>
            <w:r>
              <w:rPr>
                <w:rFonts w:ascii="Times New Roman" w:cs="Times New Roman" w:eastAsia="Times New Roman" w:hAnsi="Times New Roman"/>
                <w:sz w:val="17"/>
                <w:szCs w:val="17"/>
                <w:i w:val="1"/>
                <w:iCs w:val="1"/>
                <w:color w:val="0000FF"/>
              </w:rPr>
              <w:t>Reserved]</w:t>
            </w:r>
          </w:p>
        </w:tc>
        <w:tc>
          <w:tcPr>
            <w:tcW w:w="7300" w:type="dxa"/>
            <w:vAlign w:val="bottom"/>
            <w:tcBorders>
              <w:top w:val="single" w:sz="8" w:color="0000EE"/>
            </w:tcBorders>
            <w:gridSpan w:val="27"/>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Management’s Discussion and Analysis of Financial Condition and Results of Operations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i w:val="1"/>
                <w:iCs w:val="1"/>
                <w:color w:val="0000FF"/>
                <w:w w:val="99"/>
              </w:rPr>
              <w:t>Quantitative and Qualitative Disclosures About Market Risk</w:t>
            </w:r>
          </w:p>
        </w:tc>
        <w:tc>
          <w:tcPr>
            <w:tcW w:w="2120" w:type="dxa"/>
            <w:vAlign w:val="bottom"/>
            <w:tcBorders>
              <w:top w:val="single" w:sz="8" w:color="0000EE"/>
            </w:tcBorders>
            <w:gridSpan w:val="7"/>
          </w:tcPr>
          <w:p>
            <w:pPr>
              <w:spacing w:after="0"/>
              <w:rPr>
                <w:sz w:val="17"/>
                <w:szCs w:val="17"/>
                <w:color w:val="auto"/>
              </w:rPr>
            </w:pPr>
          </w:p>
        </w:tc>
        <w:tc>
          <w:tcPr>
            <w:tcW w:w="31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Financial Statements and Supplementary Data</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i w:val="1"/>
                <w:iCs w:val="1"/>
                <w:color w:val="0000FF"/>
                <w:w w:val="99"/>
              </w:rPr>
              <w:t>Changes in and Disagreements with Accountants on Accounting and Financial Disclosure</w:t>
            </w:r>
          </w:p>
        </w:tc>
        <w:tc>
          <w:tcPr>
            <w:tcW w:w="30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i w:val="1"/>
                <w:iCs w:val="1"/>
                <w:color w:val="0000FF"/>
                <w:w w:val="98"/>
              </w:rPr>
              <w:t>Controls and Procedures</w:t>
            </w:r>
          </w:p>
        </w:tc>
        <w:tc>
          <w:tcPr>
            <w:tcW w:w="776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Other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i w:val="1"/>
                <w:iCs w:val="1"/>
                <w:color w:val="0000FF"/>
                <w:w w:val="99"/>
              </w:rPr>
              <w:t>Disclosure Regarding Foreign Jurisdictions that Prevent Inspections</w:t>
            </w:r>
          </w:p>
        </w:tc>
        <w:tc>
          <w:tcPr>
            <w:tcW w:w="46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88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i w:val="1"/>
                <w:iCs w:val="1"/>
                <w:color w:val="0000FF"/>
                <w:w w:val="99"/>
              </w:rPr>
              <w:t>Directors, Executive Officers and Corporate Governance</w:t>
            </w:r>
          </w:p>
        </w:tc>
        <w:tc>
          <w:tcPr>
            <w:tcW w:w="544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Executive Compensation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Security Ownership of Certain Beneficial Owners and Management and Related Stockholder 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54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i w:val="1"/>
                <w:iCs w:val="1"/>
                <w:color w:val="0000FF"/>
                <w:w w:val="99"/>
              </w:rPr>
              <w:t>Certain Relationships and Related Transactions, and Director Independence</w:t>
            </w:r>
          </w:p>
        </w:tc>
        <w:tc>
          <w:tcPr>
            <w:tcW w:w="1760" w:type="dxa"/>
            <w:vAlign w:val="bottom"/>
            <w:tcBorders>
              <w:top w:val="single" w:sz="8" w:color="0000EE"/>
            </w:tcBorders>
            <w:gridSpan w:val="3"/>
          </w:tcPr>
          <w:p>
            <w:pPr>
              <w:spacing w:after="0"/>
              <w:rPr>
                <w:sz w:val="17"/>
                <w:szCs w:val="17"/>
                <w:color w:val="auto"/>
              </w:rPr>
            </w:pPr>
          </w:p>
        </w:tc>
        <w:tc>
          <w:tcPr>
            <w:tcW w:w="228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Principal Accounting Fees and Services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40" w:type="dxa"/>
            <w:vAlign w:val="bottom"/>
            <w:gridSpan w:val="15"/>
          </w:tcPr>
          <w:p>
            <w:pPr>
              <w:jc w:val="center"/>
              <w:ind w:right="4900"/>
              <w:spacing w:after="0" w:line="19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i w:val="1"/>
                <w:iCs w:val="1"/>
                <w:color w:val="0000FF"/>
                <w:w w:val="99"/>
              </w:rPr>
              <w:t>Exhibits and Financial Statement Schedule</w:t>
            </w:r>
          </w:p>
        </w:tc>
        <w:tc>
          <w:tcPr>
            <w:tcW w:w="860" w:type="dxa"/>
            <w:vAlign w:val="bottom"/>
            <w:gridSpan w:val="3"/>
          </w:tcPr>
          <w:p>
            <w:pPr>
              <w:spacing w:after="0"/>
              <w:rPr>
                <w:sz w:val="24"/>
                <w:szCs w:val="24"/>
                <w:color w:val="auto"/>
              </w:rPr>
            </w:pPr>
          </w:p>
        </w:tc>
        <w:tc>
          <w:tcPr>
            <w:tcW w:w="720" w:type="dxa"/>
            <w:vAlign w:val="bottom"/>
            <w:tcBorders>
              <w:top w:val="single" w:sz="8" w:color="0000EE"/>
            </w:tcBorders>
            <w:gridSpan w:val="6"/>
          </w:tcPr>
          <w:p>
            <w:pPr>
              <w:spacing w:after="0"/>
              <w:rPr>
                <w:sz w:val="24"/>
                <w:szCs w:val="24"/>
                <w:color w:val="auto"/>
              </w:rPr>
            </w:pPr>
          </w:p>
        </w:tc>
        <w:tc>
          <w:tcPr>
            <w:tcW w:w="490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5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Form 10-K Summary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5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Signatures</w:t>
            </w:r>
          </w:p>
        </w:tc>
        <w:tc>
          <w:tcPr>
            <w:tcW w:w="8060" w:type="dxa"/>
            <w:vAlign w:val="bottom"/>
            <w:gridSpan w:val="2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669"/>
        </w:trPr>
        <w:tc>
          <w:tcPr>
            <w:tcW w:w="98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220" w:type="dxa"/>
            <w:vAlign w:val="bottom"/>
            <w:gridSpan w:val="23"/>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73"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the terms “we,” “us,” “our,” “GEO” and the “Company” refer to The GEO Group, Inc., its consolidated subsidiaries and its unconsolidated affiliates, unless otherwise expressly stated or the context otherwise requires.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community-based programs. We also provide secure transportation services domestically and in the United Kingdom through our joint venture GEOAmey Ltd. (“GEOAmey”). As of December 31, 2024, our worldwide operations included the management and/or ownership of approximately 79,000 beds at 99 secure and community-based facilities, including idle facilities, and also includes the provision of reentry and electronic monitoring and supervision services for thousands of individuals, including an array of technology products including radio frequency, GPS, and alcohol monitoring devices.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provide a diversified scope of services on behalf of our government agency partners:</w:t>
      </w:r>
    </w:p>
    <w:p>
      <w:pPr>
        <w:spacing w:after="0" w:line="117" w:lineRule="exact"/>
        <w:rPr>
          <w:sz w:val="20"/>
          <w:szCs w:val="20"/>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 facility management services involve the provision of security, administrative, rehabilitation, education, and food services at secure services facilities;</w:t>
      </w:r>
    </w:p>
    <w:p>
      <w:pPr>
        <w:spacing w:after="0" w:line="53" w:lineRule="exact"/>
        <w:rPr>
          <w:rFonts w:ascii="Times New Roman" w:cs="Times New Roman" w:eastAsia="Times New Roman" w:hAnsi="Times New Roman"/>
          <w:sz w:val="18"/>
          <w:szCs w:val="18"/>
          <w:color w:val="auto"/>
        </w:rPr>
      </w:pPr>
    </w:p>
    <w:p>
      <w:pPr>
        <w:ind w:left="900" w:right="44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comprehensive electronic monitoring and supervision services;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new facilities, using our project development experience to design, construct and finance what we believe are state-of-the-art facilities;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secure transportation services;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services are provided at facilities which we either own, lease or are owned by our government agency partners.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conduct our business through four reportable business segments: our U.S. Secure Services segment; our Electronic Monitoring and Supervision Services segment; our Reentry Services segment and our International Services segment. We have identified these four reportable segments to reflect our current view that we operate four distinct business lines, each of which constitutes a material part of our overall business.</w:t>
      </w:r>
    </w:p>
    <w:p>
      <w:pPr>
        <w:spacing w:after="0" w:line="122" w:lineRule="exact"/>
        <w:rPr>
          <w:sz w:val="20"/>
          <w:szCs w:val="20"/>
          <w:color w:val="auto"/>
        </w:rPr>
      </w:pPr>
    </w:p>
    <w:p>
      <w:pPr>
        <w:ind w:right="60" w:firstLine="554"/>
        <w:spacing w:after="0" w:line="256" w:lineRule="auto"/>
        <w:rPr>
          <w:sz w:val="20"/>
          <w:szCs w:val="20"/>
          <w:color w:val="auto"/>
        </w:rPr>
      </w:pPr>
      <w:r>
        <w:rPr>
          <w:rFonts w:ascii="Times New Roman" w:cs="Times New Roman" w:eastAsia="Times New Roman" w:hAnsi="Times New Roman"/>
          <w:sz w:val="18"/>
          <w:szCs w:val="18"/>
          <w:color w:val="auto"/>
        </w:rPr>
        <w:t>Our U.S. Secure Services segment primarily encompasses our U.S.-based public-private partnership secure services business. Our Electronic Monitoring and Supervision Services segment, which conducts its services in the U.S., consists of our electronic monitoring and supervision services. Our Reentry Services segment consists of various community-based and reentry services. Our International Services segment primarily consists of our public-private partnership secure services operations in Australia and South Africa. Financial information about these segments for years 2024, 2023 and 2022 is contained in Note 14 — Business Segments and Geographic Information included in the notes to our audited consolidated financial statements included in Part II, Item 8 of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Brian Evans as Chief Executive Officer</w:t>
      </w:r>
    </w:p>
    <w:p>
      <w:pPr>
        <w:spacing w:after="0" w:line="229" w:lineRule="exact"/>
        <w:rPr>
          <w:sz w:val="20"/>
          <w:szCs w:val="20"/>
          <w:color w:val="auto"/>
        </w:rPr>
      </w:pPr>
    </w:p>
    <w:p>
      <w:pPr>
        <w:ind w:right="1100" w:firstLine="458"/>
        <w:spacing w:after="0" w:line="282" w:lineRule="auto"/>
        <w:rPr>
          <w:sz w:val="20"/>
          <w:szCs w:val="20"/>
          <w:color w:val="auto"/>
        </w:rPr>
      </w:pPr>
      <w:r>
        <w:rPr>
          <w:rFonts w:ascii="Times New Roman" w:cs="Times New Roman" w:eastAsia="Times New Roman" w:hAnsi="Times New Roman"/>
          <w:sz w:val="18"/>
          <w:szCs w:val="18"/>
          <w:color w:val="auto"/>
        </w:rPr>
        <w:t>On December 11, 2024, Brian Evans, our former Chief Executive Officer, provided notice to the Company of his retirement effective December 31, 2024 (the “Separation Date”).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4" w:name="page5"/>
    <w:bookmarkEnd w:id="4"/>
    <w:p>
      <w:pPr>
        <w:ind w:firstLine="458"/>
        <w:spacing w:after="0" w:line="253" w:lineRule="auto"/>
        <w:rPr>
          <w:sz w:val="20"/>
          <w:szCs w:val="20"/>
          <w:color w:val="auto"/>
        </w:rPr>
      </w:pPr>
      <w:r>
        <w:rPr>
          <w:rFonts w:ascii="Times New Roman" w:cs="Times New Roman" w:eastAsia="Times New Roman" w:hAnsi="Times New Roman"/>
          <w:sz w:val="18"/>
          <w:szCs w:val="18"/>
          <w:color w:val="auto"/>
        </w:rPr>
        <w:t>Mr. Evans and GEO entered into a Separation Agreement and General Release on December 13, 2024 (the “Separation Agreement”). Pursuant to the terms of the Separation Agreement, Mr. Evans will be entitled to receive the following in addition to accrued wages: (i) the payment of $85,834 per month commencing on the Separation Date and continuing through December 31, 2026; (ii) the payment of his annual performance award for the year ending December 31, 2024, which will be paid in 2025, at the same time and under the same terms as other GEO executives: (iii) the benefits described in Section 5 of his employment agreement for Mr. Evans and his covered dependents for a period of five years after the Separation Date; (iv) all of the Company’s interest in any automobile used by Mr. Evans pursuant to the our Executive Automobile Policy (the “Executive Automobile Policy”) and we shall pay the balance of any outstanding loan or lease on such automobile; (v) all outstanding unvested stock options and restricted stock granted to Mr. Evans prior to his retirement will fully vest immediately upon the Separation Date, provided, however that any restricted stock that is still subject to performance-based vesting shall vest when and to the extent the Compensation Committee certifies that the performance goals are actually met; and (vi) the payment of reasonable legal fees and costs incurred by Mr. Evans in connection with the Separation Agreement up to $25,000. The Separation Agreement also contains a mutual release, confidentiality and non-disparagement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J. David Donahue as Chief Executive Officer</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 David Donahue was appointed Chief Executive Officer on December 16, 2024, effective January 1, 2025.</w:t>
      </w:r>
    </w:p>
    <w:p>
      <w:pPr>
        <w:spacing w:after="0" w:line="225" w:lineRule="exact"/>
        <w:rPr>
          <w:sz w:val="20"/>
          <w:szCs w:val="20"/>
          <w:color w:val="auto"/>
        </w:rPr>
      </w:pPr>
    </w:p>
    <w:p>
      <w:pPr>
        <w:jc w:val="both"/>
        <w:ind w:right="20" w:firstLine="458"/>
        <w:spacing w:after="0" w:line="266" w:lineRule="auto"/>
        <w:rPr>
          <w:sz w:val="20"/>
          <w:szCs w:val="20"/>
          <w:color w:val="auto"/>
        </w:rPr>
      </w:pPr>
      <w:r>
        <w:rPr>
          <w:rFonts w:ascii="Times New Roman" w:cs="Times New Roman" w:eastAsia="Times New Roman" w:hAnsi="Times New Roman"/>
          <w:sz w:val="18"/>
          <w:szCs w:val="18"/>
          <w:color w:val="auto"/>
        </w:rPr>
        <w:t>Mr. Donahue joined GEO as the Eastern Region Vice President in 2009 after a career in corrections with the States of Indiana and Kentucky as well as the Federal Bureau of Prisons. Mr. Donahue was promoted to Senior Vice President and President, GEO Corrections and Detention in January 2016 and served in that position until he retired in July 2020. Mr. Donahue served as a consultant to GEO from July 2020 through July 2023.</w:t>
      </w:r>
    </w:p>
    <w:p>
      <w:pPr>
        <w:spacing w:after="0" w:line="392" w:lineRule="exact"/>
        <w:rPr>
          <w:sz w:val="20"/>
          <w:szCs w:val="20"/>
          <w:color w:val="auto"/>
        </w:rPr>
      </w:pPr>
    </w:p>
    <w:p>
      <w:pPr>
        <w:ind w:right="200" w:firstLine="458"/>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Mr. Donahue and the Company entered into an Executive Employment Agreement (the “Employment Agreement”) on December 16, 2024 to provide that Mr. Donahue will be employed by the Company for a two-year term beginning January 1, 2025 (the “Effective Date”). The term of the Employment Agreement may be extended by mutual agreement of the parties on an annual basis subject to the termination provisions in the Employment Agreement. Pursuant to the terms of the Employment Agreement, Mr. Donahue will serve as Chief Executive Officer and report directly to the Executive Chairman. Either Mr. Donahue or the Company may terminate Mr. Donahue’s employment under the Employment Agreement for any reason upon not less than thirty (30) days written notice.</w:t>
      </w:r>
    </w:p>
    <w:p>
      <w:pPr>
        <w:spacing w:after="0" w:line="187" w:lineRule="exact"/>
        <w:rPr>
          <w:sz w:val="20"/>
          <w:szCs w:val="20"/>
          <w:color w:val="auto"/>
        </w:rPr>
      </w:pPr>
    </w:p>
    <w:p>
      <w:pPr>
        <w:ind w:right="20" w:firstLine="458"/>
        <w:spacing w:after="0" w:line="258" w:lineRule="auto"/>
        <w:rPr>
          <w:sz w:val="20"/>
          <w:szCs w:val="20"/>
          <w:color w:val="auto"/>
        </w:rPr>
      </w:pPr>
      <w:r>
        <w:rPr>
          <w:rFonts w:ascii="Times New Roman" w:cs="Times New Roman" w:eastAsia="Times New Roman" w:hAnsi="Times New Roman"/>
          <w:sz w:val="18"/>
          <w:szCs w:val="18"/>
          <w:color w:val="auto"/>
        </w:rPr>
        <w:t>Under the terms of the Employment Agreement, Mr. Donahue will be paid an annual base salary of $1,000,000, subject to the review and potential increase in the sole discretion of the Compensation Committee. Mr. Donahue will also be entitled to receive a target annual performance award of 100% of Mr. Donahue’s base salary and be entitled to receive an annual equity incentive award of restricted stock with a grant date fair value equal to at least 100% of Mr. Donahue’s base salary that shall vest upon the attainment of certain performance goals in accordance with the terms of our equity compensation plan.</w:t>
      </w:r>
    </w:p>
    <w:p>
      <w:pPr>
        <w:spacing w:after="0" w:line="183" w:lineRule="exact"/>
        <w:rPr>
          <w:sz w:val="20"/>
          <w:szCs w:val="20"/>
          <w:color w:val="auto"/>
        </w:rPr>
      </w:pPr>
    </w:p>
    <w:p>
      <w:pPr>
        <w:ind w:right="20" w:firstLine="458"/>
        <w:spacing w:after="0" w:line="252" w:lineRule="auto"/>
        <w:rPr>
          <w:sz w:val="20"/>
          <w:szCs w:val="20"/>
          <w:color w:val="auto"/>
        </w:rPr>
      </w:pPr>
      <w:r>
        <w:rPr>
          <w:rFonts w:ascii="Times New Roman" w:cs="Times New Roman" w:eastAsia="Times New Roman" w:hAnsi="Times New Roman"/>
          <w:sz w:val="18"/>
          <w:szCs w:val="18"/>
          <w:color w:val="auto"/>
        </w:rPr>
        <w:t>The Employment Agreement provides that upon the separation of employment by Mr. Donahue for good reason, by the Company without cause or upon the death or disability of Mr. Donahue, he will be entitled to receive a separation payment equal to one (1) times the sum of his annual base salary. We will also continue to provide Mr. Donahue and any covered dependents with the Executive Benefits as defined in the Employment Agreement for a period of eighteen (18) months after the date of separation. In the event of Mr. Donahue’s death within such eighteen (18) month period, we will continue to provide the Executive Benefits to Mr. Donahue’s covered dependents, and, if applicable to Mr. Donahue’s estate. In addition, the Employment Agreement provides that upon such separation, GEO will transfer all of its interest in any automobile used by Mr. Donahue pursuant to the Executive Automobile Policy and pay the balance of any outstanding loans or leases on such automobile so that Mr. Donahue owns the automobile outright. In the event such automobile is leased, GEO will pay the residual cost of the lease. Lastly, all of the outstanding and unvested stock options and restricted stock granted to Mr. Donahue prior to separation will fully vest immediately upon separation; provided, however that any restricted stock that is subject to performance-based vesting shall only vest when and to the extent the Compensation Committee certifies that the performance goals are actually met. Upon a separation of employment by GEO for cause or by Mr. Donahue without good reason, Mr. Donahue will be entitled to only the amount of compensation that is due through the effective date of the separation. Except that if Mr. Donahue’s separation from his employment is the result of his retirement in accordance with our then-current Senior Officer Retirement Plan (the “Retirement Plan”), all of the outstanding unvested stock options and restricted stock granted to Mr. Donahue prior to his retirement will fully vest immediately as of the date of his retirement; provided however, that any restricted stock that is still subject to performance-based vesting at the time of his retirement shall only vest when and to the extent the Compensation Committee certifies that the performance goals are actually met, and provided that Mr. Donahue remains in full compliance with the restrictive covenants set forth in the Employment Agreement. The Employment Agreement also provides that termination of the Employment Agreement for any reason shall not affect Mr. Donahue’s rights under the then applicable Retirement Plan. Mr. Donahue began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5" w:name="page6"/>
    <w:bookmarkEnd w:id="5"/>
    <w:p>
      <w:pPr>
        <w:ind w:right="100"/>
        <w:spacing w:after="0" w:line="266" w:lineRule="auto"/>
        <w:rPr>
          <w:sz w:val="20"/>
          <w:szCs w:val="20"/>
          <w:color w:val="auto"/>
        </w:rPr>
      </w:pPr>
      <w:r>
        <w:rPr>
          <w:rFonts w:ascii="Times New Roman" w:cs="Times New Roman" w:eastAsia="Times New Roman" w:hAnsi="Times New Roman"/>
          <w:sz w:val="18"/>
          <w:szCs w:val="18"/>
          <w:color w:val="auto"/>
        </w:rPr>
        <w:t>receiving the retirement benefits he was eligible for upon his retirement in July 2020 pursuant to the terms of the Retirement Plan. GEO will suspend the payment of retirement benefits while Mr. Donahue is employed as Chief Executive Officer. The Employment Agreement includes a non-competition covenant that runs through the three-year period following the separation of the executive’s employment, and confidentiality and work product provisions.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Developments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On February 27, 2025, we announced that we have been awarded a 15-year, fixed price contract by ICE to provide support services for the establishment of a federal immigration processing center at our company-owned, 1000-bed Delaney Hall Facility in Newark, New Jersey. GEO’s support services include the exclusive use of the Facility by ICE, along with security, maintenance, and food services, as well as access to recreational amenities, medical care, and legal counsel.</w:t>
      </w:r>
    </w:p>
    <w:p>
      <w:pPr>
        <w:spacing w:after="0" w:line="180"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 the first weeks of the new Administration, President Trump issued an Executive Order reversing the prior Administration's Executive Order that had directed the U.S. Attorney General to not renew U.S. Department of Justice contracts with privately-operated criminal detention facilities.</w:t>
      </w:r>
    </w:p>
    <w:p>
      <w:pPr>
        <w:spacing w:after="0" w:line="162"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In January of 2025, the United States District Court for the Central District of California lifted the long-standing intake restrictions at the Adelanto ICE Processing Center, which dated back to the early days of the COVID pandemic.</w:t>
      </w:r>
    </w:p>
    <w:p>
      <w:pPr>
        <w:spacing w:after="0" w:line="162" w:lineRule="exact"/>
        <w:rPr>
          <w:sz w:val="20"/>
          <w:szCs w:val="20"/>
          <w:color w:val="auto"/>
        </w:rPr>
      </w:pPr>
    </w:p>
    <w:p>
      <w:pPr>
        <w:ind w:right="180" w:firstLine="495"/>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contracts for our 1,940-bed Adelanto ICE Processing Center; 400-bed Mesa Verde ICE Processing Center; 750-bed Desert View Annex; and 700-bed Golden State Annex were renewed for five-year terms through December of 2029.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Idle Facilities</w:t>
      </w:r>
    </w:p>
    <w:p>
      <w:pPr>
        <w:spacing w:after="0" w:line="17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our Secure Services segment, as of December 31, 2024, we are marketing 10,486 vacant beds with a net book value of approximately $260.6 million at seven of our idle facilities to potential customers. In our Reentry Services segment, as of December 31, 2024, we are marketing 1,189 vacant beds with a net book value of approximately $26.8 million at four of our idle facilities to potential customers. The combined annual carrying cost of these idle facilities in 2025 is estimated to be $33.0 million, including depreciation expense of $16.8 million. With the exception of a contract pending due diligence for one of our secure facilities,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eleven idle facilities in our Secure Services and Reentry Services segments were to be activated using our Secure Services and Reentry Services average per diem rate in 2024 (calculated as revenue divided by the number of mandays) and based on the average occupancy rate in our facilities for 2024, we would expect to receive annual incremental revenue of approximately $377 million and an increase in annual earnings per share of approximately $0.36 to $0.40 per share based on our average operating margin.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of Operations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each facility in accordance with our company-wide policies and procedures and with the standards and guidelines required under the relevant management contract. For many facilities, the standards and guidelines include those established by the American Correctional Association (“ACA”). The ACA is an independent organization of corrections professionals, which establishes correctional facility standards and guidelines that are generally acknowledged as a benchmark by governmental agencies responsible for correctional facilities. Many of our contracts in the United States require us to seek and maintain ACA accreditation for our facilities. We have sought and received ACA accreditation and re-accreditation for all such facilities. We achieved a median re-accreditation score of 100% as of December 31, 2024. Approximately 96% of our 2024 U.S. Secure Services revenue was derived from ACA accredited facilities for the year ended December 31, 2024. We have been successful in achieving and maintaining accreditation under the National Commission on Correctional Health Care ("NCCHC") in a majority of the facilities that we currently operate. The NCCHC accreditation is a voluntary process which we have used to establish comprehensive health care policies and procedures to meet and adhere to the ACA standards. The NCCHC standards, in most cases, exceed ACA Health Care Standards and we have achieved this accreditation at 24 of our U.S. Secure Services facilities and at one reentry services location.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7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October 2024, we issued our sixth Human Rights and Environmental, Social and Governance (“ESG”) report. The Human Rights and ESG report builds on the important milestone we achieved in 2013 when our Board adopted a Global Human Rights Policy by providing disclosures related to how we inform our employees of our commitment to respecting human rights; the criteria we use to assess human rights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ind w:right="60"/>
        <w:spacing w:after="0" w:line="255" w:lineRule="auto"/>
        <w:rPr>
          <w:sz w:val="20"/>
          <w:szCs w:val="20"/>
          <w:color w:val="auto"/>
        </w:rPr>
      </w:pPr>
      <w:r>
        <w:rPr>
          <w:rFonts w:ascii="Times New Roman" w:cs="Times New Roman" w:eastAsia="Times New Roman" w:hAnsi="Times New Roman"/>
          <w:sz w:val="18"/>
          <w:szCs w:val="18"/>
          <w:color w:val="auto"/>
        </w:rPr>
        <w:t>performance; and our contract compliance program, remedies to shortcomings in human rights performance, and independent verification of our performance by third party organizations. The Human Rights and ESG report also addresses criteria, based on recognized ESG reporting standards, related to the development of our employees; our efforts to advance environmental sustainability in the construction and operation of our facilities; and our adherence to ethical governance practices throughout our company. The report covers the year ended December 31, 2023 with supporting data from 2021-2023 where possible. The report showcases, among other items, our company wide awareness and training programs, our commitment to a safe and humane environment for everyone in our care, employee diversity, addressing recidivism through our GEO Continuum of Care, our engagement efforts with our stakeholders, oversight and contract compliance, conservation measures and enhanced environmental sustainability efforts.</w:t>
      </w:r>
    </w:p>
    <w:p>
      <w:pPr>
        <w:spacing w:after="0" w:line="189"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ESG report was prepared with reference to the GRI Standards related to General Disclosures, Economic Topics, Environmental Topics and Social Topics based on the Global Reporting Initiative, or GRI, issued by the Global Sustainability Standards Board and the UN Guiding Principles on Business and Human Rights. GRI is an international independent standards organization created to help business, government and other organizations understand and communicate how their operations affect issues of global importance, such as human rights, corruption and climate change. We have referenced the GRI Standards and the UN Guiding Principles on Business and Human Rights as we have recognized the need for a transparent and disciplined enterprise-wide approach. In our pursuit of this approach, we have begun with the following set of ongoing objectives:</w:t>
      </w:r>
    </w:p>
    <w:p>
      <w:pPr>
        <w:spacing w:after="0" w:line="187" w:lineRule="exact"/>
        <w:rPr>
          <w:sz w:val="20"/>
          <w:szCs w:val="20"/>
          <w:color w:val="auto"/>
        </w:rPr>
      </w:pPr>
    </w:p>
    <w:p>
      <w:pPr>
        <w:ind w:left="1020" w:right="5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greater transparency for our stakeholders and the general public with respect to our various efforts in all our facilities aimed at respecting human rights.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ability to flag potential issues in all areas of our operations and compress the time it takes to respond with corrective measures.</w:t>
      </w:r>
    </w:p>
    <w:p>
      <w:pPr>
        <w:spacing w:after="0" w:line="225"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widely accepted methodologies for evaluating performance and setting objectives for improvements in corporate governance, corporate social policy, environmental impact and energy conservation.</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ESG report may be accessed on our website under "Investors-Latest Reports-Latest ESG Report." The information included in the Human Rights and ESG report is not incorporated by reference into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 Overview</w:t>
      </w:r>
    </w:p>
    <w:p>
      <w:pPr>
        <w:spacing w:after="0" w:line="17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Our primary potential customers include: governmental agencies responsible for local, state and federal secure facilities in the United States; governmental agencies responsible for secure facilities in Australia and South Africa; federal, state and local government agencies in the United States responsible for reentry services for adult offenders; federal, state and local government agencies responsible for monitoring community-based parolees, probationers and pretrial defendants; and other foreign governmental agencies. We achieve organic growth through competitive bidding that begins with the issuance by a government agency of a request for proposal, or RFP. We primarily rely on the RFP process for organic growth in our U.S. and international secure services operations as well as in our reentry services and electronic monitoring and supervision services business.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our facility management contracts, our state and local experience has been that a period of approximately 60 to 90 days is generally required from the issuance of a request for proposal to the submission of our response to the request for proposal; that between one and four months elapse between the submission of our response and the agency’s award of a contract; and that between one and four months elapse between the award of a contract and the commencement of facility construction or management of the facility, as applicable.</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our facility management contracts, our federal experience has been that a period of approximately 60 to 90 days is generally required from the issuance of a request for proposal to the submission of our response to the request for proposal; that between 12 and 18 months elapse between the submission of our response and the agency’s award of a contract; and that between four and 18 weeks elapse between the award of a contract and the commencement of facility construction or management of the facility, as applicable.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local, state or federal facility for which an award has been made must be constructed, our experience is that construction usually takes between nine and 24 months to complete, depending on the size and complexity of the project. Therefore, management of a newly constructed facility typically commences between 10 and 28 months after the governmental agency’s award.</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the services provided by BI, local, state and federal experience has been that a period of approximately 30 to 90 days is generally required from the issuance of an RFP or Invitation to Bid, or ITB, to the submission of our response; that between one and three months elapse between the submission of our response and the agency’s award of a contract; and that between one and three months elapse between the award of a contract and the commencement of a program or the implementation of program operations, as applicable.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 w:name="page8"/>
    <w:bookmarkEnd w:id="7"/>
    <w:p>
      <w:pPr>
        <w:spacing w:after="0" w:line="3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term of our local, state and federal contracts range from one to five years and some contracts include provisions for optional renewal terms beyond the initial contract term. Contracts can, and are periodically, extended beyond the initial contract term and optional renewal terms through alternative procurement processes including sole source justification processes, cooperative procurement vehicles and agency decisions to add extension time periods.</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long operating history and reputation have earned us credibility with both existing and prospective customers when bidding on new facility management contracts or when renewing existing contracts.</w:t>
      </w:r>
    </w:p>
    <w:p>
      <w:pPr>
        <w:spacing w:after="0" w:line="162" w:lineRule="exact"/>
        <w:rPr>
          <w:sz w:val="20"/>
          <w:szCs w:val="20"/>
          <w:color w:val="auto"/>
        </w:rPr>
      </w:pPr>
    </w:p>
    <w:p>
      <w:pPr>
        <w:ind w:right="220" w:firstLine="554"/>
        <w:spacing w:after="0" w:line="266" w:lineRule="auto"/>
        <w:rPr>
          <w:sz w:val="20"/>
          <w:szCs w:val="20"/>
          <w:color w:val="auto"/>
        </w:rPr>
      </w:pPr>
      <w:r>
        <w:rPr>
          <w:rFonts w:ascii="Times New Roman" w:cs="Times New Roman" w:eastAsia="Times New Roman" w:hAnsi="Times New Roman"/>
          <w:sz w:val="18"/>
          <w:szCs w:val="18"/>
          <w:color w:val="auto"/>
        </w:rPr>
        <w:t>We also plan to leverage our experience and scale of service offerings to expand the range of public-private partnership services that we provide. We have engaged and intend in the future to engage independent consultants to assist us in developing public-private partnership opportunities and in responding to requests for proposals, monitoring the legislative and business climate, and maintaining relationships with existing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Design, Construction and Finance</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offer governmental agencies consultation and management services relating to the design and construction of new secure facilities and the redesign and renovation of older facilities including facilities we own, lease or manage as well as facilities we do not own, lease or manage. Domestically and internationally, as of December 31, 2024, we have provided services for the design and construction of approximately 86 facilities and for the redesign, renovation and expansion of approximately 20 facilities.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Contracts to design and construct or to redesign and renovate facilities may be financed in a variety of ways. Governmental agencies may finance the construction of such facilities through any of the following methods:</w:t>
      </w:r>
    </w:p>
    <w:p>
      <w:pPr>
        <w:spacing w:after="0" w:line="16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 time general revenue appropriation by the governmental agency for the cost of the new facility;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obligation bonds that are secured by either a limited or unlimited tax levy by the issuing governmental entity; or</w:t>
      </w:r>
    </w:p>
    <w:p>
      <w:pPr>
        <w:spacing w:after="0" w:line="225"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bonds or certificates of participation secured by an annual lease payment that is subject to annual or bi-annual legislative appropriations.</w:t>
      </w:r>
    </w:p>
    <w:p>
      <w:pPr>
        <w:spacing w:after="0" w:line="162"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We may also act as a source of financing or as a facilitator with respect to the financing of the construction of a facility. In these cases, the construction of such facilities may be financed through various methods including the following:</w:t>
      </w:r>
    </w:p>
    <w:p>
      <w:pPr>
        <w:spacing w:after="0" w:line="16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equity offerings of our stock;</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 and/or cash flows from our operations;</w:t>
      </w:r>
    </w:p>
    <w:p>
      <w:pPr>
        <w:spacing w:after="0" w:line="225"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by us from banks or other institutions (which may or may not be subject to government guarantees in the event of contract termination);</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debt offerings of our notes;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arrangements with third parties.</w:t>
      </w:r>
    </w:p>
    <w:p>
      <w:pPr>
        <w:spacing w:after="0" w:line="22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the project is financed using direct governmental appropriations, with proceeds of the sale of bonds or other obligations issued prior to the award of the project, then financing is in place when the contract relating to the construction or renovation project is executed. If the project is financed using project-specific tax-exempt bonds or other obligations, the construction contract is generally subject to the sale of such bonds or obligations. Generally, substantial expenditures for construction will not be made on such a project until the tax-exempt bonds or other obligations are sold; and, if such bonds or obligations are not sold, construction and therefore, management of the facility, may either be delayed until alternative financing is procured or the development of the project will be suspended or entirely canceled. If the project is self-financed by us, then financing is generally in place prior to the commencement of construction.</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our construction and design management contracts, we generally agree to be responsible for overall project development and completion. We typically act as the primary developer on construction contracts for facilities and subcontract with bonded National and/or Regional Design Build Contractors. Where possible, we subcontract with construction companies that we have worked with previously. We make use of an in-house staff of architects and operational experts from various service disciplines (e.g. security, medical service, food service,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3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programs and facility maintenance) as part of the team that participates from conceptual design through final construction of the project. The staff coordinates all aspects of the development with subcontractors and provides site-specific services.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When designing a facility, our architects use, with appropriate modifications, prototype designs we have used in developing prior projects. We believe that the use of these designs allows us to reduce the potential of cost overruns and construction delays, thus controlling costs both to construct and to manage the facility. Our facility designs also maintain security because they increase the area under direct surveillance by correctional officers and make use of additional electronic surveillance.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Long-Term Relationships with High-Quality Government Customers</w:t>
      </w:r>
    </w:p>
    <w:p>
      <w:pPr>
        <w:spacing w:after="0" w:line="175"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developed long-term relationships with our federal, state and other governmental customers, which we believe enhance our ability to win new contracts and retain existing business. We have provided secure management services to the United States Federal Government for 38 years, the State of California for 36 years, the State of Texas for approximately 37 years, various Australian state government entities for 33 years and the State of Florida for approximately 31 years. These customers accounted for approximately 77% of our consolidated revenues for the fiscal year ended December 31, 2024.</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 with Strong Cash Flow</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revenue base has historically been derived from our long-term customer relationships. We have historically been able to expand our revenue base by continuing to reinvest our strong operating cash flow into expansionary projects and through strategic acquisitions that provide scale and further enhance our service offerings. Our consolidated revenues were approximately $2.4 billion in 2024. We expect our operating cash flow to be well in excess of our anticipated annual maintenance capital expenditure needs, which would provide us significant flexibility for the repayment of indebtedness.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Sizeable International Business</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international infrastructure, which leverages our operational excellence in the U.S., allows us to aggressively target foreign opportunities that our U.S. based competitors without overseas operations may have difficulty pursuing. We currently have international operations in Australia, South Africa and the United Kingdom. Our international services business generated approximately $208.9 million of revenues, representing approximately 9% of our consolidated revenues for the year ended December 31, 2024. We believe we are well positioned to continue benefiting from foreign governments’ initiatives to enter into public-private partnerships for secure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Provide High Quality, Comprehensive Services and Cost Savings Throughout the Corrections Lifecycle</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objective is to provide federal, state and local governmental agencies with a comprehensive offering of high quality, essential services at a lower cost than they themselves could achieve. We believe government agencies facing budgetary constraints will increasingly seek to outsource a greater proportion of their correctional needs to reliable providers that can enhance quality of service at a reduced cost. We believe our expanded and diversified service offerings uniquely position us to bundle our high-quality services and provide a comprehensive continuum of care for our clients, which we believe will lead to lower cost outcomes for our clients and larger scale business opportunities for us.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Maintain Disciplined Operating Approach</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refrain from pursuing contracts that we do not believe will yield attractive profit margins in relation to the associated operational risks. In addition, although we engage in facility development from time to time without having a corresponding management contract award in place, we endeavor to do so only where we have determined that there is medium to long-term client demand for a facility in that geographical area. We have also elected not to enter certain international markets with a history of economic and political instability. We believe that our strategy of emphasizing lower risk and higher profit opportunities helps us to consistently deliver strong operational performance, lower our costs and increase our overall profitability.</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Pursue International Growth Opportunities</w:t>
      </w:r>
    </w:p>
    <w:p>
      <w:pPr>
        <w:spacing w:after="0" w:line="1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global provider of public-private partnership secure services, we are able to capitalize on opportunities to operate existing or new facilities on behalf of foreign governments. We have seen increased business development opportunities including opportunities to cross sell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ind w:right="440"/>
        <w:spacing w:after="0" w:line="282" w:lineRule="auto"/>
        <w:rPr>
          <w:sz w:val="20"/>
          <w:szCs w:val="20"/>
          <w:color w:val="auto"/>
        </w:rPr>
      </w:pPr>
      <w:r>
        <w:rPr>
          <w:rFonts w:ascii="Times New Roman" w:cs="Times New Roman" w:eastAsia="Times New Roman" w:hAnsi="Times New Roman"/>
          <w:sz w:val="18"/>
          <w:szCs w:val="18"/>
          <w:color w:val="auto"/>
        </w:rPr>
        <w:t>our expanded service offerings in recent years in the international markets in which we operate. We will continue to actively bid on new international projects in our current markets and in new markets that fit our target profile for profitability and operational risk.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Patents</w:t>
      </w:r>
    </w:p>
    <w:p>
      <w:pPr>
        <w:spacing w:after="0" w:line="25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numerous United States and foreign patents issued as well as a number of United States patents pending in the electronic monitoring space. We believe these patents protect our intellectual property rights and provide us with a competitive advantage by seeking to prevent our competitors from duplicating our technology and/or products in the electronic monitoring line of business. The remaining duration of our patents range from 18 months to 20 years.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 w:name="page11"/>
    <w:bookmarkEnd w:id="10"/>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and Day Reporting Centers</w:t>
      </w:r>
    </w:p>
    <w:p>
      <w:pPr>
        <w:spacing w:after="0" w:line="175"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certain information with respect to our U.S. and international secure services facilities and our reentry services facilities. The information in the table includes the facilities that we (or a subsidiary or joint venture of GEO) owned, operated under a management contract, had an agreement to provide services, had an award to manage or was in the process of constructing or expanding during the year ended December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0" w:type="dxa"/>
            <w:vAlign w:val="bottom"/>
          </w:tcPr>
          <w:p>
            <w:pPr>
              <w:spacing w:after="0"/>
              <w:rPr>
                <w:sz w:val="13"/>
                <w:szCs w:val="13"/>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w:t>
            </w:r>
          </w:p>
        </w:tc>
        <w:tc>
          <w:tcPr>
            <w:tcW w:w="12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Managed</w:t>
            </w:r>
          </w:p>
        </w:tc>
        <w:tc>
          <w:tcPr>
            <w:tcW w:w="0" w:type="dxa"/>
            <w:vAlign w:val="bottom"/>
          </w:tcPr>
          <w:p>
            <w:pPr>
              <w:spacing w:after="0"/>
              <w:rPr>
                <w:sz w:val="1"/>
                <w:szCs w:val="1"/>
                <w:color w:val="auto"/>
              </w:rPr>
            </w:pPr>
          </w:p>
        </w:tc>
      </w:tr>
      <w:tr>
        <w:trPr>
          <w:trHeight w:val="148"/>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 &amp; Location</w:t>
            </w:r>
          </w:p>
        </w:tc>
        <w:tc>
          <w:tcPr>
            <w:tcW w:w="10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5"/>
        </w:trPr>
        <w:tc>
          <w:tcPr>
            <w:tcW w:w="168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Secure Services — Western</w:t>
            </w: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Region:</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Adelanto ICE Processing</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ICE</w:t>
            </w:r>
          </w:p>
        </w:tc>
        <w:tc>
          <w:tcPr>
            <w:tcW w:w="10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Federal</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Minimum/Mediu</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2019</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 years</w:t>
            </w:r>
          </w:p>
        </w:tc>
        <w:tc>
          <w:tcPr>
            <w:tcW w:w="12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Two, five year</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 Adelanto, CA</w:t>
            </w: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w:t>
            </w: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Aurora/CE Processing</w:t>
            </w:r>
          </w:p>
        </w:tc>
        <w:tc>
          <w:tcPr>
            <w:tcW w:w="12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ICE / USMS</w:t>
            </w: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Federal</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All Levels</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October 2021</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1 year</w:t>
            </w:r>
          </w:p>
        </w:tc>
        <w:tc>
          <w:tcPr>
            <w:tcW w:w="120" w:type="dxa"/>
            <w:vAlign w:val="bottom"/>
            <w:shd w:val="clear" w:color="auto" w:fill="CFF0FC"/>
          </w:tcPr>
          <w:p>
            <w:pPr>
              <w:spacing w:after="0"/>
              <w:rPr>
                <w:sz w:val="10"/>
                <w:szCs w:val="10"/>
                <w:color w:val="auto"/>
              </w:rPr>
            </w:pPr>
          </w:p>
        </w:tc>
        <w:tc>
          <w:tcPr>
            <w:tcW w:w="12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Center Aurora, CO (2)</w:t>
            </w: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Central Arizona</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State Sex</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and</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Minimum/Mediu</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Rehabilitation Facility</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AZ DOC</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Offender</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2006</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 years</w:t>
            </w:r>
          </w:p>
        </w:tc>
        <w:tc>
          <w:tcPr>
            <w:tcW w:w="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Two, Five-year</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Managed</w:t>
            </w:r>
          </w:p>
        </w:tc>
        <w:tc>
          <w:tcPr>
            <w:tcW w:w="0" w:type="dxa"/>
            <w:vAlign w:val="bottom"/>
          </w:tcPr>
          <w:p>
            <w:pPr>
              <w:spacing w:after="0"/>
              <w:rPr>
                <w:sz w:val="1"/>
                <w:szCs w:val="1"/>
                <w:color w:val="auto"/>
              </w:rPr>
            </w:pPr>
          </w:p>
        </w:tc>
      </w:tr>
      <w:tr>
        <w:trPr>
          <w:trHeight w:val="17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Florence, AZ</w:t>
            </w: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w:t>
            </w: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Central Valley Annex</w:t>
            </w: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December</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Two, Five-</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McFarland, CA (2)</w:t>
            </w:r>
          </w:p>
        </w:tc>
        <w:tc>
          <w:tcPr>
            <w:tcW w:w="12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ICE / USMS</w:t>
            </w:r>
          </w:p>
        </w:tc>
        <w:tc>
          <w:tcPr>
            <w:tcW w:w="10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2019/October</w:t>
            </w: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 years/1 month</w:t>
            </w:r>
          </w:p>
        </w:tc>
        <w:tc>
          <w:tcPr>
            <w:tcW w:w="120" w:type="dxa"/>
            <w:vAlign w:val="bottom"/>
            <w:shd w:val="clear" w:color="auto" w:fill="CFF0FC"/>
          </w:tcPr>
          <w:p>
            <w:pPr>
              <w:spacing w:after="0"/>
              <w:rPr>
                <w:sz w:val="12"/>
                <w:szCs w:val="12"/>
                <w:color w:val="auto"/>
              </w:rPr>
            </w:pPr>
          </w:p>
        </w:tc>
        <w:tc>
          <w:tcPr>
            <w:tcW w:w="12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1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year/one-year</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Desert View Annex</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ICE</w:t>
            </w:r>
          </w:p>
        </w:tc>
        <w:tc>
          <w:tcPr>
            <w:tcW w:w="10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Federal</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2019</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 years</w:t>
            </w:r>
          </w:p>
        </w:tc>
        <w:tc>
          <w:tcPr>
            <w:tcW w:w="12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Two, Five-year</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8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Adelanto, CA</w:t>
            </w: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Managed</w:t>
            </w:r>
          </w:p>
        </w:tc>
        <w:tc>
          <w:tcPr>
            <w:tcW w:w="0" w:type="dxa"/>
            <w:vAlign w:val="bottom"/>
          </w:tcPr>
          <w:p>
            <w:pPr>
              <w:spacing w:after="0"/>
              <w:rPr>
                <w:sz w:val="1"/>
                <w:szCs w:val="1"/>
                <w:color w:val="auto"/>
              </w:rPr>
            </w:pPr>
          </w:p>
        </w:tc>
      </w:tr>
      <w:tr>
        <w:trPr>
          <w:trHeight w:val="148"/>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 &amp; Location</w:t>
            </w:r>
          </w:p>
        </w:tc>
        <w:tc>
          <w:tcPr>
            <w:tcW w:w="12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9"/>
        </w:trPr>
        <w:tc>
          <w:tcPr>
            <w:tcW w:w="17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El Centro Detention Facility,</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Three, Two-year</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USMS</w:t>
            </w: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 Detention</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December 2019</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 years</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options, plus</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Managed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nine-month</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Florence West Correctional</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State</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and Rehabilitation Florence,</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AZ DOC</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Minimum</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2022</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One, Five-year</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Managed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AZ</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Golden State Annex</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ICE</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 Detention</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December 2019</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Two, Five-year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McFarland, CA</w:t>
            </w: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Guadalupe County</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Third Party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Facility Santa</w:t>
            </w:r>
          </w:p>
        </w:tc>
        <w:tc>
          <w:tcPr>
            <w:tcW w:w="120" w:type="dxa"/>
            <w:vAlign w:val="bottom"/>
          </w:tcPr>
          <w:p>
            <w:pPr>
              <w:spacing w:after="0"/>
              <w:rPr>
                <w:sz w:val="12"/>
                <w:szCs w:val="12"/>
                <w:color w:val="auto"/>
              </w:rPr>
            </w:pPr>
          </w:p>
        </w:tc>
        <w:tc>
          <w:tcPr>
            <w:tcW w:w="11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Rosa, NM (3)</w:t>
            </w: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Kingman Correctional and</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State</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One, five-year</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Rehabilitation facility,</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Minimum/Mediu</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plus one, two-</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Kingman, AZ</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AZ DOC</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shd w:val="clear" w:color="auto" w:fill="CFF0FC"/>
          </w:tcPr>
          <w:p>
            <w:pPr>
              <w:spacing w:after="0"/>
              <w:rPr>
                <w:sz w:val="12"/>
                <w:szCs w:val="12"/>
                <w:color w:val="auto"/>
              </w:rPr>
            </w:pPr>
          </w:p>
        </w:tc>
        <w:tc>
          <w:tcPr>
            <w:tcW w:w="10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2008</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 years</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year, plus one,</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Managed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1"/>
              </w:rPr>
              <w:t>m</w:t>
            </w: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three- year</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Lea County Correctional</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NMCD - IGA</w:t>
            </w:r>
          </w:p>
        </w:tc>
        <w:tc>
          <w:tcPr>
            <w:tcW w:w="1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Local/State</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January 1999</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Facility Hobbs, NM (2)</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McFarland Female</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Community Reentry Facility</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McFarland, CA</w:t>
            </w: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Mesa Verde ICE Processing</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ICE</w:t>
            </w:r>
          </w:p>
        </w:tc>
        <w:tc>
          <w:tcPr>
            <w:tcW w:w="1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State</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Minimum</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2019</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 Years</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Two, Five-year</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 Bakersfield, CA</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Northwest ICE Processing</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ICE</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 Detention</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All Levels</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2015</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Center Tacoma, WA</w:t>
            </w: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plus five-year</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Phoenix West Correctional</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State DWI</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and Rehabilitation Phoenix,</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AZ DOC</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Minimum</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2022</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 Years</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Managed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AZ</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Western Region Detention</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One, two-year,</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Facility San Diego, CA</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plus six-month,</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plus three-month,</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plus one fifteen-</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month, plus one</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twenty-five</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 10</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month, plus one</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USMS</w:t>
            </w: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 Detention</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2017</w:t>
            </w:r>
          </w:p>
        </w:tc>
        <w:tc>
          <w:tcPr>
            <w:tcW w:w="100" w:type="dxa"/>
            <w:vAlign w:val="bottom"/>
            <w:shd w:val="clear" w:color="auto" w:fill="CFF0FC"/>
          </w:tcPr>
          <w:p>
            <w:pPr>
              <w:spacing w:after="0"/>
              <w:rPr>
                <w:sz w:val="12"/>
                <w:szCs w:val="12"/>
                <w:color w:val="auto"/>
              </w:rPr>
            </w:pPr>
          </w:p>
        </w:tc>
        <w:tc>
          <w:tcPr>
            <w:tcW w:w="10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twenty-three</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month</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Managed</w:t>
            </w:r>
          </w:p>
        </w:tc>
        <w:tc>
          <w:tcPr>
            <w:tcW w:w="0" w:type="dxa"/>
            <w:vAlign w:val="bottom"/>
          </w:tcPr>
          <w:p>
            <w:pPr>
              <w:spacing w:after="0"/>
              <w:rPr>
                <w:sz w:val="1"/>
                <w:szCs w:val="1"/>
                <w:color w:val="auto"/>
              </w:rPr>
            </w:pPr>
          </w:p>
        </w:tc>
      </w:tr>
      <w:tr>
        <w:trPr>
          <w:trHeight w:val="148"/>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 &amp; Location</w:t>
            </w:r>
          </w:p>
        </w:tc>
        <w:tc>
          <w:tcPr>
            <w:tcW w:w="100" w:type="dxa"/>
            <w:vAlign w:val="bottom"/>
          </w:tcPr>
          <w:p>
            <w:pPr>
              <w:spacing w:after="0"/>
              <w:rPr>
                <w:sz w:val="12"/>
                <w:szCs w:val="12"/>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5"/>
        </w:trPr>
        <w:tc>
          <w:tcPr>
            <w:tcW w:w="174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Secure Services — Central</w:t>
            </w: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Region:</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Big Spring Correctional</w:t>
            </w:r>
          </w:p>
        </w:tc>
        <w:tc>
          <w:tcPr>
            <w:tcW w:w="10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Facility Big Spring, TX (5)</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Flightline Correctional</w:t>
            </w:r>
          </w:p>
        </w:tc>
        <w:tc>
          <w:tcPr>
            <w:tcW w:w="10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Facility, TX (5)</w:t>
            </w: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Brooks County Detention</w:t>
            </w:r>
          </w:p>
        </w:tc>
        <w:tc>
          <w:tcPr>
            <w:tcW w:w="10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USMS - IGA</w:t>
            </w:r>
          </w:p>
        </w:tc>
        <w:tc>
          <w:tcPr>
            <w:tcW w:w="10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Local &amp; Federal</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2013</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 TX (2)</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Coastal Bend Detention</w:t>
            </w:r>
          </w:p>
        </w:tc>
        <w:tc>
          <w:tcPr>
            <w:tcW w:w="10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USMS/Hidalgo</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Local &amp; Federal</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2012</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Center, TX (2)</w:t>
            </w: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County</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Eagle Pass Correctional</w:t>
            </w:r>
          </w:p>
        </w:tc>
        <w:tc>
          <w:tcPr>
            <w:tcW w:w="10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USMS - IGA</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Federal Detention</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2020</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Facility, Eagle Pass, TX</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East Hidalgo Detention</w:t>
            </w:r>
          </w:p>
        </w:tc>
        <w:tc>
          <w:tcPr>
            <w:tcW w:w="10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USMS - IGA</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Local &amp; Federal</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2012</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Center (2)</w:t>
            </w: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Great Plains Correctional</w:t>
            </w:r>
          </w:p>
        </w:tc>
        <w:tc>
          <w:tcPr>
            <w:tcW w:w="100" w:type="dxa"/>
            <w:vAlign w:val="bottom"/>
          </w:tcPr>
          <w:p>
            <w:pPr>
              <w:spacing w:after="0"/>
              <w:rPr>
                <w:sz w:val="10"/>
                <w:szCs w:val="10"/>
                <w:color w:val="auto"/>
              </w:rPr>
            </w:pPr>
          </w:p>
        </w:tc>
        <w:tc>
          <w:tcPr>
            <w:tcW w:w="9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Third Party</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Facility Hinton, OK (5)</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Joe Corley Processing Center</w:t>
            </w: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None /Five-year,</w:t>
            </w: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Conroe, TX (2)</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plus one, four and</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one half month</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extension, plus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one, six-month</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extension, plus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two, two-month</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Local</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2008/</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extensions, plus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USMS / ICE</w:t>
            </w:r>
          </w:p>
        </w:tc>
        <w:tc>
          <w:tcPr>
            <w:tcW w:w="10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Perpetual/5 Years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one, four-month</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2018</w:t>
            </w: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extension</w:t>
            </w: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Karnes County Detention</w:t>
            </w:r>
          </w:p>
        </w:tc>
        <w:tc>
          <w:tcPr>
            <w:tcW w:w="10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USMS - IGA</w:t>
            </w:r>
          </w:p>
        </w:tc>
        <w:tc>
          <w:tcPr>
            <w:tcW w:w="10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Local &amp; Federal</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All Levels</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1998</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Facility Karnes City, TX (2)</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Karnes County Immigration</w:t>
            </w:r>
          </w:p>
        </w:tc>
        <w:tc>
          <w:tcPr>
            <w:tcW w:w="10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ICE - IGA</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 Detention</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All Levels</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2024</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 years</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Processing Center, TX (2)</w:t>
            </w: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Kinney County Detention</w:t>
            </w:r>
          </w:p>
        </w:tc>
        <w:tc>
          <w:tcPr>
            <w:tcW w:w="10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USMS - IGA</w:t>
            </w:r>
          </w:p>
        </w:tc>
        <w:tc>
          <w:tcPr>
            <w:tcW w:w="10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Local &amp; Federal</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 2013</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Managed</w:t>
            </w:r>
          </w:p>
        </w:tc>
        <w:tc>
          <w:tcPr>
            <w:tcW w:w="0" w:type="dxa"/>
            <w:vAlign w:val="bottom"/>
          </w:tcPr>
          <w:p>
            <w:pPr>
              <w:spacing w:after="0"/>
              <w:rPr>
                <w:sz w:val="1"/>
                <w:szCs w:val="1"/>
                <w:color w:val="auto"/>
              </w:rPr>
            </w:pPr>
          </w:p>
        </w:tc>
      </w:tr>
      <w:tr>
        <w:trPr>
          <w:trHeight w:val="17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 TX (2)</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Lawton Correctional Facility</w:t>
            </w:r>
          </w:p>
        </w:tc>
        <w:tc>
          <w:tcPr>
            <w:tcW w:w="10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2,682</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OK DOC</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State Correctional</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2023</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Lawton, OK</w:t>
            </w: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Montgomery Processing</w:t>
            </w:r>
          </w:p>
        </w:tc>
        <w:tc>
          <w:tcPr>
            <w:tcW w:w="10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ICE</w:t>
            </w:r>
          </w:p>
        </w:tc>
        <w:tc>
          <w:tcPr>
            <w:tcW w:w="10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Local &amp; Federal</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All levels</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2018</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 months</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Nine, One-year</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88"/>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 Conroe, TX</w:t>
            </w: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Commenceme</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0" w:type="dxa"/>
            <w:vAlign w:val="bottom"/>
          </w:tcPr>
          <w:p>
            <w:pPr>
              <w:spacing w:after="0"/>
              <w:rPr>
                <w:sz w:val="1"/>
                <w:szCs w:val="1"/>
                <w:color w:val="auto"/>
              </w:rPr>
            </w:pPr>
          </w:p>
        </w:tc>
      </w:tr>
      <w:tr>
        <w:trPr>
          <w:trHeight w:val="148"/>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 &amp;</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0" w:type="dxa"/>
            <w:vAlign w:val="bottom"/>
          </w:tcPr>
          <w:p>
            <w:pPr>
              <w:spacing w:after="0"/>
              <w:rPr>
                <w:sz w:val="12"/>
                <w:szCs w:val="12"/>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nt</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9"/>
        </w:trPr>
        <w:tc>
          <w:tcPr>
            <w:tcW w:w="14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Rio Grande Processing</w:t>
            </w:r>
          </w:p>
        </w:tc>
        <w:tc>
          <w:tcPr>
            <w:tcW w:w="11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USMS</w:t>
            </w: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Federal</w:t>
            </w: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October 2008</w:t>
            </w: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100" w:type="dxa"/>
            <w:vAlign w:val="bottom"/>
            <w:shd w:val="clear" w:color="auto" w:fill="CFF0FC"/>
          </w:tcPr>
          <w:p>
            <w:pPr>
              <w:spacing w:after="0"/>
              <w:rPr>
                <w:sz w:val="10"/>
                <w:szCs w:val="10"/>
                <w:color w:val="auto"/>
              </w:rPr>
            </w:pPr>
          </w:p>
        </w:tc>
        <w:tc>
          <w:tcPr>
            <w:tcW w:w="23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Three, Five-year</w:t>
            </w:r>
          </w:p>
        </w:tc>
        <w:tc>
          <w:tcPr>
            <w:tcW w:w="10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Center Laredo, TX</w:t>
            </w: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South Texas ICE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Federal</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Processing Center</w:t>
            </w:r>
          </w:p>
        </w:tc>
        <w:tc>
          <w:tcPr>
            <w:tcW w:w="11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1,904</w:t>
            </w:r>
          </w:p>
        </w:tc>
        <w:tc>
          <w:tcPr>
            <w:tcW w:w="1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ICE</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All Levels</w:t>
            </w: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August 2020</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Nine, One-year</w:t>
            </w: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Pearsall, TX</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Val Verde County</w:t>
            </w: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Local &amp;</w:t>
            </w: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Detention Facility Del</w:t>
            </w:r>
          </w:p>
        </w:tc>
        <w:tc>
          <w:tcPr>
            <w:tcW w:w="11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1,407</w:t>
            </w: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USMS - IGA</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All Levels</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2001</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shd w:val="clear" w:color="auto" w:fill="CFF0FC"/>
          </w:tcPr>
          <w:p>
            <w:pPr>
              <w:spacing w:after="0"/>
              <w:rPr>
                <w:sz w:val="12"/>
                <w:szCs w:val="12"/>
                <w:color w:val="auto"/>
              </w:rPr>
            </w:pPr>
          </w:p>
        </w:tc>
        <w:tc>
          <w:tcPr>
            <w:tcW w:w="23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0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Rio, TX (2)</w:t>
            </w: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i w:val="1"/>
                <w:iCs w:val="1"/>
                <w:color w:val="auto"/>
              </w:rPr>
              <w:t>Secure Services —</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Eastern Region:</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Alexandria Staging</w:t>
            </w: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w:t>
            </w: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Minimum/Med</w:t>
            </w:r>
          </w:p>
        </w:tc>
        <w:tc>
          <w:tcPr>
            <w:tcW w:w="12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w:t>
            </w: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Facility Alexandria, LA</w:t>
            </w:r>
          </w:p>
        </w:tc>
        <w:tc>
          <w:tcPr>
            <w:tcW w:w="11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ICE - IGA</w:t>
            </w: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shd w:val="clear" w:color="auto" w:fill="CFF0FC"/>
          </w:tcPr>
          <w:p>
            <w:pPr>
              <w:spacing w:after="0"/>
              <w:rPr>
                <w:sz w:val="12"/>
                <w:szCs w:val="12"/>
                <w:color w:val="auto"/>
              </w:rPr>
            </w:pPr>
          </w:p>
        </w:tc>
        <w:tc>
          <w:tcPr>
            <w:tcW w:w="23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0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ium</w:t>
            </w:r>
          </w:p>
        </w:tc>
        <w:tc>
          <w:tcPr>
            <w:tcW w:w="104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Blackwater River</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and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State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Rehabilitation Facility</w:t>
            </w:r>
          </w:p>
        </w:tc>
        <w:tc>
          <w:tcPr>
            <w:tcW w:w="11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FL DMS</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Medium/close</w:t>
            </w: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2010</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 years</w:t>
            </w:r>
          </w:p>
        </w:tc>
        <w:tc>
          <w:tcPr>
            <w:tcW w:w="10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Unlimited, Two-year</w:t>
            </w: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Milton, FL</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Broward Transitional</w:t>
            </w: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w:t>
            </w: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w:t>
            </w: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Center Deerfield Beach,</w:t>
            </w:r>
          </w:p>
        </w:tc>
        <w:tc>
          <w:tcPr>
            <w:tcW w:w="11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ICE</w:t>
            </w: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Minimum</w:t>
            </w:r>
          </w:p>
        </w:tc>
        <w:tc>
          <w:tcPr>
            <w:tcW w:w="12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shd w:val="clear" w:color="auto" w:fill="CFF0FC"/>
          </w:tcPr>
          <w:p>
            <w:pPr>
              <w:spacing w:after="0"/>
              <w:rPr>
                <w:sz w:val="12"/>
                <w:szCs w:val="12"/>
                <w:color w:val="auto"/>
              </w:rPr>
            </w:pPr>
          </w:p>
        </w:tc>
        <w:tc>
          <w:tcPr>
            <w:tcW w:w="23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FL</w:t>
            </w: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4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Central Louisiana ICE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Federal</w:t>
            </w:r>
          </w:p>
        </w:tc>
        <w:tc>
          <w:tcPr>
            <w:tcW w:w="1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Minimum/Med</w:t>
            </w:r>
          </w:p>
        </w:tc>
        <w:tc>
          <w:tcPr>
            <w:tcW w:w="1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November</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Processing Center Jena,</w:t>
            </w:r>
          </w:p>
        </w:tc>
        <w:tc>
          <w:tcPr>
            <w:tcW w:w="11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ICE - IGA</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Perpetual</w:t>
            </w:r>
          </w:p>
        </w:tc>
        <w:tc>
          <w:tcPr>
            <w:tcW w:w="10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 (2)</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ium</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D. Ray James</w:t>
            </w: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Facility</w:t>
            </w:r>
          </w:p>
        </w:tc>
        <w:tc>
          <w:tcPr>
            <w:tcW w:w="11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Folkston, GA</w:t>
            </w: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Folkston ICE Processing</w:t>
            </w:r>
          </w:p>
        </w:tc>
        <w:tc>
          <w:tcPr>
            <w:tcW w:w="11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ICE - IGA</w:t>
            </w:r>
          </w:p>
        </w:tc>
        <w:tc>
          <w:tcPr>
            <w:tcW w:w="10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Federal</w:t>
            </w:r>
          </w:p>
        </w:tc>
        <w:tc>
          <w:tcPr>
            <w:tcW w:w="1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Minimum</w:t>
            </w:r>
          </w:p>
        </w:tc>
        <w:tc>
          <w:tcPr>
            <w:tcW w:w="12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December</w:t>
            </w:r>
          </w:p>
        </w:tc>
        <w:tc>
          <w:tcPr>
            <w:tcW w:w="1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23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Four, One-year, plus one, two-month,</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 (2) Folkston, GA</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plus one, five-year</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Heritage Trail</w:t>
            </w: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State</w:t>
            </w: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4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One, Four-year, plus one, one year,</w:t>
            </w: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Facility</w:t>
            </w:r>
          </w:p>
        </w:tc>
        <w:tc>
          <w:tcPr>
            <w:tcW w:w="11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1,066</w:t>
            </w: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IN DOC</w:t>
            </w: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Minimum</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2011</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 years</w:t>
            </w:r>
          </w:p>
        </w:tc>
        <w:tc>
          <w:tcPr>
            <w:tcW w:w="100" w:type="dxa"/>
            <w:vAlign w:val="bottom"/>
            <w:shd w:val="clear" w:color="auto" w:fill="CFF0FC"/>
          </w:tcPr>
          <w:p>
            <w:pPr>
              <w:spacing w:after="0"/>
              <w:rPr>
                <w:sz w:val="12"/>
                <w:szCs w:val="12"/>
                <w:color w:val="auto"/>
              </w:rPr>
            </w:pPr>
          </w:p>
        </w:tc>
        <w:tc>
          <w:tcPr>
            <w:tcW w:w="23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four months and two days, plus one-</w:t>
            </w:r>
          </w:p>
        </w:tc>
        <w:tc>
          <w:tcPr>
            <w:tcW w:w="10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Plainfield, IN</w:t>
            </w: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year, plus five-year</w:t>
            </w:r>
          </w:p>
        </w:tc>
        <w:tc>
          <w:tcPr>
            <w:tcW w:w="1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0" w:type="dxa"/>
            <w:vAlign w:val="bottom"/>
          </w:tcPr>
          <w:p>
            <w:pPr>
              <w:spacing w:after="0"/>
              <w:rPr>
                <w:sz w:val="1"/>
                <w:szCs w:val="1"/>
                <w:color w:val="auto"/>
              </w:rPr>
            </w:pPr>
          </w:p>
        </w:tc>
      </w:tr>
      <w:tr>
        <w:trPr>
          <w:trHeight w:val="148"/>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 &amp;</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nt</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2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9"/>
        </w:trPr>
        <w:tc>
          <w:tcPr>
            <w:tcW w:w="15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Moshannon Valley</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Federal</w:t>
            </w: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Facility</w:t>
            </w:r>
          </w:p>
        </w:tc>
        <w:tc>
          <w:tcPr>
            <w:tcW w:w="11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1,876</w:t>
            </w:r>
          </w:p>
        </w:tc>
        <w:tc>
          <w:tcPr>
            <w:tcW w:w="1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ICE-IGA</w:t>
            </w:r>
          </w:p>
        </w:tc>
        <w:tc>
          <w:tcPr>
            <w:tcW w:w="12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2021</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 year</w:t>
            </w:r>
          </w:p>
        </w:tc>
        <w:tc>
          <w:tcPr>
            <w:tcW w:w="120" w:type="dxa"/>
            <w:vAlign w:val="bottom"/>
            <w:shd w:val="clear" w:color="auto" w:fill="CFF0FC"/>
          </w:tcPr>
          <w:p>
            <w:pPr>
              <w:spacing w:after="0"/>
              <w:rPr>
                <w:sz w:val="12"/>
                <w:szCs w:val="12"/>
                <w:color w:val="auto"/>
              </w:rPr>
            </w:pPr>
          </w:p>
        </w:tc>
        <w:tc>
          <w:tcPr>
            <w:tcW w:w="18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Philipsburg, PA</w:t>
            </w:r>
          </w:p>
        </w:tc>
        <w:tc>
          <w:tcPr>
            <w:tcW w:w="11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Moore Haven</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and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State</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Minimum/</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Rehabilitation Facility</w:t>
            </w: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985</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FL DMS</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2021</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 years</w:t>
            </w:r>
          </w:p>
        </w:tc>
        <w:tc>
          <w:tcPr>
            <w:tcW w:w="12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Unlimited, Two-year</w:t>
            </w: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Moore Haven, FL</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New Castle Correctional</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One year, one month and 20</w:t>
            </w: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Facility New Castle, IN</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days, Nine year Seven month</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State</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14 days, plus one ninety-day,</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3,196</w:t>
            </w:r>
          </w:p>
        </w:tc>
        <w:tc>
          <w:tcPr>
            <w:tcW w:w="1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IN DOC</w:t>
            </w:r>
          </w:p>
        </w:tc>
        <w:tc>
          <w:tcPr>
            <w:tcW w:w="12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All Levels</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2005</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 years</w:t>
            </w:r>
          </w:p>
        </w:tc>
        <w:tc>
          <w:tcPr>
            <w:tcW w:w="120" w:type="dxa"/>
            <w:vAlign w:val="bottom"/>
            <w:shd w:val="clear" w:color="auto" w:fill="CFF0FC"/>
          </w:tcPr>
          <w:p>
            <w:pPr>
              <w:spacing w:after="0"/>
              <w:rPr>
                <w:sz w:val="12"/>
                <w:szCs w:val="12"/>
                <w:color w:val="auto"/>
              </w:rPr>
            </w:pPr>
          </w:p>
        </w:tc>
        <w:tc>
          <w:tcPr>
            <w:tcW w:w="18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plus one nine-month, Three,</w:t>
            </w: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five-year</w:t>
            </w: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North Lake Correctional</w:t>
            </w: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1,800</w:t>
            </w:r>
          </w:p>
        </w:tc>
        <w:tc>
          <w:tcPr>
            <w:tcW w:w="12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Facility Baldwin, MI</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Pine Prairie ICE</w:t>
            </w:r>
          </w:p>
        </w:tc>
        <w:tc>
          <w:tcPr>
            <w:tcW w:w="11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ICE-IGA</w:t>
            </w: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State</w:t>
            </w:r>
          </w:p>
        </w:tc>
        <w:tc>
          <w:tcPr>
            <w:tcW w:w="1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June 2015</w:t>
            </w:r>
          </w:p>
        </w:tc>
        <w:tc>
          <w:tcPr>
            <w:tcW w:w="1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120" w:type="dxa"/>
            <w:vAlign w:val="bottom"/>
            <w:shd w:val="clear" w:color="auto" w:fill="CFF0FC"/>
          </w:tcPr>
          <w:p>
            <w:pPr>
              <w:spacing w:after="0"/>
              <w:rPr>
                <w:sz w:val="10"/>
                <w:szCs w:val="10"/>
                <w:color w:val="auto"/>
              </w:rPr>
            </w:pPr>
          </w:p>
        </w:tc>
        <w:tc>
          <w:tcPr>
            <w:tcW w:w="18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One-month, plus fifty nine-</w:t>
            </w:r>
          </w:p>
        </w:tc>
        <w:tc>
          <w:tcPr>
            <w:tcW w:w="10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Processing Center, LA (2)</w:t>
            </w:r>
          </w:p>
        </w:tc>
        <w:tc>
          <w:tcPr>
            <w:tcW w:w="11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Riverbend Correctional</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and Rehabilitation</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State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Facility Milledgeville,</w:t>
            </w: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GA DOC</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2010</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Forty, One-year</w:t>
            </w: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 (5)</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Rivers Correctional</w:t>
            </w:r>
          </w:p>
        </w:tc>
        <w:tc>
          <w:tcPr>
            <w:tcW w:w="11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1,450</w:t>
            </w:r>
          </w:p>
        </w:tc>
        <w:tc>
          <w:tcPr>
            <w:tcW w:w="1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Facility Winton, NC</w:t>
            </w:r>
          </w:p>
        </w:tc>
        <w:tc>
          <w:tcPr>
            <w:tcW w:w="11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Robert A. Deyton</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Federal</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Detention Facility</w:t>
            </w: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USMS</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2008</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12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Three, five-year</w:t>
            </w: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Lovejoy, GA</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Detention</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South Bay Correctional</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State</w:t>
            </w: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Two-year, plus one six-</w:t>
            </w: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and Rehabilitation</w:t>
            </w:r>
          </w:p>
        </w:tc>
        <w:tc>
          <w:tcPr>
            <w:tcW w:w="11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1,948</w:t>
            </w:r>
          </w:p>
        </w:tc>
        <w:tc>
          <w:tcPr>
            <w:tcW w:w="1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FL DOC</w:t>
            </w:r>
          </w:p>
        </w:tc>
        <w:tc>
          <w:tcPr>
            <w:tcW w:w="12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Medium/Close</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2009</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3 years</w:t>
            </w:r>
          </w:p>
        </w:tc>
        <w:tc>
          <w:tcPr>
            <w:tcW w:w="120" w:type="dxa"/>
            <w:vAlign w:val="bottom"/>
            <w:shd w:val="clear" w:color="auto" w:fill="CFF0FC"/>
          </w:tcPr>
          <w:p>
            <w:pPr>
              <w:spacing w:after="0"/>
              <w:rPr>
                <w:sz w:val="12"/>
                <w:szCs w:val="12"/>
                <w:color w:val="auto"/>
              </w:rPr>
            </w:pPr>
          </w:p>
        </w:tc>
        <w:tc>
          <w:tcPr>
            <w:tcW w:w="18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Facility South Bay, FL</w:t>
            </w:r>
          </w:p>
        </w:tc>
        <w:tc>
          <w:tcPr>
            <w:tcW w:w="11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month, plus two, two-year</w:t>
            </w: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South Louisiana ICE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State</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One-month, plus fifty nine-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Processing Center, LA</w:t>
            </w: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ICE-IGA</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June 2015</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1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Correctional</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4"/>
                <w:szCs w:val="14"/>
                <w:b w:val="1"/>
                <w:bCs w:val="1"/>
                <w:i w:val="1"/>
                <w:iCs w:val="1"/>
                <w:color w:val="auto"/>
              </w:rPr>
              <w:t>Secure Services —</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Fulham Correctional</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Centre &amp; Nalu Challenge</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Minimum/Medi</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Community Victoria,</w:t>
            </w: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VIC DOJ</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State Prison</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2012</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 years</w:t>
            </w:r>
          </w:p>
        </w:tc>
        <w:tc>
          <w:tcPr>
            <w:tcW w:w="12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Nineteen years, Four months</w:t>
            </w: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um</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Junee Correctional Centre</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Minimum/Medi</w:t>
            </w: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New South Wales,</w:t>
            </w:r>
          </w:p>
        </w:tc>
        <w:tc>
          <w:tcPr>
            <w:tcW w:w="11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1,279</w:t>
            </w:r>
          </w:p>
        </w:tc>
        <w:tc>
          <w:tcPr>
            <w:tcW w:w="1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NSW</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State Prison</w:t>
            </w:r>
          </w:p>
        </w:tc>
        <w:tc>
          <w:tcPr>
            <w:tcW w:w="12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2014</w:t>
            </w: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120" w:type="dxa"/>
            <w:vAlign w:val="bottom"/>
            <w:shd w:val="clear" w:color="auto" w:fill="CFF0FC"/>
          </w:tcPr>
          <w:p>
            <w:pPr>
              <w:spacing w:after="0"/>
              <w:rPr>
                <w:sz w:val="12"/>
                <w:szCs w:val="12"/>
                <w:color w:val="auto"/>
              </w:rPr>
            </w:pPr>
          </w:p>
        </w:tc>
        <w:tc>
          <w:tcPr>
            <w:tcW w:w="18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One, six-year</w:t>
            </w: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1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um</w:t>
            </w: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Ravenhall Correctional</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24 years plus 5</w:t>
            </w: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Centre Melbourne,</w:t>
            </w: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VIC DOJ</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State Prison</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Medium</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November 2017</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88"/>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1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0" w:type="dxa"/>
            <w:vAlign w:val="bottom"/>
          </w:tcPr>
          <w:p>
            <w:pPr>
              <w:spacing w:after="0"/>
              <w:rPr>
                <w:sz w:val="1"/>
                <w:szCs w:val="1"/>
                <w:color w:val="auto"/>
              </w:rPr>
            </w:pPr>
          </w:p>
        </w:tc>
      </w:tr>
      <w:tr>
        <w:trPr>
          <w:trHeight w:val="148"/>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 &amp; Location</w:t>
            </w:r>
          </w:p>
        </w:tc>
        <w:tc>
          <w:tcPr>
            <w:tcW w:w="120" w:type="dxa"/>
            <w:vAlign w:val="bottom"/>
          </w:tcPr>
          <w:p>
            <w:pPr>
              <w:spacing w:after="0"/>
              <w:rPr>
                <w:sz w:val="12"/>
                <w:szCs w:val="12"/>
                <w:color w:val="auto"/>
              </w:rPr>
            </w:pPr>
          </w:p>
        </w:tc>
        <w:tc>
          <w:tcPr>
            <w:tcW w:w="11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5"/>
        </w:trPr>
        <w:tc>
          <w:tcPr>
            <w:tcW w:w="170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Secure Services — South</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Africa:</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Kutama-Sinthumule</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Centre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Limpopo Province,</w:t>
            </w:r>
          </w:p>
        </w:tc>
        <w:tc>
          <w:tcPr>
            <w:tcW w:w="12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3,024</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RSA DCS</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National Prison</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2002</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25 years</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Republic of South Africa</w:t>
            </w: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Reentry Services:</w:t>
            </w: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ADAPPT, PA</w:t>
            </w:r>
          </w:p>
        </w:tc>
        <w:tc>
          <w:tcPr>
            <w:tcW w:w="12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PA DOC</w:t>
            </w:r>
          </w:p>
        </w:tc>
        <w:tc>
          <w:tcPr>
            <w:tcW w:w="1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2024</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Alabama Therapeutic</w:t>
            </w:r>
          </w:p>
        </w:tc>
        <w:tc>
          <w:tcPr>
            <w:tcW w:w="12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AL DOC</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 years</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Three, one-year</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Education Facility, AL</w:t>
            </w:r>
          </w:p>
        </w:tc>
        <w:tc>
          <w:tcPr>
            <w:tcW w:w="12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Arapahoe County</w:t>
            </w:r>
          </w:p>
        </w:tc>
        <w:tc>
          <w:tcPr>
            <w:tcW w:w="12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Arapahoe County</w:t>
            </w:r>
          </w:p>
        </w:tc>
        <w:tc>
          <w:tcPr>
            <w:tcW w:w="1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2024</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Center, CO</w:t>
            </w: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Beaumont Transitional</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Treatment Center</w:t>
            </w:r>
          </w:p>
        </w:tc>
        <w:tc>
          <w:tcPr>
            <w:tcW w:w="12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TDCJ</w:t>
            </w:r>
          </w:p>
        </w:tc>
        <w:tc>
          <w:tcPr>
            <w:tcW w:w="12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2020</w:t>
            </w: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 years</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Three, One-year</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Beaumont, TX</w:t>
            </w:r>
          </w:p>
        </w:tc>
        <w:tc>
          <w:tcPr>
            <w:tcW w:w="12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Bronx Community reentry</w:t>
            </w:r>
          </w:p>
        </w:tc>
        <w:tc>
          <w:tcPr>
            <w:tcW w:w="12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2020</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Nine, One-year</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 Bronx, NY</w:t>
            </w: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Casper Reentry Center, WY</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Four, one-</w:t>
            </w: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year/One, two-</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BOP/WYDOC</w:t>
            </w:r>
          </w:p>
        </w:tc>
        <w:tc>
          <w:tcPr>
            <w:tcW w:w="12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2"/>
                <w:szCs w:val="12"/>
                <w:color w:val="auto"/>
              </w:rPr>
            </w:pPr>
          </w:p>
        </w:tc>
        <w:tc>
          <w:tcPr>
            <w:tcW w:w="10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year/2 years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year, plus one,</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0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2022/July 2020</w:t>
            </w: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one-year</w:t>
            </w: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Managed</w:t>
            </w:r>
          </w:p>
        </w:tc>
        <w:tc>
          <w:tcPr>
            <w:tcW w:w="0" w:type="dxa"/>
            <w:vAlign w:val="bottom"/>
          </w:tcPr>
          <w:p>
            <w:pPr>
              <w:spacing w:after="0"/>
              <w:rPr>
                <w:sz w:val="1"/>
                <w:szCs w:val="1"/>
                <w:color w:val="auto"/>
              </w:rPr>
            </w:pPr>
          </w:p>
        </w:tc>
      </w:tr>
      <w:tr>
        <w:trPr>
          <w:trHeight w:val="148"/>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 &amp; Location</w:t>
            </w:r>
          </w:p>
        </w:tc>
        <w:tc>
          <w:tcPr>
            <w:tcW w:w="12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9"/>
        </w:trPr>
        <w:tc>
          <w:tcPr>
            <w:tcW w:w="17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Chester County, PA</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PA DOC</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Community</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2024</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Four years, nine</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Cheyenne Mountain</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Recovery Center, CO</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Coleman Hall, PA</w:t>
            </w:r>
          </w:p>
        </w:tc>
        <w:tc>
          <w:tcPr>
            <w:tcW w:w="12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Idle</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Community Alternatives of</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4th Judicial</w:t>
            </w:r>
          </w:p>
        </w:tc>
        <w:tc>
          <w:tcPr>
            <w:tcW w:w="1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2024</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 Paso County, CO</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District</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Community Alternatives of</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October 2021</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 Black Hills, SD</w:t>
            </w: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Cordova Center Anchorage,</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June</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One year, 8</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AK</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BOP / AK DOC</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2019/November</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year/1 year</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Delaney Hall, NJ</w:t>
            </w:r>
          </w:p>
        </w:tc>
        <w:tc>
          <w:tcPr>
            <w:tcW w:w="12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Idle</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El Monte Center El Monte,</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2019</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Nine, One-year</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Grossman Center</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2019</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Nine, One-year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Leavenworth, KS</w:t>
            </w: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Las Vegas Community</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Correctional Center Las</w:t>
            </w:r>
          </w:p>
        </w:tc>
        <w:tc>
          <w:tcPr>
            <w:tcW w:w="1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2021</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Vegas, NV</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Leidel Comprehensive</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Sanction Center Houston,</w:t>
            </w:r>
          </w:p>
        </w:tc>
        <w:tc>
          <w:tcPr>
            <w:tcW w:w="12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2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2021</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0" w:type="dxa"/>
            <w:vAlign w:val="bottom"/>
          </w:tcPr>
          <w:p>
            <w:pPr>
              <w:spacing w:after="0"/>
              <w:rPr>
                <w:sz w:val="1"/>
                <w:szCs w:val="1"/>
                <w:color w:val="auto"/>
              </w:rPr>
            </w:pPr>
          </w:p>
        </w:tc>
      </w:tr>
      <w:tr>
        <w:trPr>
          <w:trHeight w:val="148"/>
        </w:trPr>
        <w:tc>
          <w:tcPr>
            <w:tcW w:w="1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Facility Name &amp; Location</w:t>
            </w:r>
          </w:p>
        </w:tc>
        <w:tc>
          <w:tcPr>
            <w:tcW w:w="12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9"/>
        </w:trPr>
        <w:tc>
          <w:tcPr>
            <w:tcW w:w="17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Logan Hall, NJ</w:t>
            </w: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Third Party</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Long Beach Community</w:t>
            </w:r>
          </w:p>
        </w:tc>
        <w:tc>
          <w:tcPr>
            <w:tcW w:w="12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CDCR</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2024</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 years, 8</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Reentry Center, CA</w:t>
            </w: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Marvin Gardens Center Los</w:t>
            </w:r>
          </w:p>
        </w:tc>
        <w:tc>
          <w:tcPr>
            <w:tcW w:w="122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December 2023</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Angeles, CA</w:t>
            </w:r>
          </w:p>
        </w:tc>
        <w:tc>
          <w:tcPr>
            <w:tcW w:w="12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Mid Valley House Edinburg,</w:t>
            </w:r>
          </w:p>
        </w:tc>
        <w:tc>
          <w:tcPr>
            <w:tcW w:w="12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2020</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Nine, One-year</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Midtown Center Anchorage,</w:t>
            </w:r>
          </w:p>
        </w:tc>
        <w:tc>
          <w:tcPr>
            <w:tcW w:w="122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AK DOC</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2024</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AK</w:t>
            </w:r>
          </w:p>
        </w:tc>
        <w:tc>
          <w:tcPr>
            <w:tcW w:w="12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New Mexico Mens Recovery</w:t>
            </w:r>
          </w:p>
        </w:tc>
        <w:tc>
          <w:tcPr>
            <w:tcW w:w="12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DOC</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2023</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 years</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Academy, NM</w:t>
            </w: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New Mexico Womens</w:t>
            </w:r>
          </w:p>
        </w:tc>
        <w:tc>
          <w:tcPr>
            <w:tcW w:w="122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NM DOC</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2023</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 years</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Managed</w:t>
            </w:r>
          </w:p>
        </w:tc>
        <w:tc>
          <w:tcPr>
            <w:tcW w:w="0" w:type="dxa"/>
            <w:vAlign w:val="bottom"/>
          </w:tcPr>
          <w:p>
            <w:pPr>
              <w:spacing w:after="0"/>
              <w:rPr>
                <w:sz w:val="1"/>
                <w:szCs w:val="1"/>
                <w:color w:val="auto"/>
              </w:rPr>
            </w:pPr>
          </w:p>
        </w:tc>
      </w:tr>
      <w:tr>
        <w:trPr>
          <w:trHeight w:val="171"/>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Recovery Academy, NM</w:t>
            </w:r>
          </w:p>
        </w:tc>
        <w:tc>
          <w:tcPr>
            <w:tcW w:w="12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Northstar Center Fairbanks,</w:t>
            </w:r>
          </w:p>
        </w:tc>
        <w:tc>
          <w:tcPr>
            <w:tcW w:w="12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AK DOC</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2022</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Three, One-year</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w:t>
            </w: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Oakland Center Oakland, CA</w:t>
            </w:r>
          </w:p>
        </w:tc>
        <w:tc>
          <w:tcPr>
            <w:tcW w:w="122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2020</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Nine, One-year</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6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Parkview Center Anchorage,</w:t>
            </w:r>
          </w:p>
        </w:tc>
        <w:tc>
          <w:tcPr>
            <w:tcW w:w="12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AK DOC</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November 2024</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Three, One-year</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w:t>
            </w: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Philadelphia Residential</w:t>
            </w:r>
          </w:p>
        </w:tc>
        <w:tc>
          <w:tcPr>
            <w:tcW w:w="122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Reentry Center</w:t>
            </w:r>
          </w:p>
        </w:tc>
        <w:tc>
          <w:tcPr>
            <w:tcW w:w="12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Reality House Brownsville,</w:t>
            </w:r>
          </w:p>
        </w:tc>
        <w:tc>
          <w:tcPr>
            <w:tcW w:w="12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2024</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88"/>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Managed</w:t>
            </w:r>
          </w:p>
        </w:tc>
        <w:tc>
          <w:tcPr>
            <w:tcW w:w="0" w:type="dxa"/>
            <w:vAlign w:val="bottom"/>
          </w:tcPr>
          <w:p>
            <w:pPr>
              <w:spacing w:after="0"/>
              <w:rPr>
                <w:sz w:val="1"/>
                <w:szCs w:val="1"/>
                <w:color w:val="auto"/>
              </w:rPr>
            </w:pPr>
          </w:p>
        </w:tc>
      </w:tr>
      <w:tr>
        <w:trPr>
          <w:trHeight w:val="148"/>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 &amp; Location</w:t>
            </w:r>
          </w:p>
        </w:tc>
        <w:tc>
          <w:tcPr>
            <w:tcW w:w="10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Capacity(1)</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19"/>
        </w:trPr>
        <w:tc>
          <w:tcPr>
            <w:tcW w:w="168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Salt Lake City Center Salt</w:t>
            </w: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Community</w:t>
            </w: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Lake City, UT</w:t>
            </w:r>
          </w:p>
        </w:tc>
        <w:tc>
          <w:tcPr>
            <w:tcW w:w="122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0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June 2019</w:t>
            </w:r>
          </w:p>
        </w:tc>
        <w:tc>
          <w:tcPr>
            <w:tcW w:w="1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Nine, One-year</w:t>
            </w:r>
          </w:p>
        </w:tc>
        <w:tc>
          <w:tcPr>
            <w:tcW w:w="10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19"/>
        </w:trPr>
        <w:tc>
          <w:tcPr>
            <w:tcW w:w="16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Scranton Facility, PA</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PA DOC</w:t>
            </w:r>
          </w:p>
        </w:tc>
        <w:tc>
          <w:tcPr>
            <w:tcW w:w="10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Community</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2019</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Seaside Center Nome, AK</w:t>
            </w:r>
          </w:p>
        </w:tc>
        <w:tc>
          <w:tcPr>
            <w:tcW w:w="12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AK DOC</w:t>
            </w: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June 2019</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Southeast Texas</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Transitional Center</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TDCJ</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 2020</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 years</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Three One-year</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Houston, TX</w:t>
            </w: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The Harbor, NJ</w:t>
            </w:r>
          </w:p>
        </w:tc>
        <w:tc>
          <w:tcPr>
            <w:tcW w:w="12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NJ DOC</w:t>
            </w: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2022</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 years</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Toler Hall, NJ</w:t>
            </w:r>
          </w:p>
        </w:tc>
        <w:tc>
          <w:tcPr>
            <w:tcW w:w="100" w:type="dxa"/>
            <w:vAlign w:val="bottom"/>
          </w:tcPr>
          <w:p>
            <w:pPr>
              <w:spacing w:after="0"/>
              <w:rPr>
                <w:sz w:val="10"/>
                <w:szCs w:val="10"/>
                <w:color w:val="auto"/>
              </w:rPr>
            </w:pPr>
          </w:p>
        </w:tc>
        <w:tc>
          <w:tcPr>
            <w:tcW w:w="11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Third Party</w:t>
            </w:r>
          </w:p>
        </w:tc>
        <w:tc>
          <w:tcPr>
            <w:tcW w:w="10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Tully House, NJ</w:t>
            </w:r>
          </w:p>
        </w:tc>
        <w:tc>
          <w:tcPr>
            <w:tcW w:w="12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NJ DOC</w:t>
            </w: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2022</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 years</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Taylor Street Center San</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April 2021/July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Four, One-</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Francisco, CA</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BOP / CDCR</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year/3 years</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year/Two, One-</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year</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Tampa Residential Reentry</w:t>
            </w:r>
          </w:p>
        </w:tc>
        <w:tc>
          <w:tcPr>
            <w:tcW w:w="12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BOP</w:t>
            </w: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Community</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2021</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Center Tampa, FL</w:t>
            </w: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Tundra Center Bethel, AK</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Four, one-year,</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plus two, three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month</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extensions, plus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AK DOC</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Community</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June 2019</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two, one-month</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Owned</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Corrections</w:t>
            </w: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extensions.</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-2281555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-2281555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16" w:name="page17"/>
    <w:bookmarkEnd w:id="16"/>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40" w:type="dxa"/>
            <w:vAlign w:val="bottom"/>
            <w:tcBorders>
              <w:top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Abraxas Academy</w:t>
            </w:r>
          </w:p>
        </w:tc>
        <w:tc>
          <w:tcPr>
            <w:tcW w:w="700" w:type="dxa"/>
            <w:vAlign w:val="bottom"/>
            <w:tcBorders>
              <w:top w:val="single" w:sz="8" w:color="auto"/>
            </w:tcBorders>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4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Third Party</w:t>
            </w:r>
          </w:p>
        </w:tc>
        <w:tc>
          <w:tcPr>
            <w:tcW w:w="1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vMerge w:val="restart"/>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5"/>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Morgantown, PA</w:t>
            </w:r>
          </w:p>
        </w:tc>
        <w:tc>
          <w:tcPr>
            <w:tcW w:w="700" w:type="dxa"/>
            <w:vAlign w:val="bottom"/>
            <w:vMerge w:val="continue"/>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20" w:type="dxa"/>
            <w:vAlign w:val="bottom"/>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Abraxas I Marienville, PA</w:t>
            </w:r>
          </w:p>
        </w:tc>
        <w:tc>
          <w:tcPr>
            <w:tcW w:w="7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Third Party</w:t>
            </w:r>
          </w:p>
        </w:tc>
        <w:tc>
          <w:tcPr>
            <w:tcW w:w="120" w:type="dxa"/>
            <w:vAlign w:val="bottom"/>
          </w:tcPr>
          <w:p>
            <w:pPr>
              <w:spacing w:after="0"/>
              <w:rPr>
                <w:sz w:val="10"/>
                <w:szCs w:val="10"/>
                <w:color w:val="auto"/>
              </w:rPr>
            </w:pPr>
          </w:p>
        </w:tc>
        <w:tc>
          <w:tcPr>
            <w:tcW w:w="10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0"/>
                <w:szCs w:val="10"/>
                <w:color w:val="auto"/>
              </w:rPr>
            </w:pP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0"/>
                <w:szCs w:val="10"/>
                <w:color w:val="auto"/>
              </w:rPr>
            </w:pPr>
          </w:p>
        </w:tc>
        <w:tc>
          <w:tcPr>
            <w:tcW w:w="10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0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Abraxas Ohio Shelby, OH</w:t>
            </w:r>
          </w:p>
        </w:tc>
        <w:tc>
          <w:tcPr>
            <w:tcW w:w="70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Third Party</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8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Hector Garza Center San</w:t>
            </w:r>
          </w:p>
        </w:tc>
        <w:tc>
          <w:tcPr>
            <w:tcW w:w="700" w:type="dxa"/>
            <w:vAlign w:val="bottom"/>
          </w:tcPr>
          <w:p>
            <w:pPr>
              <w:spacing w:after="0"/>
              <w:rPr>
                <w:sz w:val="10"/>
                <w:szCs w:val="10"/>
                <w:color w:val="auto"/>
              </w:rPr>
            </w:pP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Idle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Antonio, TX</w:t>
            </w:r>
          </w:p>
        </w:tc>
        <w:tc>
          <w:tcPr>
            <w:tcW w:w="7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Southern Peaks Regional</w:t>
            </w: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Third Party</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Treatment Center Canon</w:t>
            </w:r>
          </w:p>
        </w:tc>
        <w:tc>
          <w:tcPr>
            <w:tcW w:w="70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City, CO</w:t>
            </w:r>
          </w:p>
        </w:tc>
        <w:tc>
          <w:tcPr>
            <w:tcW w:w="700" w:type="dxa"/>
            <w:vAlign w:val="bottom"/>
            <w:vMerge w:val="continue"/>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Southwood Interventions</w:t>
            </w:r>
          </w:p>
        </w:tc>
        <w:tc>
          <w:tcPr>
            <w:tcW w:w="7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Third Party</w:t>
            </w:r>
          </w:p>
        </w:tc>
        <w:tc>
          <w:tcPr>
            <w:tcW w:w="120" w:type="dxa"/>
            <w:vAlign w:val="bottom"/>
          </w:tcPr>
          <w:p>
            <w:pPr>
              <w:spacing w:after="0"/>
              <w:rPr>
                <w:sz w:val="10"/>
                <w:szCs w:val="10"/>
                <w:color w:val="auto"/>
              </w:rPr>
            </w:pPr>
          </w:p>
        </w:tc>
        <w:tc>
          <w:tcPr>
            <w:tcW w:w="10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0"/>
                <w:szCs w:val="10"/>
                <w:color w:val="auto"/>
              </w:rPr>
            </w:pP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0"/>
                <w:szCs w:val="10"/>
                <w:color w:val="auto"/>
              </w:rPr>
            </w:pPr>
          </w:p>
        </w:tc>
        <w:tc>
          <w:tcPr>
            <w:tcW w:w="10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10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IL</w:t>
            </w: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Woodridge Interventions</w:t>
            </w:r>
          </w:p>
        </w:tc>
        <w:tc>
          <w:tcPr>
            <w:tcW w:w="70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Third Party</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1"/>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Woodridge, IL</w:t>
            </w:r>
          </w:p>
        </w:tc>
        <w:tc>
          <w:tcPr>
            <w:tcW w:w="700" w:type="dxa"/>
            <w:vAlign w:val="bottom"/>
            <w:vMerge w:val="continue"/>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Tenant</w:t>
            </w: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-1422400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-1422400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-1422400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-1422400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-1422400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-1422400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-1422400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certain information with respect to our reentry Day Reporting Centers, which we refer to as DRCs. The information in the table includes the DRCs that we (or a subsidiary or joint venture of GEO) operated under a management contract or had an agreement to provide services as of 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0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Manage only/</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DRC Location</w:t>
            </w:r>
          </w:p>
        </w:tc>
        <w:tc>
          <w:tcPr>
            <w:tcW w:w="120" w:type="dxa"/>
            <w:vAlign w:val="bottom"/>
          </w:tcPr>
          <w:p>
            <w:pPr>
              <w:spacing w:after="0"/>
              <w:rPr>
                <w:sz w:val="12"/>
                <w:szCs w:val="12"/>
                <w:color w:val="auto"/>
              </w:rPr>
            </w:pPr>
          </w:p>
        </w:tc>
        <w:tc>
          <w:tcPr>
            <w:tcW w:w="12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reporting</w:t>
            </w: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current</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1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91"/>
        </w:trPr>
        <w:tc>
          <w:tcPr>
            <w:tcW w:w="31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Colorado (4)</w:t>
            </w:r>
          </w:p>
        </w:tc>
        <w:tc>
          <w:tcPr>
            <w:tcW w:w="13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State, County,</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Local</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 – 2024</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 year</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Varies</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1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One, One-year or</w:t>
            </w:r>
          </w:p>
        </w:tc>
        <w:tc>
          <w:tcPr>
            <w:tcW w:w="100" w:type="dxa"/>
            <w:vAlign w:val="bottom"/>
          </w:tcPr>
          <w:p>
            <w:pPr>
              <w:spacing w:after="0"/>
              <w:rPr>
                <w:sz w:val="17"/>
                <w:szCs w:val="17"/>
                <w:color w:val="auto"/>
              </w:rPr>
            </w:pPr>
          </w:p>
        </w:tc>
        <w:tc>
          <w:tcPr>
            <w:tcW w:w="1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Lease or Manage</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County</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 – 2024</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Two One-Year</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only</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State, County</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 years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One, One-year</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Pennsylvania</w:t>
            </w:r>
          </w:p>
        </w:tc>
        <w:tc>
          <w:tcPr>
            <w:tcW w:w="1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County</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 – 2025</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to 5 years</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Varies</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198"/>
        </w:trPr>
        <w:tc>
          <w:tcPr>
            <w:tcW w:w="31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Illinois</w:t>
            </w:r>
          </w:p>
        </w:tc>
        <w:tc>
          <w:tcPr>
            <w:tcW w:w="13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Lease or Manage</w:t>
            </w: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State, County</w:t>
            </w:r>
          </w:p>
        </w:tc>
        <w:tc>
          <w:tcPr>
            <w:tcW w:w="13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2018-2025</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One, Five-year</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only</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County</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year</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Four, One-year</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State</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Five, One-year</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198"/>
        </w:trPr>
        <w:tc>
          <w:tcPr>
            <w:tcW w:w="31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Idaho</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After base, may</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be renewed,</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extended or</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State</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amended</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County</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year</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Four, One-year</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626"/>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Legend: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904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0"/>
        </w:trPr>
        <w:tc>
          <w:tcPr>
            <w:tcW w:w="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 DOC</w:t>
            </w:r>
          </w:p>
        </w:tc>
        <w:tc>
          <w:tcPr>
            <w:tcW w:w="1340" w:type="dxa"/>
            <w:vAlign w:val="bottom"/>
            <w:shd w:val="clear" w:color="auto" w:fill="CFF0FC"/>
          </w:tcPr>
          <w:p>
            <w:pPr>
              <w:spacing w:after="0"/>
              <w:rPr>
                <w:sz w:val="18"/>
                <w:szCs w:val="18"/>
                <w:color w:val="auto"/>
              </w:rPr>
            </w:pP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Alabama Department of Corrections</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AK DOC</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Alaska Department of Corrections</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AZ DOC</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Arizona Department of Corrections</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BOP</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Federal Bureau of Prisons</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CDCR</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California Department of Corrections &amp; Rehabilitation</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FL DMS</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Florida Department of Management Services</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 DOC</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Georgia Department of Corrections</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ICE</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U.S. Immigration &amp; Customs Enforcement</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 DOC</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Indiana Department of Correction</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IGA</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Inter-governmental Agreement</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NJ DOC</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New Jersey Department of Corrections</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NM DOC</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New Mexico Department of Corrections</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NSW</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Commissioner of Corrective Services for New South Wales, Australia</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OK DOC</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Oklahoma Department of Corrections</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 DOC</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Pennsylvania Department of Corrections</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RSA DCS</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Republic of South Africa Department of Correctional Services</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TDCJ</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Texas Department of Criminal Justice</w:t>
            </w:r>
          </w:p>
        </w:tc>
      </w:tr>
      <w:tr>
        <w:trPr>
          <w:trHeight w:val="216"/>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USMS</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United States Marshals Service</w:t>
            </w:r>
          </w:p>
        </w:tc>
      </w:tr>
      <w:tr>
        <w:trPr>
          <w:trHeight w:val="216"/>
        </w:trPr>
        <w:tc>
          <w:tcPr>
            <w:tcW w:w="22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VA DOC</w:t>
            </w:r>
          </w:p>
        </w:tc>
        <w:tc>
          <w:tcPr>
            <w:tcW w:w="90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Virginia Department of Corrections</w:t>
            </w:r>
          </w:p>
        </w:tc>
      </w:tr>
      <w:tr>
        <w:trPr>
          <w:trHeight w:val="234"/>
        </w:trPr>
        <w:tc>
          <w:tcPr>
            <w:tcW w:w="2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VIC DOJ</w:t>
            </w:r>
          </w:p>
        </w:tc>
        <w:tc>
          <w:tcPr>
            <w:tcW w:w="9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Department of Justice of the State of Victoria, Australia</w:t>
            </w:r>
          </w:p>
        </w:tc>
      </w:tr>
    </w:tbl>
    <w:p>
      <w:pPr>
        <w:spacing w:after="0" w:line="20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as used in the table refers to operational capacity consisting of total beds for all facilities.</w:t>
      </w:r>
    </w:p>
    <w:p>
      <w:pPr>
        <w:spacing w:after="0" w:line="27" w:lineRule="exact"/>
        <w:rPr>
          <w:rFonts w:ascii="Times New Roman" w:cs="Times New Roman" w:eastAsia="Times New Roman" w:hAnsi="Times New Roman"/>
          <w:sz w:val="18"/>
          <w:szCs w:val="18"/>
          <w:color w:val="auto"/>
        </w:rPr>
      </w:pPr>
    </w:p>
    <w:p>
      <w:pPr>
        <w:ind w:left="520" w:right="7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provides services at these facilities through various Inter-Governmental Agreements, or IGAs, through the various counties and other jurisdictions.</w:t>
      </w: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for this facility only required GEO to provide maintenance services and was terminated towards the end of 2022.</w:t>
      </w:r>
    </w:p>
    <w:p>
      <w:pPr>
        <w:spacing w:after="0" w:line="9" w:lineRule="exact"/>
        <w:rPr>
          <w:rFonts w:ascii="Times New Roman" w:cs="Times New Roman" w:eastAsia="Times New Roman" w:hAnsi="Times New Roman"/>
          <w:sz w:val="18"/>
          <w:szCs w:val="18"/>
          <w:color w:val="auto"/>
        </w:rPr>
      </w:pPr>
    </w:p>
    <w:p>
      <w:pPr>
        <w:ind w:left="520" w:right="16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Colorado Day Reporting Centers provide many of the same services as the full-service Day Reporting Centers, but rather than providing these services through comprehensive treatment plans dictated by the governing authority, these services are provided on a fee for service basis. Such services may be connected to government agency contracts and would be reimbursed by those agencies. Other services are offered directly to offenders allowing them to meet court-ordered requirements and are paid by the offender as the service is provided.</w:t>
      </w:r>
    </w:p>
    <w:p>
      <w:pPr>
        <w:spacing w:after="0" w:line="1" w:lineRule="exact"/>
        <w:rPr>
          <w:rFonts w:ascii="Times New Roman" w:cs="Times New Roman" w:eastAsia="Times New Roman" w:hAnsi="Times New Roman"/>
          <w:sz w:val="18"/>
          <w:szCs w:val="18"/>
          <w:color w:val="auto"/>
        </w:rPr>
      </w:pPr>
    </w:p>
    <w:p>
      <w:pPr>
        <w:ind w:left="520" w:right="120" w:hanging="512"/>
        <w:spacing w:after="0" w:line="26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treats these facilities as owned due to GEO’s ownership of the facilities and improvements and the long-term ground leases GEO has in place for these facilities.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 — Terminations, Renewals and Competitive Re-bids</w:t>
      </w:r>
    </w:p>
    <w:p>
      <w:pPr>
        <w:spacing w:after="0" w:line="1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Generally, we may lose our facility management contracts due to one of three reasons: the termination by a government customer with or without cause at any time; the failure by a customer to renew a contract with us upon the expiration of the then current term; or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 See “Risk Factors — “We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Aside from our customers’ unilateral right to terminate our facility management contracts with them at any time for any reason, there are two points during the typical lifecycle of a contract which may result in the loss by us of a facility management contract with our customers. We refer to these points as contract “renewals” and contract “re-bids.” Many of our facility management contracts with our government customers have an initial fixed term and subsequent renewal rights for one or more additional periods at the unilateral option of the customer. We count each government customer’s right to renew a particular facility management contract for an additional period as a separate “renewal.” For example, a five-year initial fixed term contract with customer options to renew for five separate additional one-year periods would, if fully exercised, be counted as five separate renewals, with one renewal coming in each of the five years following the initial term. As of December 31, 2024, 48 of our facility management contracts representing approximately 25,000 beds are scheduled to expire on or before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8" w:name="page19"/>
    <w:bookmarkEnd w:id="18"/>
    <w:p>
      <w:pPr>
        <w:spacing w:after="0" w:line="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December 31, 2025, unless renewed by the customer at its sole option in certain cases, or unless renewed by mutual agreement in other cases. These contracts represented approximately 30% of our consolidated revenues for the year ended December 31, 2024. We undertake substantial efforts to renew our facility management contracts. We cannot assure you that our customers will in fact exercise their renewal options under existing contracts. In addition, in connection with contract renewals, either we or the contracting government agency have typically requested changes or adjustments to contractual terms. As a result, contract renewals may be made on terms that are more or less favorable to us than those in existence prior to the renewals.</w:t>
      </w:r>
    </w:p>
    <w:p>
      <w:pPr>
        <w:spacing w:after="0" w:line="183" w:lineRule="exact"/>
        <w:rPr>
          <w:sz w:val="20"/>
          <w:szCs w:val="20"/>
          <w:color w:val="auto"/>
        </w:rPr>
      </w:pPr>
    </w:p>
    <w:p>
      <w:pPr>
        <w:jc w:val="both"/>
        <w:ind w:right="180" w:firstLine="509"/>
        <w:spacing w:after="0" w:line="255" w:lineRule="auto"/>
        <w:rPr>
          <w:sz w:val="20"/>
          <w:szCs w:val="20"/>
          <w:color w:val="auto"/>
        </w:rPr>
      </w:pPr>
      <w:r>
        <w:rPr>
          <w:rFonts w:ascii="Times New Roman" w:cs="Times New Roman" w:eastAsia="Times New Roman" w:hAnsi="Times New Roman"/>
          <w:sz w:val="18"/>
          <w:szCs w:val="18"/>
          <w:color w:val="auto"/>
        </w:rPr>
        <w:t>We define competitive re-bids as contracts currently under our management which we believe, based on our experience with the customer and the facility involved, will be re-bid to us and other potential service providers in a competitive procurement process upon the expiration or termination of our contract, assuming all renewal options are exercised. Our determination of which contracts we believe will be competitively re-bid may in some cases be subjective and judgmental, based largely on our knowledge of the dynamics involving a particular contract, the customer and the facility involved.</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Competitive re-bids may result from the expiration of the term of a contract, including the initial fixed term plus any renewal periods, or the early termination of a contract by a customer. Competitive re-bids are often required by applicable federal or state procurement laws periodically in order to encourage competitive pricing and other terms for the government customer. Potential bidders in competitive re-bid situations include us, other private operators and other government entities. While we are pleased with our historical win rate on competitive re-bids and are committed to continuing to bid competitively on appropriate future competitive re-bid opportunities, we cannot in fact assure you that we will prevail in future competitive re-bid situations. Also, we cannot assure you that any competitive re-bids we win will be on terms more favorable to us than those in existence with respect to the expiring contract.</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18 of our facility management contracts, as well as certain other management contracts, may be subject to competitive re-bid in 2025. These contracts in the aggregate represented approximately 21% and approximately $498 million of our 2024 consolidated revenues. The following table sets forth the number of facility management contracts that we currently believe will be subject to competitive re-bid in each of the next five years and thereafter, and the total number of beds relating to those potential competitive re-bid situations during each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168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Re-bid</w:t>
            </w:r>
          </w:p>
        </w:tc>
        <w:tc>
          <w:tcPr>
            <w:tcW w:w="180" w:type="dxa"/>
            <w:vAlign w:val="bottom"/>
          </w:tcPr>
          <w:p>
            <w:pPr>
              <w:spacing w:after="0"/>
              <w:rPr>
                <w:sz w:val="12"/>
                <w:szCs w:val="12"/>
                <w:color w:val="auto"/>
              </w:rPr>
            </w:pPr>
          </w:p>
        </w:tc>
        <w:tc>
          <w:tcPr>
            <w:tcW w:w="16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Beds up for</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Re-bid</w:t>
            </w: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w:t>
            </w:r>
          </w:p>
        </w:tc>
        <w:tc>
          <w:tcPr>
            <w:tcW w:w="18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10,631</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1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11,329</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w:t>
            </w:r>
          </w:p>
        </w:tc>
        <w:tc>
          <w:tcPr>
            <w:tcW w:w="18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13</w:t>
            </w:r>
          </w:p>
        </w:tc>
        <w:tc>
          <w:tcPr>
            <w:tcW w:w="1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8,123</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18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16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14,218</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52,211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compete primarily on the basis of the quality and range of services we offer; our experience domestically and internationally in the design, construction, and management of public-private partnerships for secure service facilities; our reputation; and our pricing. We compete directly with the public sector, where governmental agencies responsible for the operation of secure services, processing services, community-based services and reentry facilities are often seeking to retain projects that might otherwise become a public-private partnership. In the private sector, our U.S. Secure Services and International Services business segments compete with a number of companies, including, but not limited to: Core Civic; Management and Training Corporation; Emerald Companies; LaSalle Southwest Corrections; Group 4 Securicor; Sodexo Justice Services (formerly Kaylx); and Serco. Our Reentry Services and Electronic Monitoring and Supervision Services business segments compete with a number of different small-to-medium sized companies, reflecting the highly fragmented nature of the community-based services industry. BI’s electronic monitoring business competes with a number of companies, including, but not limited to: G4 Justice Services, LLC and 3M Electronic Monitoring, a 3M Company. Some of our competitors are larger and have more resources than we do. We also compete in some markets with small local companies that may have a better knowledge of the local conditions and may be better able to gain political and public acceptance.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Company’s key human capital management objectives are to attract, retain and develop the highest quality talent. To support these objectives, the Company’s human resources programs are designed to develop talent to prepare them for critical roles and leadership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280"/>
        <w:spacing w:after="0" w:line="266" w:lineRule="auto"/>
        <w:rPr>
          <w:sz w:val="20"/>
          <w:szCs w:val="20"/>
          <w:color w:val="auto"/>
        </w:rPr>
      </w:pPr>
      <w:r>
        <w:rPr>
          <w:rFonts w:ascii="Times New Roman" w:cs="Times New Roman" w:eastAsia="Times New Roman" w:hAnsi="Times New Roman"/>
          <w:sz w:val="18"/>
          <w:szCs w:val="18"/>
          <w:color w:val="auto"/>
        </w:rPr>
        <w:t>for the future; reward and support employees through competitive pay, benefit, and perquisite programs; enhance the Company’s culture through efforts aimed at making the workplace more engaging and inclusive; acquire talent and facilitate internal talent mobility to create a high-performing, diverse workforce; and evolve and invest in technology, tools, and resources to enable employees at work.</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2024, we had approximately 16,500 full-time employees. Of our full-time employees, approximately 400 were employed at our corporate headquarters and regional offices and approximately 16,100 were employed at facilities and international offices. We employ personnel in positions of management, administrative and clerical, security, educational services, human resource services, health services and general maintenance at our various locations.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2024, approximately 7,600 and 1,700 employees are covered by collective bargaining agreements in the United States and at international offices, respectively. GEO welcomes the participation of labor unions in our facilities and respects the rights of individual employees to choose whether or not to join labor organizations. We actively participate in the collective bargaining process, negotiate in good faith and maintain excellent working relationships with each of the unions representing our employees. As a result, over the years, GEO has not experienced any significant or major labor actions, such as strikes or work stoppages.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GEO has a robust training program for staff at all levels of the organization. Our training of managerial, administrative, and security staff is based on the standards set by the American Correctional Association. Training includes classroom learning, practical exercises, course examinations, and on-the-job training. GEO’s corporate policy also mandates that every new employee receive orientation training prior to undertaking any assignments.</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laws applicable to most of our operations, and internal company policies, our correctional officers are required to complete a minimum amount of training. We generally require at least 40 hours of pre-service training before an employee is allowed to assume their duties plus an additional 120 hours of training during their first year of employment in our domestic facilities, consistent with ACA standards and/or applicable state laws. In addition to the usual 160 hours of training in the first year, most states require 40 or 80 hours of on-the-job training. Florida law requires that correctional officers receive 520 hours of training. We believe that our training programs meet or exceed all applicable requirements.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training program for domestic facilities typically begins with approximately 40 hours of instruction regarding our policies, operational procedures and management philosophy. Training continues with an additional 120 hours of instruction covering legal issues, rights of individuals within our care, techniques of communication and supervision, interpersonal skills and job training relating to the particular position to be held. Each of our employees who has contact with individuals within our care receives a minimum of 40 hours of additional training each year, and each manager receives at least 24 hours of training each year.</w:t>
      </w:r>
    </w:p>
    <w:p>
      <w:pPr>
        <w:spacing w:after="0" w:line="18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At least 160 hours of training are required for our employees in Australia and South Africa before such employees are allowed to work in positions that will bring them into contact with individuals within our care. Our employees in Australia and South Africa receive a minimum of 40 hours of refresher training each year.</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With respect to BI and the Intensive Supervision and Appearance Program (“ISAP”) services contract, new employees are required to complete training requirements as outlined in the contract within 14 days of hire and prior to being assigned autonomous ISAP related duties. These employees receive 25 hours of refresher training annually thereafter. Program managers for our ISAP contract must receive 24 hours of additional initial training. BI’s monitoring services maintains its own comprehensive certification and training program for all monitoring service specialists. We require all new personnel hired for a position in monitoring operations to complete a seven-week training program. Successful completion of our training program and a final certification is required of all of our personnel performing monitoring operations. We require that certification is achieved prior to being permitted to work independently in the call center.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Wellness and Employee Resources</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GEO’s benefit offerings are designed to meet the varied and evolving needs of a diverse workforce across businesses and geographies. GEO offers a comprehensive employee benefits program that is competitive for each of the various locations in which we operate across the United States which are designed to develop, attract and retain personnel. The variety of our benefit offerings is designed to provide individual employees with the flexibility to choose coverage options and benefits that best meet their needs and address their priorities.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Career Growth and Development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0" w:name="page21"/>
    <w:bookmarkEnd w:id="20"/>
    <w:p>
      <w:pPr>
        <w:spacing w:after="0" w:line="3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GEO employees and their family members (parent, spouse and child) are eligible to further pursue their educational goals by receiving reduced tuition rates on a variety of accredited on-line degree programs in business, education, healthcare and other disciplines provided at 14 different higher education institutions. A tuition reimbursement program is also available for GEO employees pursuing their education as they work to develop their skills and enhance their job performance. Tuition reimbursement is provided to eligible employees for courses offered by accredited colleges, universities, and secretarial and trade schools. Separately, GEO’s subsidiary, BI, offers an education assistance program to its full-time employees with at least one year of service. Employees who enroll in the program are eligible to receive up to $3,500 a year in tuition reimbursement.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Regulations and Legal Considerations</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Many governmental agencies are required to enter into a competitive bidding procedure before awarding contracts for products or services. The laws of certain jurisdictions may also require us to award subcontracts on a competitive basis or to subcontract or partner with businesses owned by women or members of minority groups.</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Certain states, such as Florida, deem correctional officers to be peace officers and require our personnel to be licensed and subject to background investigation. State law also typically requires correctional officers to meet certain training standards.</w:t>
      </w:r>
    </w:p>
    <w:p>
      <w:pPr>
        <w:spacing w:after="0" w:line="162"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7"/>
          <w:szCs w:val="17"/>
          <w:color w:val="auto"/>
        </w:rPr>
        <w:t>The failure to comply with any applicable laws, rules or regulations or the loss of any required license could have a material adverse effect on our business, financial condition and results of operations. Furthermore, our current and future operations may be subject to additional regulations as a result of, among other factors, new statutes and regulations and changes in the manner in which existing statutes and regulations are or may be interpreted or applied. Any such additional regulations could have a material adverse effect on our business, financial condition and results of operations.</w:t>
      </w:r>
    </w:p>
    <w:p>
      <w:pPr>
        <w:spacing w:after="0" w:line="16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know of any existing environmental law, regulation nor condition that reasonably would be expected to have a material adverse effect on our business, capital expenditures or operating results. However, future changes to environmental laws and regulations may impact our operations and could result in increased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nature of our business exposes us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an escape of an individual in our care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spacing w:after="0" w:line="19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October 1, 2021, GEO formed a wholly owned captive insurance subsidiary, Florina Insurance Company, Inc. (“Florina”), to enhance our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the option of procuring insurance policies for its excess liability, directors’ and officers’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currently maintain a general liability policy and excess liability policies with total limits of $75.0 million per occurrence and $95.0 million total general liability annual aggregate limits covering the operations of U.S. Secure Services, Reentry Services and Electronic and Supervision Services through commercial and captive policies.. We have a professional liability insurance program with a specific loss limit of $45.0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cybersecurity liability and automobile liability.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For most casualty insurance policies, we carry substantial deductibles or self-insured retentions of $4.0 million per occurrence for general liability and $5 million per occurrence for medical professional liability, $2.0 million per occurrence for workers’ compensation, $2.3 million per occurrence for directors' and officers’ liability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w:t>
      </w:r>
    </w:p>
    <w:p>
      <w:pPr>
        <w:spacing w:after="0" w:line="18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With respect to operations in South Africa and Australia, we utilize locally-procured insurance to meet contractual insurance requirements and protect us.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Of the insurance policies discussed above, our most significant insurance reserves relate to workers’ compensation, general liability and auto claims. These reserves, which include Florina’s reserves and GEO’s legacy reserves, are undiscounted and were $56.9 million and $65.6 million as of December 31, 2024 and 2023, respectively, and are included in Accrued Expenses in the accompanying Consolidated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international operations for fiscal years 2024, 2023 and 2022 consisted of the operations of our wholly-owned Australian subsidiary and South African Custodial Management Pty. Limited which we refer to as SACM and our consolidated joint venture in South Africa, which we refer to as SACS. In Australia, our wholly owned subsidiary, GEO Australia, currently manages three facilities. We operate one facility in South Africa through SACM. We also provide secure transportation services through our joint venture GEOAmey. See Item 7 for more discussion related to the results of our international operations. Financial information about our operations in different geographic regions appears in Note-14 Business Segments and Geographic Information in the notes to our audited consolidated financial statements included in Part II, Item 8 of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Concentration</w:t>
      </w:r>
    </w:p>
    <w:p>
      <w:pPr>
        <w:spacing w:after="0" w:line="1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Except for the major customers noted in the following table, no other single customer made up greater than 10% of our consolidated revenues for these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Various agencies of the U.S. Federal Government: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Concentration of credit risk related to the major customer above for accounts receivable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6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Various agencies of the U.S Federal Government:</w:t>
            </w:r>
          </w:p>
        </w:tc>
        <w:tc>
          <w:tcPr>
            <w:tcW w:w="20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concentrations above relate primarily to the Company's U.S. Secure Services and its Electronic Monitoring Supervision segments.</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our ISAP contract accounted for 10%, 14% and 17% of our consolidated revenues for the years ended December 31, 2024, 2023 and 2022,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Additional information about us can be found at </w:t>
      </w:r>
      <w:r>
        <w:rPr>
          <w:rFonts w:ascii="Times New Roman" w:cs="Times New Roman" w:eastAsia="Times New Roman" w:hAnsi="Times New Roman"/>
          <w:sz w:val="18"/>
          <w:szCs w:val="18"/>
          <w:i w:val="1"/>
          <w:iCs w:val="1"/>
          <w:color w:val="auto"/>
        </w:rPr>
        <w:t>www.geogroup.com.</w:t>
      </w:r>
      <w:r>
        <w:rPr>
          <w:rFonts w:ascii="Times New Roman" w:cs="Times New Roman" w:eastAsia="Times New Roman" w:hAnsi="Times New Roman"/>
          <w:sz w:val="18"/>
          <w:szCs w:val="18"/>
          <w:color w:val="auto"/>
        </w:rPr>
        <w:t xml:space="preserve"> We make available on our website, free of charge, access to our Annual Report on Form 10-K, Quarterly Reports on Form 10-Q, Current Reports on Form 8-K, our annual proxy statement on Schedule 14A and amendments to those materials filed or furnished pursuant to Section 13(a) or 15(d) of the Securities Exchange Act of 1934, as amended, as soon as reasonably practicable after we electronically submit such materials to the Securities and Exchange Commission, or the SEC. In addition, the SEC makes available on its website, free of charge, reports, proxy and information statements, and other information regarding issuers that file electronically with the SEC, including GEO. The SEC’s website is located at http://www.sec.gov. Information provided on our website or on the SEC’s website is not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risk factors summarized and detailed below could materially adversely affect our business, financial condition, or results of operations, impair our future prospects and/or cause the price of our common stock to decline. Additional risks not currently known to us or those we currently deem to be immaterial may also materially and adversely affect our business operations. Material risks that may affect our business, operating results and financial condition include, but are not necessarily limited to, those relating to:</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Public-Private Partnerships</w:t>
      </w:r>
    </w:p>
    <w:p>
      <w:pPr>
        <w:spacing w:after="0" w:line="121"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political opposition to the use of public-private partnerships could have a material adverse effect on our business.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High Level of Indebtedness</w:t>
      </w:r>
    </w:p>
    <w:p>
      <w:pPr>
        <w:spacing w:after="0" w:line="121"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adversely affect our financial condition and prevent us from fulfilling our debt service obligations.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incurring significant indebtedness in connection with substantial ongoing capital expenditures.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still incur more indebtedness which could further exacerbate the risks we face.</w:t>
      </w:r>
    </w:p>
    <w:p>
      <w:pPr>
        <w:spacing w:after="0" w:line="117"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borrowing costs and access to capital and credit markets could be adversely affected by a downgrade or potential downgrade of our credit ratings.</w:t>
      </w:r>
    </w:p>
    <w:p>
      <w:pPr>
        <w:spacing w:after="0" w:line="53"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the indentures governing our outstanding Secured and Unsecured Notes and our Credit Agreement impose significant operating and financial restrictions.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indebtedness will require a significant amount of cash.</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rates would adversely affect cash flows.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distributions from our subsidiaries to make payments on our indebtedness.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satisfy our repurchase obligations in the event of a change of control.</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Unsecured Notes and the guarantees on the Unsecured Notes will be effectively subordinated to our and the guarantors' senior secured indebtedness and structurally subordinated to the indebtedness of our subsidiaries that do not guarantee the Unsecured Notes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collateral may not be sufficient to satisfy our obligations under the Secured Notes.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Services</w:t>
      </w:r>
    </w:p>
    <w:p>
      <w:pPr>
        <w:spacing w:after="0" w:line="121" w:lineRule="exact"/>
        <w:rPr>
          <w:sz w:val="20"/>
          <w:szCs w:val="20"/>
          <w:color w:val="auto"/>
        </w:rPr>
      </w:pPr>
    </w:p>
    <w:p>
      <w:pPr>
        <w:ind w:left="1140" w:right="22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 significant decrease in revenues from, our limited number of customers could seriously harm our financial condition and results of operations.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reduce the U.S. federal deficit could adversely affect our liquidity, results of operations and financial condition.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levels or participation in ISAP could cause a decrease in revenues and profitability.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budgetary constraints may have a material adverse impact on us.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facility management contracts could adversely affect our results of operations and liquidity.</w:t>
      </w:r>
    </w:p>
    <w:p>
      <w:pPr>
        <w:spacing w:after="0" w:line="117" w:lineRule="exact"/>
        <w:rPr>
          <w:rFonts w:ascii="Times New Roman" w:cs="Times New Roman" w:eastAsia="Times New Roman" w:hAnsi="Times New Roman"/>
          <w:sz w:val="18"/>
          <w:szCs w:val="18"/>
          <w:color w:val="auto"/>
        </w:rPr>
      </w:pPr>
    </w:p>
    <w:p>
      <w:pPr>
        <w:jc w:val="both"/>
        <w:ind w:left="880" w:right="80" w:hanging="383"/>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secure contracts to develop and manage new secure facilities, processing centers, and community based facilities and to secure contracts to provide electronic monitoring services, community based reentry services and monitoring and supervisions services, the demand for which is outside our control.</w:t>
      </w:r>
    </w:p>
    <w:p>
      <w:pPr>
        <w:spacing w:after="0" w:line="6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contracts may adversely affect the profitability of our business.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government appropriations.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may negatively impact our ability to retain existing contracts and obtain new contracts.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start-up and operating costs on new contracts before receiving related revenues.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could disrupt operations and otherwise materially adversely affect our business.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could materially adversely affect our financial conditions and results of operations.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senior management and our ability to attract and retain sufficient qualified personnel.</w:t>
      </w:r>
    </w:p>
    <w:p>
      <w:pPr>
        <w:spacing w:after="0" w:line="117" w:lineRule="exact"/>
        <w:rPr>
          <w:rFonts w:ascii="Times New Roman" w:cs="Times New Roman" w:eastAsia="Times New Roman" w:hAnsi="Times New Roman"/>
          <w:sz w:val="18"/>
          <w:szCs w:val="18"/>
          <w:color w:val="auto"/>
        </w:rPr>
      </w:pPr>
    </w:p>
    <w:p>
      <w:pPr>
        <w:ind w:left="880" w:right="460" w:hanging="383"/>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our relationship with our employees could adversely affect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may be adversely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Taxes</w:t>
      </w:r>
    </w:p>
    <w:p>
      <w:pPr>
        <w:spacing w:after="0" w:line="121" w:lineRule="exact"/>
        <w:rPr>
          <w:sz w:val="20"/>
          <w:szCs w:val="20"/>
          <w:color w:val="auto"/>
        </w:rPr>
      </w:pPr>
    </w:p>
    <w:p>
      <w:pPr>
        <w:ind w:left="880" w:hanging="38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 rules can adversely impact our results of operations and financial position.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Real Estate and Construction Matters</w:t>
      </w:r>
    </w:p>
    <w:p>
      <w:pPr>
        <w:spacing w:after="0" w:line="121" w:lineRule="exact"/>
        <w:rPr>
          <w:sz w:val="20"/>
          <w:szCs w:val="20"/>
          <w:color w:val="auto"/>
        </w:rPr>
      </w:pPr>
    </w:p>
    <w:p>
      <w:pPr>
        <w:ind w:left="880" w:hanging="383"/>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risks associated with the ownership of real estate may adversely affect our results of operations.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facility construction and development activities may increase our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Capital Markets and its Impact on our Business</w:t>
      </w:r>
    </w:p>
    <w:p>
      <w:pPr>
        <w:spacing w:after="0" w:line="121" w:lineRule="exact"/>
        <w:rPr>
          <w:sz w:val="20"/>
          <w:szCs w:val="20"/>
          <w:color w:val="auto"/>
        </w:rPr>
      </w:pPr>
    </w:p>
    <w:p>
      <w:pPr>
        <w:ind w:left="880" w:hanging="38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conditions in the capital markets could prevent us from obtaining financing.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Electronic Monitoring Products and Technology</w:t>
      </w:r>
    </w:p>
    <w:p>
      <w:pPr>
        <w:spacing w:after="0" w:line="121" w:lineRule="exact"/>
        <w:rPr>
          <w:sz w:val="20"/>
          <w:szCs w:val="20"/>
          <w:color w:val="auto"/>
        </w:rPr>
      </w:pPr>
    </w:p>
    <w:p>
      <w:pPr>
        <w:ind w:left="880" w:hanging="38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could cause our electronic monitoring products and technology to become obsolete or require a redesign.</w:t>
      </w:r>
    </w:p>
    <w:p>
      <w:pPr>
        <w:spacing w:after="0" w:line="117" w:lineRule="exact"/>
        <w:rPr>
          <w:rFonts w:ascii="Times New Roman" w:cs="Times New Roman" w:eastAsia="Times New Roman" w:hAnsi="Times New Roman"/>
          <w:sz w:val="18"/>
          <w:szCs w:val="18"/>
          <w:color w:val="auto"/>
        </w:rPr>
      </w:pPr>
    </w:p>
    <w:p>
      <w:pPr>
        <w:ind w:left="880" w:hanging="38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changes in the level of acceptance of or resistance to the use of electronic monitoring products and services by government customers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electronic monitoring products and services could be harmed due to our dependence on a limited number of third-party suppliers.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acquire, protect or maintain our intellectual property could harm our ability to compete or grow.</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electronic monitoring products could infringe on the intellectual property rights of others.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costly product liability claims from the use of our electronic monitoring products.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and Cybersecurity</w:t>
      </w:r>
    </w:p>
    <w:p>
      <w:pPr>
        <w:spacing w:after="0" w:line="121" w:lineRule="exact"/>
        <w:rPr>
          <w:sz w:val="20"/>
          <w:szCs w:val="20"/>
          <w:color w:val="auto"/>
        </w:rPr>
      </w:pPr>
    </w:p>
    <w:p>
      <w:pPr>
        <w:ind w:left="880" w:hanging="38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delay or failure of the provision of our services or information systems could adversely affect our business.</w:t>
      </w:r>
    </w:p>
    <w:p>
      <w:pPr>
        <w:spacing w:after="0" w:line="117" w:lineRule="exact"/>
        <w:rPr>
          <w:rFonts w:ascii="Times New Roman" w:cs="Times New Roman" w:eastAsia="Times New Roman" w:hAnsi="Times New Roman"/>
          <w:sz w:val="18"/>
          <w:szCs w:val="18"/>
          <w:color w:val="auto"/>
        </w:rPr>
      </w:pPr>
    </w:p>
    <w:p>
      <w:pPr>
        <w:ind w:left="880" w:hanging="383"/>
        <w:spacing w:after="0"/>
        <w:tabs>
          <w:tab w:leader="none" w:pos="8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comply with data privacy, security and exchange legal requirements could have a material adverse impact on our business.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80" w:top="1363" w:right="599" w:bottom="1440" w:gutter="0" w:footer="0" w:header="0"/>
        </w:sectPr>
      </w:pPr>
    </w:p>
    <w:bookmarkStart w:id="24" w:name="page25"/>
    <w:bookmarkEnd w:id="24"/>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Acquisitions and Dispositions</w:t>
      </w:r>
    </w:p>
    <w:p>
      <w:pPr>
        <w:spacing w:after="0" w:line="121"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or consummate acquisitions or dispositions.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goodwill or other intangible assets may become impaired.</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121"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regulations and contractual requirements could have a material adverse effect.</w:t>
      </w:r>
    </w:p>
    <w:p>
      <w:pPr>
        <w:spacing w:after="0" w:line="117" w:lineRule="exact"/>
        <w:rPr>
          <w:rFonts w:ascii="Times New Roman" w:cs="Times New Roman" w:eastAsia="Times New Roman" w:hAnsi="Times New Roman"/>
          <w:sz w:val="18"/>
          <w:szCs w:val="18"/>
          <w:color w:val="auto"/>
        </w:rPr>
      </w:pPr>
    </w:p>
    <w:p>
      <w:pPr>
        <w:ind w:left="1140" w:right="72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expose us to various liabilities for which we may not have adequate insurance, including legal claims and proceedings, and may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the insurance levels required by our government contracts.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Corporate Social Responsibility</w:t>
      </w:r>
    </w:p>
    <w:p>
      <w:pPr>
        <w:spacing w:after="0" w:line="121"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corporate social responsibility.</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21"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vary substantially.</w:t>
      </w:r>
    </w:p>
    <w:p>
      <w:pPr>
        <w:spacing w:after="0" w:line="117"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the growth in the utilization of detention beds by the federal government may not be realized, which may adversely impact our stock price.</w:t>
      </w:r>
    </w:p>
    <w:p>
      <w:pPr>
        <w:spacing w:after="0" w:line="53"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shares of our common stock could adversely affect the market price of our common stock and may be dilutive to current shareholders.</w:t>
      </w:r>
    </w:p>
    <w:p>
      <w:pPr>
        <w:spacing w:after="0" w:line="53"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Section 404 of the Sarbanes-Oxley Act of 2002 could have an adverse effect on our business and the trading price of our common stock.</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could be negatively affected as a result of the actions of activist or hostile shareholders.</w:t>
      </w:r>
    </w:p>
    <w:p>
      <w:pPr>
        <w:spacing w:after="0" w:line="117"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squeeze” due to a sudden increase in demand for shares of our common stock that largely exceeds supply has led to, and may continue to lead to, extreme price volatility in shares of our common stock.</w:t>
      </w:r>
    </w:p>
    <w:p>
      <w:pPr>
        <w:spacing w:after="0" w:line="32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following are certain risks to which our business operations are subject. Any of these risks could materially adversely affect our business, financial condition, or results of operations. These risks could also cause our actual results to differ materially from those indicated in the forward-looking statements contained herein and elsewhere. </w:t>
      </w:r>
      <w:r>
        <w:rPr>
          <w:rFonts w:ascii="Times New Roman" w:cs="Times New Roman" w:eastAsia="Times New Roman" w:hAnsi="Times New Roman"/>
          <w:sz w:val="18"/>
          <w:szCs w:val="18"/>
          <w:i w:val="1"/>
          <w:iCs w:val="1"/>
          <w:color w:val="auto"/>
        </w:rPr>
        <w:t>The risks described below are not the only risks we face. Additional risks not currently known to us or those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currently deem to be immaterial may also materially and adversely affect our business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Public-Private Partnerships</w:t>
      </w:r>
    </w:p>
    <w:p>
      <w:pPr>
        <w:spacing w:after="0" w:line="25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Public and political opposition to the use of public-private partnerships for secure facilities,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39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management and operation of secure facilities, processing centers and community reentry centers under public-private partnerships has not achieved complete acceptance by either government agencies or the public. Some governmental agencies have limitations on their ability to delegate their traditional management responsibilities for such facilities and centers to private sector companies or they may be instructed by a governmental agency or authority overseeing them to reduce their utilization or scope of public-private partnerships or undertake additional reviews of their public-private partnerships. Any report prepared by or requested by a governmental agency or public official, investigation or inquiry, public statement by any governmental agency or public official, policy or legislative change by any federal, state or local government, or other similar occurrence or action, that seeks to, or purports to, prohibit, eliminate, or otherwise restrict or limit in any way, the federal government’s (or any state or local government’s) ability to contract with private sector companies for the operation of these facilities and centers, could adversely impact our ability to maintain or renew existing contracts or to obtain new contracts.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Various state partners have or may choose in the future to undertake a review of their utilization of public-private partnerships. For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ind w:right="60"/>
        <w:spacing w:after="0" w:line="258" w:lineRule="auto"/>
        <w:rPr>
          <w:sz w:val="20"/>
          <w:szCs w:val="20"/>
          <w:color w:val="auto"/>
        </w:rPr>
      </w:pPr>
      <w:r>
        <w:rPr>
          <w:rFonts w:ascii="Times New Roman" w:cs="Times New Roman" w:eastAsia="Times New Roman" w:hAnsi="Times New Roman"/>
          <w:sz w:val="18"/>
          <w:szCs w:val="18"/>
          <w:color w:val="auto"/>
        </w:rPr>
        <w:t>example, California enacted legislation aimed at phasing out public-private partnership contracts for the operation of secure facilities within California and facilities outside of the state of California housing state of California inmates. We have public-private partnership contracts in place with ICE and the U.S. Marshals Service relating to facilities located in California. Also, the State of Washington has enacted legislation similar to the California law. Although GEO was able to prevail in legal actions challenging the constitutionality of such laws in California and Washington, these or other states may propose or adopt similar laws in the future.</w:t>
      </w:r>
    </w:p>
    <w:p>
      <w:pPr>
        <w:spacing w:after="0" w:line="39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the movement toward using public-private partnerships for such facilities and centers has encountered resistance from groups which believe that such facilities and centers should only be operated by governmental agencies. For example, several financial institutions, including some of our lenders, had announced that they will not be renewing existing agreements or entering into new agreements with companies that operate such facilities and centers pursuant to public-private partnerships. Some of these same institutions have ceased their equity analyst coverage of our company. Proposed and future legislation could indirectly impose additional financial restrictions with respect to our business. If other financial institutions or third parties that currently provide us with financing or that we do business with decide in the future to cease providing us with financing or doing business with us, such determinations could have a material adverse effect on our business, financial condition and results of operations.</w:t>
      </w:r>
    </w:p>
    <w:p>
      <w:pPr>
        <w:spacing w:after="0" w:line="18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Increased public and political opposition to the use of public-private partnerships for our facilities and centers in any of the markets in which we operate, as a result of these or other factors, could have a material adverse effect on our business, financial condition, results of operations and the market price of our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 Level of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adversely affect our financial condition and prevent us from fulfilling our debt service obligations.</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have a significant amount of indebtedness. Our total consolidated indebtedness as of December 31, 2024 and 2023 was approximately $1.7 billion and $1.8 billion, respectively, excluding finance lease obligations of $0.6 million and $1.3 million, for the years ended December 31, 2024 and 2023, respectively. As of December 31, 2024 and 2023, we had $62.9 million and $75.8 million, respectively, outstanding in letters of credit and $110.0 million and zero, respectively, in borrowings outstanding under our revolver. As of December 31, 2024, we had the ability to borrow $137.1 million under our revolver, after applying the limitations and restrictions in our debt covenants and subject to our satisfying the relevant borrowing conditions under our senior credit facility with respect to the incurrence of additional indebtedness. At December 31, 2024, we also had approximately AUD53 million (or approximately $33 million based on exchange rates at December 31, 2024) in letters of credit outstanding under our Australian letter of credit facility in connection with certain performance guarantees related to the Ravenhall facility.</w:t>
      </w:r>
    </w:p>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example, it could:</w:t>
      </w:r>
    </w:p>
    <w:p>
      <w:pPr>
        <w:spacing w:after="0" w:line="225"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make it more difficult for us to satisfy our obligations with respect to our senior notes and our other debt and liabilities;</w:t>
      </w:r>
    </w:p>
    <w:p>
      <w:pPr>
        <w:spacing w:after="0" w:line="117" w:lineRule="exact"/>
        <w:rPr>
          <w:rFonts w:ascii="Times New Roman" w:cs="Times New Roman" w:eastAsia="Times New Roman" w:hAnsi="Times New Roman"/>
          <w:sz w:val="14"/>
          <w:szCs w:val="14"/>
          <w:color w:val="auto"/>
        </w:rPr>
      </w:pPr>
    </w:p>
    <w:p>
      <w:pPr>
        <w:ind w:left="1140" w:right="660" w:hanging="383"/>
        <w:spacing w:after="0" w:line="282" w:lineRule="auto"/>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53"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place us at a competitive disadvantage compared to competitors that may be less leveraged;</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restrict us from pursuing strategic acquisitions or exploiting certain business opportunities;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limit our ability to borrow additional funds or refinance existing indebtedness on favorable terms; and</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require us to sell assets or take other actions to service our debt obligations.</w:t>
      </w:r>
    </w:p>
    <w:p>
      <w:pPr>
        <w:spacing w:after="0" w:line="200" w:lineRule="exact"/>
        <w:rPr>
          <w:sz w:val="20"/>
          <w:szCs w:val="20"/>
          <w:color w:val="auto"/>
        </w:rPr>
      </w:pPr>
    </w:p>
    <w:p>
      <w:pPr>
        <w:spacing w:after="0" w:line="34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If we are unable to meet our debt service obligations, we may need to reduce capital expenditures, restructure or refinance our indebtedness, obtain additional equity financing or sell assets. The term loan and revolving credit commitments under our credit agreement mature in April 2029. Our 8.625% senior secured notes due 2029 (“Secured Notes” or “8.625% Secured Notes Due 2029”) and our 10.250% senior notes due 2031 (“Unsecured Notes” or “10.250% Unsecured Notes due 2031”) mature in April 2029 and April 2031, respectively. Beginning in 2019, several financial institutions announced that they would not be renewing existing agreements or entering into new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t>agreements with companies that operate secure services facilities and centers pursuant to public-private partnerships. Certain lenders also have publicly disclosed that they will no longer loan money to one of our key competitors. Although we successfully closed on a debt restructuring transaction that resulted in entering into a new credit agreement and the issuance of the Secured Notes and the Unsecured Notes, financial institutions may be unwilling to engage with us in the future and this may restrict our access to the debt and capital markets to support our operations or refinance our indebtedness, including by obtaining debt financing, equity financing or selling assets on satisfactory terms, or at all. This could materially increase the cost of capital and as a result have a material adverse effect on our business, financial condition and results of operations. In addition, our ability to incur additional indebtedness will be restricted by the terms of our credit agreement, and the indentures governing our Secured Notes and Unsecured Notes.</w:t>
      </w:r>
    </w:p>
    <w:p>
      <w:pPr>
        <w:spacing w:after="0" w:line="185" w:lineRule="exact"/>
        <w:rPr>
          <w:sz w:val="20"/>
          <w:szCs w:val="20"/>
          <w:color w:val="auto"/>
        </w:rPr>
      </w:pPr>
    </w:p>
    <w:p>
      <w:pPr>
        <w:ind w:right="4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significant indebtedness in connection with substantial ongoing capital expenditures. Capital expenditures for existing and future projects may materially strain our liquidity.</w:t>
      </w:r>
    </w:p>
    <w:p>
      <w:pPr>
        <w:spacing w:after="0" w:line="15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currently have several active projects that we anticipate spending approximately $125 to $145 million on capital expenditures in 2025. Included in these projects are planned expenditures to deliver expanded detention capacity, secure transportation and electronic monitoring services to ICE. Of these projects, we estimate that approximately $40 to $45 million are related to facility maintenance costs. We intend to finance these and future projects using our own funds, including cash on hand, cash flow from operations and borrowings under the revolver. In addition to these current estimated capital requirements for 2025, we are currently in the process of bidding on, or evaluating potential bids for the design, construction and management of a number of new projects. In the event that we win bids for these projects and decide to self-finance their construction, our capital requirements in 2025 could materially increase. As of December 31, 2024, we had the ability to borrow $137.1 million under the revolver after applying the limitations and restrictions in our debt covenants and subject to our satisfying the relevant borrowing conditions under the senior credit facility. In addition, we have the ability to increase the senior credit facility by an additional $450 million, subject to lender demand and prevailing market conditions and satisfying the relevant borrowing conditions thereunder. While we believe we currently have adequate borrowing capacity under our senior credit facility to fund our operations and all of our committed capital expenditure projects, we may need additional borrowings or financing from other sources in order to complete potential capital expenditures related to new projects in the future. We cannot assure you that such borrowings or financing will be made available to us on satisfactory terms, or at all. In addition, the large capital commitments that these projects will require over the next 12-18 month period may materially strain our liquidity and our borrowing capacity for other purposes. Capital constraints caused by these projects may also cause us to have to entirely refinance our existing indebtedness or incur more indebtedness. Such financing may have terms less favorable than those we currently have in place, or not be available to us at all. In addition, the concurrent development of these and other large capital projects exposes us to material risks. For example, we may not complete some or all of the projects on time or on budget, which could cause us to absorb any losses associated with any delays.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still incur more indebtedness, which could further exacerbate the risks described above.</w:t>
      </w:r>
    </w:p>
    <w:p>
      <w:pPr>
        <w:spacing w:after="0" w:line="22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The terms of the indentures governing the Secured Notes, Unsecured Notes and our credit agreement restricts our ability to incur, but do not prohibit us from incurring, significant additional indebtedness in the future. As of December 31, 2024, we had the ability to borrow an additional $137.1 million under the revolver portion of our credit agreement after applying the limitations and restrictions in our debt covenants and subject to our satisfying the relevant borrowing conditions under the senior credit facility. Also, we may refinance all or a portion of our indebtedness, including borrowings under our credit agreement, the Secured Notes and the Unsecured Notes. The terms of such refinancing may be less restrictive and permit us to incur more indebtedness than we can now. If new indebtedness is added to our and our subsidiaries’ current debt levels, the related risks that we and they now face related to our significant level of indebtedness could intensify.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borrowing costs and access to capital and credit markets could be adversely affected by a downgrade or potential downgrade of our credit ratings.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7" w:name="page28"/>
    <w:bookmarkEnd w:id="27"/>
    <w:p>
      <w:pPr>
        <w:spacing w:after="0" w:line="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covenants in the indentures governing the Secured Notes and the Unsecured Notes and the covenants in our Credit Agreement impose significant operating and financial restrictions which may adversely affect our ability to operate our business.</w:t>
      </w:r>
    </w:p>
    <w:p>
      <w:pPr>
        <w:spacing w:after="0" w:line="159" w:lineRule="exact"/>
        <w:rPr>
          <w:sz w:val="20"/>
          <w:szCs w:val="20"/>
          <w:color w:val="auto"/>
        </w:rPr>
      </w:pPr>
    </w:p>
    <w:p>
      <w:pPr>
        <w:jc w:val="both"/>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indentures governing the Secured Notes and the Unsecured Notes and our Credit Agreement impose significant operating and financial restrictions on us and certain of our subsidiaries, which we refer to as restricted subsidiaries. These restrictions limit our ability to, among other things:</w:t>
      </w:r>
    </w:p>
    <w:p>
      <w:pPr>
        <w:spacing w:after="0" w:line="189"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make certain restricted payments;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incur additional indebtedness or issue preferred stock ;</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create or permit restrictions on the ability of our restricted subsidiaries to pay dividends or make other distributions to us;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enter into mergers, consolidations or sales of substantially all of our assets;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designate restricted and unrestricted subsidiaries;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enter into sale and leaseback transactions; and</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engage in business, except as otherwise permitted.</w:t>
      </w:r>
    </w:p>
    <w:p>
      <w:pPr>
        <w:spacing w:after="0" w:line="33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These restrictions could limit our ability to finance our future operations or capital needs, make acquisitions or pursue available business opportunities. In addition, our Credit Agreement requires us to maintain specified financial ratios and satisfy certain financial covenants, including maintaining a maximum total leverage ratio, a maximum first lien coverage ratio, a minimum interest coverage ratio and a cap on the amount of unrestricted cash that our foreign subsidiaries may hold as of the last day of any fiscal quarter. We may be required to take action to reduce our indebtedness or to act in a manner contrary to our business objectives to meet these ratios and satisfy these covenants. We could also incur additional indebtedness having even more restrictive covenants. Our failure to comply with any of the covenants under our Credit Agreement, the Secured Notes and the Unsecured Note, or any other indebtedness could prevent us from being able to draw on the Revolver,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w:t>
      </w:r>
    </w:p>
    <w:p>
      <w:pPr>
        <w:spacing w:after="0" w:line="2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will require a significant amount of cash. Our ability to generate cash depends on many factors beyond our control and we may not be able to generate the cash required to service our indebtedness.</w:t>
      </w:r>
    </w:p>
    <w:p>
      <w:pPr>
        <w:spacing w:after="0" w:line="15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business may not be able to generate sufficient cash flow from operations or future borrowings may not be available to us under our Credit Agreement or otherwise in an amount sufficient to enable us to pay our indebtedness or debt securities, including the Secured Notes and the Unsecured Notes, or to fund our other liquidity needs. As a result, we may need to refinance all or a portion of our indebtedness on or before maturity. However, we may not be able to complete such refinancing on commercially reasonable terms or at all. If for any reason we are unable to meet our debt service obligations, we would be in default under the terms of the agreements governing our outstanding debt. If such a default were to occur, the lenders under the Credit Agreement, and holders of the Secured Notes and the Unsecured Notes could elect to declare all amounts outstanding immediately due and payable, and the lenders would not be obligated to continue to advance funds under the Credit Agreement. If the amounts outstanding under the Credit Agreement or other agreements governing our outstanding debt, were accelerated, our assets may not be sufficient to repay in full the money owed to our lenders and holders of the Secured Notes the Unsecured Notes and any other debt 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portions of our senior indebtedness have floating interest rates, an increase in interest rates would adversely affect cash flows.</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Borrowings under our Credit Agreement bear interest at a variable rate using a spread over SOFR. As a result, to the extent our exposure to increases in interest rates is not eliminated through interest rate protection agreements, such increases will result in higher debt service costs which will adversely affect our cash flows. We currently do not have interest rate protection agreements in place to protect against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ind w:right="160"/>
        <w:spacing w:after="0" w:line="266" w:lineRule="auto"/>
        <w:rPr>
          <w:sz w:val="20"/>
          <w:szCs w:val="20"/>
          <w:color w:val="auto"/>
        </w:rPr>
      </w:pPr>
      <w:r>
        <w:rPr>
          <w:rFonts w:ascii="Times New Roman" w:cs="Times New Roman" w:eastAsia="Times New Roman" w:hAnsi="Times New Roman"/>
          <w:sz w:val="18"/>
          <w:szCs w:val="18"/>
          <w:color w:val="auto"/>
        </w:rPr>
        <w:t>interest rate fluctuations on borrowings under our Credit Agreement. As of December 31, 2024, we had $430.8 million of indebtedness outstanding under our Credit Agreement, and a one percent increase in the interest rate applicable to our Credit Agreement would increase our annual interest expense by approximately $4 million.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distributions from our subsidiaries to make payments on our indebtedness. These distributions may not be made.</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 substantial portion of our business is conducted by our subsidiaries. Therefore, our ability to meet our payment obligations on our indebtedness is substantially dependent on the earnings of certain of our subsidiaries and the payment of funds to us by our subsidiaries as dividends, loans, advances or other payments. Our subsidiaries are separate and distinct legal entities and, unless they expressly guarantee any indebtedness of ours, they are not obligated to make funds available for payment of our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or contractual restrictions to which they may be subject. If our subsidiaries do not make such payments to us, our ability to repay our indebtedness may be materially adversely affected. For the year ended December 31, 2024, our subsidiaries accounted for 54.9% of our consolidated revenues, and as of December 31, 2024, our subsidiaries accounted for 90.9% of our total assets.</w:t>
      </w:r>
    </w:p>
    <w:p>
      <w:pPr>
        <w:spacing w:after="0" w:line="21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satisfy our repurchase obligations in the event of a change of control or fundamental change because the terms of our indebtedness or lack of funds may prevent us from doing so.</w:t>
      </w:r>
    </w:p>
    <w:p>
      <w:pPr>
        <w:spacing w:after="0" w:line="15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Upon a change of control as specified in the indentures governing the terms of our Secured Notes and Unsecured Notes, each holder of the Secured Notes and Unsecured Notes will have the right to require us to repurchase their notes at 101% of their principal amount, plus accrued and unpaid interest, if any, to the date of repurchase. The terms of the Credit Agreement limit our ability to repurchase the notes in the event of a change of control. In addition, the terms of each of the indentures governing the Secured Notes and the Unsecured Notes will limit our ability to repurchase the other series of notes in the event of a change of control. Any future agreement governing any of our indebtedness may contain similar restrictions and provisions. Accordingly, it is possible that restrictions in the Credit Agreement, the indentures governing the Secured Notes and the Unsecured Notes or other indebtedness that may be incurred in the future will not allow the required repurchase of the Secured Notes and the Unsecured Notes upon a change of control. Even if such repurchase is permitted by the terms of our then existing indebtedness, we may not have sufficient funds available to satisfy our repurchase obligations. Our failure to purchase any of the Secured Notes and Unsecured Notes would be a default under the indenture governing such notes, which in turn would trigger a default under the Credit Agreement and the indenture governing the other series of notes.</w:t>
      </w:r>
    </w:p>
    <w:p>
      <w:pPr>
        <w:spacing w:after="0" w:line="19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Unsecured Notes and the guarantees on the Unsecured Notes (the "Unsecured Note Guarantees") will be effectively subordinated to our and the guarantors’ senior secured indebtedness and structurally subordinated to the indebtedness of our subsidiaries that do not guarantee the Unsecured Notes.</w:t>
      </w:r>
    </w:p>
    <w:p>
      <w:pPr>
        <w:spacing w:after="0" w:line="17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Unsecured Notes and the Unsecured Note Guarantees will be senior, unsecured obligations of GEO and the guarantors, respectively, and will rank (i) equal in right of payment with all of our and the guarantors’ existing and future senior, unsecured indebtedness and the related guarantees, (ii) effectively junior in right of payment to all of our and the guarantors’ existing and future secured indebtedness, including our obligations under the Credit Agreement and the related guarantees, and the Secured Notes and the guarantees on the Secured Notes, to the extent of the value of the assets securing such indebtedness, (iii) senior in right of payment to any of our and the guarantors’ future subordinated indebtedness, and (iv) structurally subordinated to all existing and future indebtedness and other liabilities, including trade payables, of any of our subsidiaries that do not guarantee the Unsecured Notes.</w:t>
      </w:r>
    </w:p>
    <w:p>
      <w:pPr>
        <w:spacing w:after="0" w:line="187"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the event we or the guarantors become the subject of a bankruptcy, liquidation, dissolution, reorganization or similar proceeding, our assets and the assets of the guarantors securing indebtedness could not be used to pay holders of the Unsecured Notes until after all secured claims against us and the guarantors have been fully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the collateral may not be sufficient to satisfy our obligations under the Secured Notes.</w:t>
      </w:r>
    </w:p>
    <w:p>
      <w:pPr>
        <w:spacing w:after="0" w:line="229" w:lineRule="exact"/>
        <w:rPr>
          <w:sz w:val="20"/>
          <w:szCs w:val="20"/>
          <w:color w:val="auto"/>
        </w:rPr>
      </w:pPr>
    </w:p>
    <w:p>
      <w:pPr>
        <w:ind w:right="40" w:firstLine="585"/>
        <w:spacing w:after="0" w:line="255" w:lineRule="auto"/>
        <w:rPr>
          <w:sz w:val="20"/>
          <w:szCs w:val="20"/>
          <w:color w:val="auto"/>
        </w:rPr>
      </w:pPr>
      <w:r>
        <w:rPr>
          <w:rFonts w:ascii="Times New Roman" w:cs="Times New Roman" w:eastAsia="Times New Roman" w:hAnsi="Times New Roman"/>
          <w:sz w:val="18"/>
          <w:szCs w:val="18"/>
          <w:color w:val="auto"/>
        </w:rPr>
        <w:t>The Secured Notes are secured by a first-priority lien on the collateral, which collateral also secures our obligations under the Credit Agreement and other first lien debt permitted under the Credit Agreement and the indenture governing the Secured Notes (referred to herein as other “Additional Pari Passu Obligations”), and there may not be sufficient collateral to pay the Secured Notes and the Additional Pari Passu Obligations. The rights of the holders of the Secured Notes to the collateral may be diluted by any increase in debt secured by the collateral or a reduction in the collateral. In the event of a bankruptcy, liquidation, dissolution, reorganization or similar proceeding against us or any guarantor, the collateral securing the other Additional Pari Passu Obligations and the Secured Notes must be used to pay the other Additional Pari Passu Obligations and the Secured Notes ratably as set forth in the First Lien Intercreditor Agreement. We may incur Additional Pari</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ind w:right="40"/>
        <w:spacing w:after="0" w:line="282" w:lineRule="auto"/>
        <w:rPr>
          <w:sz w:val="20"/>
          <w:szCs w:val="20"/>
          <w:color w:val="auto"/>
        </w:rPr>
      </w:pPr>
      <w:r>
        <w:rPr>
          <w:rFonts w:ascii="Times New Roman" w:cs="Times New Roman" w:eastAsia="Times New Roman" w:hAnsi="Times New Roman"/>
          <w:sz w:val="18"/>
          <w:szCs w:val="18"/>
          <w:color w:val="auto"/>
        </w:rPr>
        <w:t>Passu Obligations in the future. Any Additional Pari Passu Obligations incurred in the future will adversely affect the relative position of the holders of the Secured Notes with respect to the collateral securing such Secured Notes.</w:t>
      </w:r>
    </w:p>
    <w:p>
      <w:pPr>
        <w:spacing w:after="0" w:line="162" w:lineRule="exact"/>
        <w:rPr>
          <w:sz w:val="20"/>
          <w:szCs w:val="20"/>
          <w:color w:val="auto"/>
        </w:rPr>
      </w:pPr>
    </w:p>
    <w:p>
      <w:pPr>
        <w:ind w:right="60" w:firstLine="540"/>
        <w:spacing w:after="0" w:line="255" w:lineRule="auto"/>
        <w:rPr>
          <w:sz w:val="20"/>
          <w:szCs w:val="20"/>
          <w:color w:val="auto"/>
        </w:rPr>
      </w:pPr>
      <w:r>
        <w:rPr>
          <w:rFonts w:ascii="Times New Roman" w:cs="Times New Roman" w:eastAsia="Times New Roman" w:hAnsi="Times New Roman"/>
          <w:sz w:val="18"/>
          <w:szCs w:val="18"/>
          <w:color w:val="auto"/>
        </w:rPr>
        <w:t>No appraisals of any collateral were prepared in connection with the offering of the Secured Notes. The value of the collateral at any time will depend on market and other economic conditions, including the availability of suitable buyers for the collateral. By their nature, some or all of the pledged assets may be illiquid and may have no readily ascertainable market value. The value of the collateral securing the Secured Notes could be impaired in the future as a result of changing economic conditions, our failure to implement our business strategy, competition and other future events or trends. In the event of a foreclosure, liquidation, bankruptcy or similar proceeding, no assurance can be given that the proceeds from any sale or liquidation of the collateral securing the Secured Notes will be sufficient to pay our obligations under the Secured Notes, in full or at all, while also paying the Additional Pari Passu Obligations.</w:t>
      </w:r>
    </w:p>
    <w:p>
      <w:pPr>
        <w:spacing w:after="0" w:line="189"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In the event of a bankruptcy, liquidation, dissolution, reorganization or similar proceeding against us or any guarantor, all proceeds from the collateral will be applied first to repay the obligations in respect of the Secured Notes and any Additional Pari Passu Obligations. No assurance can be given that the proceeds from any sale or liquidation of the collateral will be sufficient to pay our obligations under the Secured Notes, in full or at all, while also paying the Additional Pari Passu Obligations. Additionally, with respect to some of the collateral, the Secured Notes collateral agent’s security interest and ability to foreclose will be limited by the need to meet certain requirements, such as obtaining third-party consents and making additional filings.</w:t>
      </w:r>
    </w:p>
    <w:p>
      <w:pPr>
        <w:spacing w:after="0" w:line="183"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Accordingly, there may not be sufficient collateral to pay all or any of the amounts due on the Secured Notes. Any claim for the difference between the amount, if any, realized by holders of the Secured Notes from the sale of the collateral securing the Secured Notes and the obligations under the Secured Notes will rank equally in right of payment with all of our other unsecured unsubordinated indebtedness and other obligations, including trade payables.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Services</w:t>
      </w:r>
    </w:p>
    <w:p>
      <w:pPr>
        <w:spacing w:after="0" w:line="2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revenues from a limited number of governmental agencies. Of our governmental partners, three federal governmental agencies with correctional and detention responsibilities, the BOP, ICE, and the U.S. Marshals Service, accounted for 61.8% and 62.2% of our total consolidated revenues for the year ended December 31, 2024 and 2023, respectively, through multiple individual contracts, with the BOP accounting for 3.1% and 2.9% of our total consolidated revenues for 2024 and 2023, respectively, ICE accounting for 41.5% and 42.7% of our total consolidated revenues for 2024 and 2023, respectively, and the U.S. Marshals Service accounting for 17.2% and 16.7% of our total consolidated revenues for 2024 and 2023, respectively. However, no individual contract with these clients accounted for more than 10.0% of our total consolidated revenues for 2024 and 2023 except for our ISAP contract that accounted for approximately 10% and 14% of our consolidated revenues, respectively. Our ISAP contract may be subject to competitive re-bid in 2025.</w:t>
      </w:r>
    </w:p>
    <w:p>
      <w:pPr>
        <w:spacing w:after="0" w:line="200" w:lineRule="exact"/>
        <w:rPr>
          <w:sz w:val="20"/>
          <w:szCs w:val="20"/>
          <w:color w:val="auto"/>
        </w:rPr>
      </w:pPr>
    </w:p>
    <w:p>
      <w:pPr>
        <w:spacing w:after="0" w:line="20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revenues depend on our governmental customers receiving sufficient funding and providing us with timely payment under the terms of our contracts. If the applicable governmental customers do not receive sufficient appropriations to cover their contractual obligations, they may delay or reduce payment to us or terminate their contracts with us. With respect to our federal government customers, any future impasse or struggle impacting the federal government’s ability to reach agreement on the federal budget, debt ceiling or any future federal government shut-downs could result in material payment delays, payment reductions or contract terminations. Additionally, our governmental customers may request in the future that we reduce our per diem contract rates or forego increases to those rates as a way for those governmental customers to control their spending and address their budgetary shortfalls.</w:t>
      </w:r>
    </w:p>
    <w:p>
      <w:pPr>
        <w:spacing w:after="0" w:line="187"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Our governmental customers may also from time to time adopt, implement or modify certain policies or directives that may adversely affect our business. Our federal, state or local governmental partners may in the future choose to undertake a review of their utilization of public-private partnerships, or may re-negotiate, cancel or decide not to renew our existing contracts with them. Various state partners have or may choose in the future to undertake a review of their utilization of public-private partnerships.</w:t>
      </w:r>
    </w:p>
    <w:p>
      <w:pPr>
        <w:spacing w:after="0" w:line="207"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loss of, or a significant decrease in, our current contracts with ICE, the U.S. Marshals Service or any other significant customers could seriously harm our financial condition and results of operations. We expect these federal and state agencies and a relatively small group of other governmental customers to continue to account for a significant percentage of our revenues.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30" w:name="page31"/>
    <w:bookmarkEnd w:id="30"/>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occupancy levels or participation in ISAP could cause a decrease in revenues and profitability.</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While a substantial portion of our cost structure is generally fixed, most of our revenues are generated under facility management contracts which provide for per diem payments based upon daily occupancy. Several of these contracts provide fixed-price payments that cover a portion, or all of our fixed costs based on a guaranteed minimum level of occupancy regardless of the actual level of occupancy. During the pandemic, we received these fixed-price payments at a number of our facilities where the actual level of occupancy was below the guaranteed minimum level of occupancy and as a result those facilities experienced a greater amount of profitability. If the levels of occupancy at the facilities subject to a guaranteed minimum level of occupancy were to increase, our costs may increase and therefore result in a decreased amount of profitability at these facilities. However, many of our contracts have no fixed-price payments and simply provide for a per diem payment based on actual occupancy. As a result, with respect to our contracts that have no fixed-price payments, we are highly dependent upon the governmental agencies with which we have contracts to utilize our facilities. Under a per diem rate structure, a decrease in our utilization rates could cause a decrease in revenues and profitability. When combined with relatively fixed costs for operating each facility, regardless of the occupancy level, material fluctuations in occupancy levels at one or more of our facilities could have a material adverse effect on our revenues and profitability, and consequently, on our financial condition and/or results of operations. In addition material fluctuations in participation in ISAP could have a material adverse effect on our revenues and profitability, and consequently, on our financial condition and/or results of operations.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Efforts to reduce the U.S. federal deficit could adversely affect our liquidity, results of operations and financial condition.</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Any reductions in government spending in an effort to reduce the U.S. federal deficit could result in a reduction in the utilization of our services or additional pricing pressure. Further, there is ongoing uncertainty regarding the federal budget and federal spending levels, including the possible impacts of a failure to increase the “debt ceiling.” Any U.S. government default on its debt could have broad macroeconomic effects that could, among other things, raise our borrowing costs. Any future shutdown of the federal government or failure to enact annual appropriations could also have a material adverse impact on our liquidity, results of operations and financial condition.</w:t>
      </w:r>
    </w:p>
    <w:p>
      <w:pPr>
        <w:spacing w:after="0" w:line="10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Additionally, considerable uncertainty exists regarding how future budget and program decisions will develop, including the spending priorities of the new U.S. presidential administration and Congress and what challenges budget reductions will present for us and our industry generally. For example, on November 12, 2024, President Trump announced a planned advisory commission, the “Department of Government Efficiency” to reform federal government processes and reduce expenditures. Pressures on and uncertainty surrounding the U.S. federal government’s budget, and potential changes in budgetary priorities and spending levels, could adversely affect the funding for and delay or eliminate the ability for additional contracting or increased bed capacity.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budgetary constraints may have a material adverse impact on us.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Long-running pressure on state budgets had eased in prior years amid widespread economic growth and tax revenue gains that resulted in the first budget surpluses in years for many states. The COVID-19 pandemic adversely impacted the economic expansion and budget surpluses enjoyed by numerous states. Still, some states were in a stronger position than others as they began to experience a public health emergency and their greatest fiscal and economic tests since the Great Recession of 2007-09. GEO has numerous state clients across the country. If state budgetary conditions deteriorate, our state customers’ ability to pay us may be impaired and/or we may be forced to renegotiate our management contracts with those customers on less favorable terms and our financial condition, results of operations or cash flows could be materially adversely impacted. In addition, budgetary constraints in states that are not our current customers could prevent those states from using public-private partnerships for secure facilities, processing centers or community based service opportunities that we otherwise could have pursued.</w:t>
      </w:r>
    </w:p>
    <w:p>
      <w:pPr>
        <w:spacing w:after="0" w:line="25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From time to time, we may not have a management contract with a customer to operate existing beds or new beds at facilities that we are currently in the process of renovating and expanding. While we will always strive to work diligently with a number of different customers for the use of these beds, we cannot assure you that a contract for the beds will be secured on a timely basis, or at all. While a facility or new beds at a facility are vacant, we incur carrying costs. In our U.S. Secure Services segment, as of December 31, 2024, we were marketing 10,486 vacant beds with a net book value of approximately $260.6 million at seven of our idle facilities to potential customers. In our Reentry Services segment, as of December 31, 2024, we were marketing 1,189 vacant beds with a net book value of approximately $26.8 million at four of our idle facilities to potential customers. The combined annual carrying cost of these idle facilities in 2025 is estimated to be $33.0 million, including depreciation expense of $16.8 million. Failure to secure a management contract for a facility or expansion project could have a material adverse impact on our financial condition, results of operations and/or cash flows. We review our facilities for impairment whenever events or changes in circumstances indicate the net book value of the facility may not be recoverable. Impairment charges taken on our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right="220"/>
        <w:spacing w:after="0" w:line="282" w:lineRule="auto"/>
        <w:rPr>
          <w:sz w:val="20"/>
          <w:szCs w:val="20"/>
          <w:color w:val="auto"/>
        </w:rPr>
      </w:pPr>
      <w:r>
        <w:rPr>
          <w:rFonts w:ascii="Times New Roman" w:cs="Times New Roman" w:eastAsia="Times New Roman" w:hAnsi="Times New Roman"/>
          <w:sz w:val="18"/>
          <w:szCs w:val="18"/>
          <w:color w:val="auto"/>
        </w:rPr>
        <w:t>facilities could require material charges to our results of operations. In addition, in order to secure a management contract for these beds, we may need to incur significant capital expenditures to renovate or further expand the facility to meet potential clients’ needs.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spacing w:after="0" w:line="159" w:lineRule="exact"/>
        <w:rPr>
          <w:sz w:val="20"/>
          <w:szCs w:val="20"/>
          <w:color w:val="auto"/>
        </w:rPr>
      </w:pPr>
    </w:p>
    <w:p>
      <w:pPr>
        <w:ind w:right="100" w:firstLine="749"/>
        <w:spacing w:after="0" w:line="274" w:lineRule="auto"/>
        <w:rPr>
          <w:sz w:val="20"/>
          <w:szCs w:val="20"/>
          <w:color w:val="auto"/>
        </w:rPr>
      </w:pPr>
      <w:r>
        <w:rPr>
          <w:rFonts w:ascii="Times New Roman" w:cs="Times New Roman" w:eastAsia="Times New Roman" w:hAnsi="Times New Roman"/>
          <w:sz w:val="17"/>
          <w:szCs w:val="17"/>
          <w:color w:val="auto"/>
        </w:rPr>
        <w:t>We are exposed to the risk that we may lose our facility management contracts primarily due to one of three reasons: (i) the termination by a government customer with or without cause at any time; (ii) the failure by a customer to exercise its unilateral option to renew a contract with us upon the expiration of the then current term; or (iii)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w:t>
      </w:r>
    </w:p>
    <w:p>
      <w:pPr>
        <w:spacing w:after="0" w:line="17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2024, 18 of our facility management contracts, as well as certain of our other management contracts, may be subject to competitive re-bid in 2025. These contracts in the aggregate represented 21% and approximately $498 million of our 2024 consolidated revenues. We cannot in fact assure you that we will prevail in future re-bid situations or that any competitive re-bids we win will be on terms more favorable to us than those in existence with respect to the applicable expiring contract.</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federal, state or local governmental partners may in the future choose to undertake a review of their utilization of public-private partnerships, or may re-negotiate, cancel or decide not to renew our existing contracts with them. For example, on January 26, 2021, President Biden signed an Executive Order directing the United States Attorney General not to renew Department of Justice contracts with privately operated criminal detention facilities. While this Executive Order has been revoked, a future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w:t>
      </w:r>
    </w:p>
    <w:p>
      <w:pPr>
        <w:spacing w:after="0" w:line="189" w:lineRule="exact"/>
        <w:rPr>
          <w:sz w:val="20"/>
          <w:szCs w:val="20"/>
          <w:color w:val="auto"/>
        </w:rPr>
      </w:pPr>
    </w:p>
    <w:p>
      <w:pPr>
        <w:ind w:right="180" w:firstLine="794"/>
        <w:spacing w:after="0" w:line="261" w:lineRule="auto"/>
        <w:rPr>
          <w:sz w:val="20"/>
          <w:szCs w:val="20"/>
          <w:color w:val="auto"/>
        </w:rPr>
      </w:pPr>
      <w:r>
        <w:rPr>
          <w:rFonts w:ascii="Times New Roman" w:cs="Times New Roman" w:eastAsia="Times New Roman" w:hAnsi="Times New Roman"/>
          <w:sz w:val="18"/>
          <w:szCs w:val="18"/>
          <w:color w:val="auto"/>
        </w:rPr>
        <w:t>For additional information on facility management contracts that we currently believe will be competitively re-bid during each of the next five years and thereafter, please see “Business — Government Contracts — Terminations, Renewals and Competitive Re-bids”. The loss by us of facility management contracts due to terminations, non-renewals or competitive re-bids could materially adversely affect our financial condition, results of operations and/or liquidity, including our ability to secure new facility management contracts from other government customers.</w:t>
      </w:r>
    </w:p>
    <w:p>
      <w:pPr>
        <w:spacing w:after="0" w:line="25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secure contracts to develop and manage new secure facilities, processing centers and community based facilities and to secure contracts to provide electronic monitoring services, community-based reentry services and monitoring and supervision services, the demand for which is outside our control.</w:t>
      </w:r>
    </w:p>
    <w:p>
      <w:pPr>
        <w:spacing w:after="0" w:line="17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Our growth is primarily dependent upon our ability to obtain new contracts to develop and/or manage secure, processing, and community based facilities under public-private partnerships. Additionally, our growth is generally dependent upon our ability to obtain new contracts to offer electronic monitoring services, provide community-based reentry services and provide monitoring and supervision services. Demand for new public-private partnership facilities in our areas of operation may decrease and our potential for growth will depend on a number of factors we cannot control, including overall economic conditions, governmental and public acceptance of public-private partnerships, government budgetary constraints, and the number of facilities available for public-private partnerships.</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particular, the demand for our secure facility and processing center services, electronic monitoring services, community-based reentry services and monitoring and supervision services could be affected by changes in existing policies which adversely impact the need for and acceptance of public-private partnerships across the spectrum of services we provide. Various factors outside our control could adversely impact the growth of our Reentry Services business, including government customer resistance to the public-private partnerships for residential community based facilities, and changes to Medicaid and similar reimbursement programs.</w:t>
      </w:r>
    </w:p>
    <w:p>
      <w:pPr>
        <w:spacing w:after="0" w:line="200" w:lineRule="exact"/>
        <w:rPr>
          <w:sz w:val="20"/>
          <w:szCs w:val="20"/>
          <w:color w:val="auto"/>
        </w:rPr>
      </w:pPr>
    </w:p>
    <w:p>
      <w:pPr>
        <w:spacing w:after="0" w:line="2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state requirements for capital investment or locate land for the development of new facilities, which could adversely affect our results of operations and future growth.</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Certain jurisdictions have in the past required successful bidders to make a significant capital investment in connection with the financing of a particular project. If this trend were to continue in the future, we may not be able to obtain sufficient capital resources when needed to compete effectively for facility management contracts. Additionally, our success in obtaining new awards and contracts may depend, in part, upon our ability to locate land that can be leased or acquired under favorable terms. Our inability to secure financing and desirable locations for new facilities could adversely affect our results of operations and future growth.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contracts may adversely affect the profitability of our business.</w:t>
      </w:r>
    </w:p>
    <w:p>
      <w:pPr>
        <w:spacing w:after="0" w:line="24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compete with government entities and other public-private partnership operators on the basis of cost, bed availability, location of facility, quality and range of services offered, experience in managing facilities, and reputation of management and personnel. Barriers to entering the market for the management of secure and processing facilities and the provision of community reentry programs may not be sufficient to limit additional competition in our industry. In addition, some of our government customers may assume the management of a facility currently managed by us upon the termination of the corresponding management contract or, if such customers have capacity at the facilities which they operate, they may choose to use less capacity at our facilities. Since we are paid on a per diem basis based on actual occupancy under some of our contracts, a decrease in occupancy could cause a decrease in both our revenues and our profitability.</w:t>
      </w:r>
    </w:p>
    <w:p>
      <w:pPr>
        <w:spacing w:after="0" w:line="26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government appropriations, which may not be made on a timely basis or at all and may be adversely impacted by budgetary constraints at the federal, state, local and foreign government levels.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cash flow is subject to the receipt of sufficient funding of and timely payment by contracting governmental entities. If the contracting governmental agency does not receive sufficient appropriations to cover its contractual obligations, it may terminate our contract or delay or reduce payment to us. Any delays in payment, or the termination of a contract, could have a material adverse effect on our cash flow and financial condition, which may make it difficult to satisfy our payment obligations on our indebtedness, including the Secured Notes, Unsecured Notes and the Credit Agreement, in a timely manner. In addition, domestically, federal, state and local governments have encountered, and may continue to encounter, unusual budgetary constraints. As a result, a number of state and local governments may be under pressure to control additional spending or reduce current levels of spending which could limit or eliminate appropriations for the facilities that we operate. Additionally, as a result of these factors, we may be requested in the future to reduce our existing per diem contract rates or forego prospective increases to those rates. Budgetary limitations may also make it more difficult for us to renew our existing contracts on favorable terms or at all. Further, a number of states and foreign governments in which we operate may experience budget constraints for fiscal year 2025. We cannot assure you that these constraints would not result in reductions in per diems, delays in payment for services rendered or unilateral termination of contracts.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publicity may negatively impact our ability to retain existing contracts and obtain new contracts.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Any negative publicity about an escape, riot, other disturbance, pandemic outbreak, death or injury of a detainee, or perceived conditions and access to health care and other services at a facility, including any work program at a facility, under a public-private partnership, any failures experienced by our electronic monitoring services and any negative publicity about a crime or disturbance occurring during a failure of service or the loss or unauthorized access to any of the data we maintain in the course of providing our services may result in publicity adverse to us and public-private partnerships in general. Any of these occurrences or continued trends may make it more difficult for us to renew existing contracts or to obtain new contracts or could result in the termination of an existing contract or the closure of one or more of our facilities, which could have a material adverse effect on our business. Such negative events may also result in a significant increase in our liability insurance costs.</w:t>
      </w:r>
    </w:p>
    <w:p>
      <w:pPr>
        <w:spacing w:after="0" w:line="25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start-up and operating costs on new contracts before receiving related revenues, which may impact our cash flows and not be recouped.</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When we are awarded a contract to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Secured Notes, Unsecured Notes and the Credit Agreement. In addition, a contract may be terminated prior to its scheduled expiration and as a result we may not recover these expenditures or realize any return on our investment.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community opposition to facility locations, which may adversely affect our ability to obtain new contracts.</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ind w:right="100"/>
        <w:spacing w:after="0" w:line="261" w:lineRule="auto"/>
        <w:rPr>
          <w:sz w:val="20"/>
          <w:szCs w:val="20"/>
          <w:color w:val="auto"/>
        </w:rPr>
      </w:pPr>
      <w:r>
        <w:rPr>
          <w:rFonts w:ascii="Times New Roman" w:cs="Times New Roman" w:eastAsia="Times New Roman" w:hAnsi="Times New Roman"/>
          <w:sz w:val="18"/>
          <w:szCs w:val="18"/>
          <w:color w:val="auto"/>
        </w:rPr>
        <w:t>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new project. Future efforts to find suitable host communities may not be successful. In many cases, the site selection is made by the contracting governmental entity. In such cases, site selection may be made for reasons related to economic development interests.</w:t>
      </w:r>
    </w:p>
    <w:p>
      <w:pPr>
        <w:spacing w:after="0" w:line="24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pandemic outbreaks, global political events and other serious catastrophic events could disrupt operations and otherwise materially adversely affect our business and financial condition.</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an owner and operator of secure facilities, processing centers and community reentry centers with operations in many states throughout the United States and multiple foreign countries, we are subject to numerous risks outside of our control, including risks arising from natural disasters, pandemic outbreaks, such as the COVID-19 pandemic, and other global health emergencies or disruptive global political events, including terrorist activity and war, or similar disruptions that could materially adversely affect our business and financial performance. Such occurrences can result in destruction or damage to our secure facilities, processing centers and community reentry centers and our information systems, disruption of our operations, require the evacuation of detainees or our personnel, and require the adoption of specific health protocols or treatments to safeguard the health of our detainees or personnel. Although it is not possible to predict such events or their consequences, these events could materially adversely affect our reputation, business and financial condition.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that could materially adversely affect our financial condition and results of operations.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our international operations accounted for approximately 9% and 8%, respectively, of our consolidated revenues from operations. We face risks associated with our operations outside the United States. These risks include, among others, political and economic instability, exchange rate fluctuations, taxes, duties and the laws or regulations in those foreign jurisdictions in which we operate. In the event that we experience any difficulties arising from our operations in foreign markets, our business, financial condition and results of operations may be materially adversely affected.</w:t>
      </w:r>
    </w:p>
    <w:p>
      <w:pPr>
        <w:spacing w:after="0" w:line="24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of our operations through joint ventures or consortiums, which may lead to disagreements with our joint venture partners or business partners and adversely affect our interest in the joint ventures or consortiums.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conduct our operations in South Africa through our consolidated joint venture, SACM, and through our 50% owned and unconsolidated joint venture South African Custodial Services Pty. Limited, referred to as SACS. We conduct our escort and related custody services in the United Kingdom through our 50% owned and unconsolidated joint venture in GEOAmey Limited, which we refer to as GEOAmey. We may enter into additional joint ventures in the future. Although we have the majority vote in our consolidated joint venture, SACM, through our ownership of 62.5% of the voting shares, we share equal voting control on all significant matters to come before SACS. We also share equal voting control on all significant matters to come before GEOAmey. These joint venture partners, as well as any future partners, may have interests that are different from ours which may result in conflicting views as to the conduct of the business of the joint venture or consortium. In the event that we have a disagreement with a joint venture partner or consortium business partner as to the resolution of a particular issue to come before the joint venture or consortium, or as to the management or conduct of the business of the joint venture or consortium in general, we may not be able to resolve such disagreement in our favor and such disagreement could have a material adverse effect on our interest in the joint venture or consortium or the business of the joint venture or consortium in general.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rising cost and increasing difficulty of obtaining adequate levels of surety credit on favorable terms could adversely affect our operating results.</w:t>
      </w:r>
    </w:p>
    <w:p>
      <w:pPr>
        <w:spacing w:after="0" w:line="22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We are often required to post performance bonds issued by a surety company as a condition to bidding on or being awarded a facility development contract. Availability and pricing of these surety commitments is subject to general market and industry conditions, among other factors. If we are unable to effectively pass along surety costs to our customers, any increase in surety costs could adversely affect our operating results. In addition, we may not continue to have access to surety credit or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Credit Agreement, which would entail higher costs even if such borrowing capacity was available when desired, and our ability to bid for or obtain new contracts could be impaired.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senior management and our ability to attract and retain sufficient qualified personnel.</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are dependent upon the continued service of each member of our senior management team, including George C. Zoley, Ph.D., our Executive Chairman, J. David Donahue, our Chief Executive Officer, Mark J. Suchinski, our Chief Financial Officer, Wayne Calabrese, our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4" w:name="page35"/>
    <w:bookmarkEnd w:id="34"/>
    <w:p>
      <w:pPr>
        <w:ind w:right="60"/>
        <w:spacing w:after="0" w:line="266" w:lineRule="auto"/>
        <w:rPr>
          <w:sz w:val="20"/>
          <w:szCs w:val="20"/>
          <w:color w:val="auto"/>
        </w:rPr>
      </w:pPr>
      <w:r>
        <w:rPr>
          <w:rFonts w:ascii="Times New Roman" w:cs="Times New Roman" w:eastAsia="Times New Roman" w:hAnsi="Times New Roman"/>
          <w:sz w:val="18"/>
          <w:szCs w:val="18"/>
          <w:color w:val="auto"/>
        </w:rPr>
        <w:t>President and Chief Operating Officer, Paul Laird, our Senior Vice President and President, Secure Services, Matthew Albence, our Senior Vice President, Client Relations and also our other executive officers. The unexpected loss of Dr. Zoley, Mr. Donahue, Mr. Suchinski or any other key member of our senior management team could materially adversely affect our business, financial condition or results of operations.</w:t>
      </w:r>
    </w:p>
    <w:p>
      <w:pPr>
        <w:spacing w:after="0" w:line="176"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In addition, the services we provide are labor-intensive. When we are awarded a facility management contract or open a new facility, depending on the service we have been contracted to provide, we may need to hire operating, management, correctional officers, security staff, physicians, nurses and other qualified personnel. Our business is labor intensive, and some of our operations may experience a high rate of employee turnover from time to time. We believe there is currently a labor shortage impacting both publicly operated and privately operated secure facilities, processing centers and community reentry centers. It can be challenging for us to find appropriately skilled and qualified personnel at affordable rates. We may be unable to hire and retain a sufficiently skilled labor force to support our operating needs, our contractual requirements and our growth strategy. A labor shortage could negatively affect our ability to efficiently operate our facilities and our overall business. Any such shortage may adversely impact our ability to serve our customers effectively. Our labor and training expenses could increase as a result of a shortage in the supply of skilled personnel and an increase in the compensation we will need to pay to attract and retain such personnel and such compensation expenses may not be covered by our governmental customers, which could adversely affect our profitability. The success of our business requires that we attract, develop and retain our personnel. Our inability to hire sufficient qualified personnel on a timely basis or the loss of significant numbers of personnel at existing facilities could have a material effect on our business, financial condition or results of operations. If we were to be unable to fully staff or fill vacancies on a timely basis in our secure facilities, processing centers and community reentry centers, it could result in negative consequences, including requests by our government customers to provide a plan of correction, assessments of fines or other penalties under our contracts, or contract cancellations or non-renewals.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developments in our relationship with our employees could adversely affect our business, financial condition or results of operations.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At December 31, 2024, approximately 57% of our workforce was covered by collective bargaining agreements and, as of such date, collective bargaining agreements with approximately 17% of our employees were set to expire in less than one year. While approximately 57% of our workforce is covered by collective bargaining agreements, increases in organizational activity or any future work stoppages could have a material adverse effect on our business, financial condition, or results of operations.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may be materially adversely affected by inflation.</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Many of our facility management contracts provide for fixed management fees or fees that increase by only small amounts during their terms. While a substantial portion of our cost structure is generally fixed, if, due to inflation or other causes, our operating expenses, such as costs relating to personnel, utilities, insurance, medical and food, increase at rates faster than increases, if any, in our facility management fees, then our profitability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local tax rules can adversely impact our results of operations and financial position.</w:t>
      </w:r>
    </w:p>
    <w:p>
      <w:pPr>
        <w:spacing w:after="0" w:line="310" w:lineRule="exact"/>
        <w:rPr>
          <w:sz w:val="20"/>
          <w:szCs w:val="20"/>
          <w:color w:val="auto"/>
        </w:rPr>
      </w:pPr>
    </w:p>
    <w:p>
      <w:pPr>
        <w:ind w:firstLine="675"/>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taxes in the United States, as well as in Australia, Canada, South Africa and the UK. Significant judgment is required in determining the provision for income taxes. We believe our income tax estimates are reasonable, but such estimates assume no changes in current tax rates. In addition, if the Internal Revenue Service or other taxing authority disagrees on a tax position we have taken and upon final adjudication we are required to change such position, we could incur additional tax liability, including interest and penalties. Such costs and expenses could have a material adverse impact on our financial condition, results of operations, and cash flows. Additionally, the taxability of our services is subject to various interpretations within the taxing jurisdictions in which we operate. Consequently, in the ordinary course of business, a jurisdiction may contest our reporting positions with respect to the application of its tax code to our operations. A conflicting position taken by a state or local taxation authority on the taxability of our operations could result in additional tax liabilities and could negatively impact our competitive position in that jurisdiction. If we fail to comply with applicable tax laws and regulations, we could suffer civil or criminal penalties in addition to the delinquent tax assessment. In the taxing jurisdictions where our services have been determined to be subject to tax, the jurisdiction may increase the tax rate assessed on such operations. We seek to pass-through to our customers such tax increases. In the event we are not able to pass-through any portion of the tax increase, our results of operations, financial condition and cash flows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Real Estate and Construction Matters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Various risks associated with the ownership of real estate may increase costs, expose us to uninsured losses and adversely affect our financial condition and results of operations.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ownership of secure and processing facilities subjects us to risks typically associated with investments in real estate. Investments in real estate, and in particular, secure and processing facilities, are relatively illiquid and, therefore, our ability to divest ourselves of one or more of our facilities promptly in response to changed conditions is limited. Investments in secure and processing facilities, in particular,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hurricanes, earthquakes, riots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facilities we own. Further, even if we have insurance for a particular loss, we may experience losses that may exceed the limits of our coverage.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facility construction and development activities may increase our costs related to such activities.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within the level of budgeted costs or be unable to fund any excess construction costs, even though we typically require general contractors to post construction bonds and insurance. Under such contracts, we are ultimately liable for all late delivery penalties and cost overruns.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Capital Markets and its Impact on our Business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conditions in the capital markets could prevent us from obtaining financing, which could materially harm our business.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ability to obtain additional financing is highly dependent on the conditions of the capital markets, among other things. The capital and credit markets have experienced significant periods of volatility and disruption since the Great Recession of 2007-2009, and more recently during 2020 and 2021 due to the impact of the COVID-19 pandemic. During this time period, the economic impacts observed have included a downturn in the equity and debt markets, a tightening of the credit markets, a general economic slowdown and other macroeconomic conditions, volatility in stock prices and currency exchange rates, inflation, concerns over sovereign debt levels abroad and in the U.S. and concerns over the failure to adequately address the federal deficit and the debt ceiling. If those macroeconomic conditions continue or worsen in the future, we could be prevented from raising additional capital or obtaining additional financing on satisfactory terms, or at all. If we need, but cannot obtain, adequate capital as a result of negative conditions in the capital markets or otherwise, our business, results of operations and/or financial condition could be materially adversely affected. Additionally, such inability to obtain capital could prevent us from pursuing attractive business development opportunities, including new facility constructions or expansions of existing facilities, and business or asset acquisitions.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Electronic Monitoring Products and Technology</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changes could cause our electronic monitoring products and technology to become obsolete or require the redesign of our electronic monitoring products, which could have a material adverse effect on our business.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Technological changes within the electronic monitoring business in which we conduct business may require us to expend substantial resources in an effort to develop and/or utilize new electronic monitoring products and technology. We may not be able to anticipate or respond to technological changes in a timely manner, and our response may not result in successful electronic monitoring product development and timely product introductions. If we are unable to anticipate or timely respond to technological changes, our business could be adversely affected and could compromise our competitive position, particularly if our competitors announce or introduce new electronic monitoring products and services in advance of us. Additionally, new electronic monitoring products and technology face the uncertainty of customer acceptance and reaction from competitors.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 w:name="page37"/>
    <w:bookmarkEnd w:id="36"/>
    <w:p>
      <w:pPr>
        <w:spacing w:after="0" w:line="9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negative changes in the level of acceptance of or resistance to the use of electronic monitoring products and services by governmental customers could have a material adverse effect on our business, financial condition and results of operations.</w:t>
      </w:r>
    </w:p>
    <w:p>
      <w:pPr>
        <w:spacing w:after="0" w:line="15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Governmental customers use electronic monitoring products and services to monitor low risk offenders as a way to help reduce overcrowding in secure facilities, as a monitoring tool, and to promote public safety by imposing restrictions on movement and serving as a deterrent for alcohol usage.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 this could have a material adverse effect on our business, financial condition and results of operations.</w:t>
      </w:r>
    </w:p>
    <w:p>
      <w:pPr>
        <w:spacing w:after="0" w:line="26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 parties to manufacture and supply quality infrastructure components for our electronic monitoring products. If our suppliers cannot provide the components or services we require and with such quality as we expect, our ability to market and sell our electronic monitoring products and services could be harmed.</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If our suppliers fail to supply components in a timely manner that meets our quantity, quality, cost requirements, or technical specifications, we may not be able to access alternative sources of these components within a reasonable period of time or at commercially reasonable rates. Recently we have been affected by the current microchip shortage which has caused us to pivot to other technology solutions. A reduction or interruption in the supply of components, or a significant increase in the price of components, could have a material adverse effect on our marketing and sales initiatives, which could adversely affect our financial condition and results of operations.</w:t>
      </w:r>
    </w:p>
    <w:p>
      <w:pPr>
        <w:spacing w:after="0" w:line="2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acquire, protect or maintain our intellectual property and patents in the electronic monitoring space could harm our ability to compete or grow.</w:t>
      </w:r>
    </w:p>
    <w:p>
      <w:pPr>
        <w:spacing w:after="0" w:line="15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have numerous United States and foreign patents issued as well as a number of United States patents pending in the electronic monitoring space. There can be no assurance that the protection afforded by these patents will provide us with a competitive advantage, prevent our competitors from duplicating our products, or that we will be able to assert our intellectual property rights in infringement actions.</w:t>
      </w:r>
    </w:p>
    <w:p>
      <w:pPr>
        <w:spacing w:after="0" w:line="176"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addition, any of our patents may be challenged, invalidated, circumvented or rendered unenforceable. There can be no assurance that we will be successful should one or more of our patents be challenged for any reason. If our patent claims are rendered invalid or unenforceable, or narrowed in scope, the patent coverage afforded to our products could be impaired, which could significantly impede our ability to market our products, negatively affect our competitive position and harm our business and operating results.</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There can be no assurance that any pending or future patent applications held by us will result in an issued patent, or that if patents are issued to us, that such patents will provide meaningful protection against competitors or against competitive technologies. The issuance of a patent is not conclusive as to its validity or its enforceability. The United States federal courts or equivalent national courts or patent offices elsewhere may invalidate our patents or find them unenforceable. Competitors may also be able to design around our patents. Our patents and patent applications cover particular aspects of our products. Other parties may develop and obtain patent protection for more effective technologies, designs or methods. If these developments were to occur, it could have an adverse effect on our sales. We may not be able to prevent the unauthorized disclosure or use of our technical knowledge or trade secrets by consultants, vendors, former employees and current employees, despite the existence of nondisclosure and confidentiality agreements and other contractual restrictions. Furthermore, the laws of foreign countries may not protect our intellectual property rights effectively or to the same extent as the laws of the United States. If our intellectual property rights are not adequately protected, we may not be able to commercialize our technologies, products or services and our competitors could commercialize our technologies, which could result in a decrease in our sales and market share that would harm our business and operating results.</w:t>
      </w:r>
    </w:p>
    <w:p>
      <w:pPr>
        <w:spacing w:after="0" w:line="19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Additionally, the expiration of any of our patents may reduce the barriers to entry into our electronic monitoring line of business and may result in loss of market share and a decrease in our competitive abilities, thus having a potential adverse effect on our financial condition, results of operations and cash flows.</w:t>
      </w:r>
    </w:p>
    <w:p>
      <w:pPr>
        <w:spacing w:after="0" w:line="23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spacing w:after="0" w:line="15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current products or products under development will not infringe any patent or other intellectual property rights of third parties. If infringement claims are brought against us, whether successfully or not, these assertions could distract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management from other tasks important to the success of our business, necessitate us expending potentially significant funds and resources to defend or settle such claims and harm our reputation. We cannot be certain that we will have the financial resources to defend ourselves against any patent or other intellectual property litigation.</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cease selling or using any products that incorporate the asserted intellectual property, which would adversely affect our revenue;</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or</w:t>
      </w:r>
    </w:p>
    <w:p>
      <w:pPr>
        <w:spacing w:after="0" w:line="117" w:lineRule="exact"/>
        <w:rPr>
          <w:rFonts w:ascii="Times New Roman" w:cs="Times New Roman" w:eastAsia="Times New Roman" w:hAnsi="Times New Roman"/>
          <w:sz w:val="14"/>
          <w:szCs w:val="14"/>
          <w:color w:val="auto"/>
        </w:rPr>
      </w:pPr>
    </w:p>
    <w:p>
      <w:pPr>
        <w:ind w:left="1140" w:right="140" w:hanging="383"/>
        <w:spacing w:after="0" w:line="282" w:lineRule="auto"/>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redesign or rename, in the case of trademark claims, our products to avoid infringing the intellectual property rights of third parties, which may not be possible and could be costly and time-consuming if it is possible to do.</w:t>
      </w:r>
    </w:p>
    <w:p>
      <w:pPr>
        <w:spacing w:after="0" w:line="162"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In the event of an adverse determination in an intellectual property suit or proceeding, or our failure to license essential technology, our sales could be harmed and/or our costs could increase, which would harm our financial condition.</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spacing w:after="0" w:line="17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a party to a number of licenses that give us rights to third-party intellectual property that is necessary or useful to our business. Our success will depend in part on the ability of our licensors to obtain, maintain and enforce our licensed intellectual property. Our licensors may not successfully prosecute any applications for or maintain intellectual property to which we have licenses, may determine not to pursue litigation against other companies that are infringing such intellectual property, or may pursue such litigation less aggressively than we would. Without protection for the intellectual property we license, other companies might be able to offer similar products for sale, which could adversely affect our competitive business position and harm our business prospects.</w:t>
      </w:r>
    </w:p>
    <w:p>
      <w:pPr>
        <w:spacing w:after="0" w:line="187"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If we lose any of our rights to use third-party intellectual property, it could adversely affect our ability to commercialize our technologies, products or services, as well as harm our competitive business position and our business prospects.</w:t>
      </w:r>
    </w:p>
    <w:p>
      <w:pPr>
        <w:spacing w:after="0" w:line="23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Manufacturing, marketing, selling, testing and the operation of our electronic monitoring products and services entail a risk of product liability. We could be subject to product liability claims to the extent our electronic monitoring products fail to perform as intended. Even unsuccessful claims against us could result in the expenditure of funds in litigation, the diversion of management time and resources, damage to our reputation and impairment in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or that damages payable by us would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interruption, delay or failure of the provision of our services or information systems could adversely affect our business.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Certain segments of our business depend significantly on effective information systems. As with all companies that utilize information technology, we are vulnerable to negative impacts if information is inadvertently interrupted, delayed, compromised or lost. A significant disruption or failure of our information technology systems may have a significant impact on our operations, potentially resulting in service interruptions, security violations, regulatory compliance failures and other operational difficulties. We routinely process, store and transmit large amounts of data for our clients. We continually work to update and maintain effective information systems.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we disclosed in November 2020 that we had begun the process of notifying current and former employees and would provide additional notifications as required by applicable state and federal law regarding a ransomware attack that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8" w:name="page39"/>
    <w:bookmarkEnd w:id="38"/>
    <w:p>
      <w:pPr>
        <w:ind w:right="20"/>
        <w:spacing w:after="0" w:line="258" w:lineRule="auto"/>
        <w:rPr>
          <w:sz w:val="20"/>
          <w:szCs w:val="20"/>
          <w:color w:val="auto"/>
        </w:rPr>
      </w:pPr>
      <w:r>
        <w:rPr>
          <w:rFonts w:ascii="Times New Roman" w:cs="Times New Roman" w:eastAsia="Times New Roman" w:hAnsi="Times New Roman"/>
          <w:sz w:val="18"/>
          <w:szCs w:val="18"/>
          <w:color w:val="auto"/>
        </w:rPr>
        <w:t>impacted a portion of our information technology systems and a limited amount of data that contained personally identifiable information and protected health information. Any security breach or event resulting in the interruption, delay or failure of our services or information systems, or the misappropriation, loss, or other unauthorized disclosure of client data, employee and former employee data or confidential information, whether by us directly or our third-party service providers, could damage our reputation, expose us to the risks of litigation and liability, disrupt our business, result in lost business or otherwise adversely affect our results of operations.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data privacy, security and exchange legal requirements could have a material adverse impact on our business, financial position, results of operations, cash flows and reputation.</w:t>
      </w:r>
    </w:p>
    <w:p>
      <w:pPr>
        <w:spacing w:after="0" w:line="91"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are subject to complex and evolving U.S. federal and state privacy laws and regulations, which sometimes conflict among the various jurisdictions where we do business. For example, we are subject to HIPAA, which requires us to protect the privacy and security of individually identifiable health information, known as “protected health information” and recognize individual rights related to understanding and controlling how health information is used or disclosed. Various states have passed laws pertaining to the processing of personal data that require companies, including us, to provide new disclosures and options to such persons about data collection, use and sharing practices. Some of these laws are already in effect, while others will go into effect during 2025. HIPAA and state laws require us to report data breaches to affected individuals, government regulators, and in certain cases involving large breaches, the media. Further, the U.S. federal government and a significant number of additional states are considering expanding or passing privacy laws in the near term. We are also subject to increasing legal requirements with respect to the use of artificial intelligence and machine learning applications and tools (including in relation to hiring and employment practices) and biometric information. These legal requirements are rapidly changing and are subject to uncertain application, interpretation and enforcement standards. Our current or future use of artificial intelligence or machine learning tools in our business operations could expose us to new or additional costs and risks, including the potential introduction of new vulnerabilities or cybersecurity risks within our information technology systems and the potential inadvertent or unauthorized release of confidential or protected health information resulting from the use (whether or not authorized) of artificial intelligence or machine learning tools by our employees, contractors, agents, representatives or affiliates. In addition, the artificial intelligence tools we may incorporate into certain aspects of our operations may not generate the intended efficiencies and may impact our business results.</w:t>
      </w:r>
    </w:p>
    <w:p>
      <w:pPr>
        <w:spacing w:after="0" w:line="115"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The increasingly complex, restrictive and rapidly evolving regulatory environment at the federal and state level related to data privacy and data protection, including with respect to protected health information and the use of artificial intelligence, may require significant continued effort and cost, changes to our business and data processing practices and impact our ability to obtain and use data. These laws provide for civil penalties for violations, and some confer a private right-of-action to certain individuals for data breaches. Federal and state regulatory bodies, including the Federal Trade Commission and the California Privacy Protection Agency are engaging in enforcement investigations and actions with respect to privacy and data protection. There is no assurance that our security controls, training of employees on data privacy and data security, and policies, procedures and practices will prevent the improper use or disclosure of personal data. Our inability to adapt or comply with such legal requirements, or the improper use or disclosure of personal data in violation of data privacy laws could harm our reputation, cause loss of consumer confidence, subject us to government enforcement actions, or result in private litigation against us, which could result in loss of revenue, increased costs, liability for monetary damages, fines and/or criminal prosecution, all of which could have a material adverse impact on our business, financial position, results of operations and cash flows.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 and Dispositions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identify or consummate acquisitions or dispositions.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pursue select acquisitions that meet our criteria for growth and profitability when market opportunities arise. We pursue select dispositions of assets and businesses that meet our criteria for maximizing the realization of value for such assets or businesses and for furthering our goal of deleveraging our balance sheet and reducing funded recourse debt. The pursuit of acquisitions or dispositions may pose certain risks to us. We may not be able to identify acquisition candidates that fit our criteria for growth and profitability. We may not be able to identify purchasers for the sale of any of our assets or businesses or we may not be able to obtain a purchase price for such assets or businesses that we feel is reflective of the quality of such assets or businesses. Even if we are able to identify such candidates or purchasers, we may not be able to acquire such targets or dispose of such assets or businesses on terms satisfactory to us. We will incur expenses and dedicate attention and resources associated with the review of acquisition or disposition opportunities, whether or not we consummate such acquisitions or dispositions.</w:t>
      </w:r>
    </w:p>
    <w:p>
      <w:pPr>
        <w:spacing w:after="0" w:line="19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Additionally, even if we are able to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the anticipated timing or at all. For example, elimination of duplicative costs may not be fully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t>achieved or may take longer than anticipated. For at least the first year after a substantial acquisition, and possibly longer, the benefits from the acquisition will be offset by the costs incurred in integrating the businesses and operations. We may also assume liabilities in connection with acquisitions that we would otherwise not be exposed to.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w:t>
      </w:r>
    </w:p>
    <w:p>
      <w:pPr>
        <w:spacing w:after="0" w:line="183"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Additionally, even if we are able to dispose of any assets or businesses on agreeable terms, we may not achieve the anticipated benefits of such disposition within the contemplated timing or at all. A disposition of any assets or businesses may result in decreased earnings, revenue, or cash flow. We may also be subject to claims from the purchasers of such assets or businesses relating to liabilities or indemnification obligations in connection with such dispositions. An inability to realize the full extent of, or any of, the anticipated benefits of a disposition as well as any delays that may be encountered in the disposition process, could have an adverse effect on our business, results of operations and our ability to deleverage our balance sheet and reduce funded recourse debt.</w:t>
      </w:r>
    </w:p>
    <w:p>
      <w:pPr>
        <w:spacing w:after="0" w:line="2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 substantial amount of goodwill and other intangible assets resulting from business acquisitions. As of December 31, 2024, we had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$882.6 million of goodwill and other intangible assets. At least annually, or whenever events or changes in circumstances indicate a potential impairment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(as defined by Generally Accepted Accounting Principles in the United States of America, or U.S. GAAP), we will evaluate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for impairment by first assessing qualitative factors to determine whether the existence of events or circumstances leads to a determination that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more likely than not that the fair value of the reporting unit is less than the carrying amount. Estimated fair values could change and/or decline if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changes in our capital structure, cost of debt, interest rates, capital expenditure levels, operating cash flows, market capitalization, and the political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environment. For example, our stock price has experienced volatility and periods of a significant decline over the course of the last several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future decline or prolonged decline in the value of our stock price may result in material impairment charges. Impairments of goodwill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could require material non-cash charges to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 Matters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extensive government regulation and applicable contractual requirements could have a material adverse effect on our business, financial condition or results of operations.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sector in which we operate is subject to extensive federal, state and local regulation, including educational, environmental, health care and safety laws, rules and regulations, which are administered by many regulatory authorities. Some of the regulations are unique to the sector, and the combination of regulations affects all areas of our operations. Corrections officers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w:t>
      </w:r>
    </w:p>
    <w:p>
      <w:pPr>
        <w:spacing w:after="0" w:line="192"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In addition, public-private partnerships are increasingly subject to government legislation and regulation attempting to restrict the ability of private sector companies to operate facilities housing certain classifications of individuals, such as individuals from other jurisdictions or individuals at higher security levels. Legislation has been enacted in several states and has previously been proposed in the United States House of Representatives, containing such restrictions.</w:t>
      </w:r>
    </w:p>
    <w:p>
      <w:pPr>
        <w:spacing w:after="0" w:line="180"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Governmental agencies may investigate and audit our contracts and, if any improprieties are found, we may be required to refund amounts we have received, to forego anticipated revenues and we may be subject to penalties and sanctions, including prohibitions on our bidding in response to RFPs from governmental agencies to manage secure facilities. Governmental agencies we contract with have the authority to audit and investigate our contracts with them. As part of that process, governmental agencies may review our performance of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we are found to have engaged in improper or illegal activities, including under the United States False Claims Act, we may be subject to civil and criminal penalties and administrative sanctions, including termination of contracts, forfeitures of profits, suspension 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0" w:name="page41"/>
    <w:bookmarkEnd w:id="40"/>
    <w:p>
      <w:pPr>
        <w:ind w:right="120"/>
        <w:spacing w:after="0" w:line="282" w:lineRule="auto"/>
        <w:rPr>
          <w:sz w:val="20"/>
          <w:szCs w:val="20"/>
          <w:color w:val="auto"/>
        </w:rPr>
      </w:pPr>
      <w:r>
        <w:rPr>
          <w:rFonts w:ascii="Times New Roman" w:cs="Times New Roman" w:eastAsia="Times New Roman" w:hAnsi="Times New Roman"/>
          <w:sz w:val="18"/>
          <w:szCs w:val="18"/>
          <w:color w:val="auto"/>
        </w:rPr>
        <w:t>payments, fines and suspension or disqualification from doing business with certain governmental entities. An adverse determination in an action alleging improper or illegal activities by us could also adversely impact our ability to bid in response to RFPs in one or more jurisdictions.</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to compliance with applicable laws and regulations, our facility management contracts typically have numerous requirements addressing all aspects of our operations which we may not be able to satisfy. For example, our contracts require us to maintain certain levels of coverage for general liability, workers’ compensation, vehicle liability, and property loss or damage. If we do not maintain the required categories and levels of coverage, the contracting governmental agency may be permitted to terminate the contract. In addition, we are required under our contracts to indemnify the contracting governmental agency for all claims and costs arising out of our management of facilities and, in some instances, we are required to maintain performance bonds relating to the construction, development and operation of facilities. Facility management contracts also typically include reporting requirements, supervision and on-site monitoring by representatives of the contracting governmental agencies. Failure to properly adhere to the various terms of our customer contracts could expose us to liability for damages relating to any breaches as well as the loss of such contracts, which could materially adversely impact us.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expose us to various liabilities for which we may not have adequate insurance and may have a material adverse effect on our business, financial condition or results of operations.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nature of our services exposes us to various types of third-party allegations and legal claims, including, but not limited to, civil rights claims relating to conditions of confinement and/or mistreatment, sexual misconduct claims brought by individuals within our care, medical malpractice claims, claims relating to the federal Trafficking and Victims Protection Act, claims relating to our COVID-19 response procedures, breach of fiduciary duty claims, shareholder derivative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detainees, including damages arising from an inmate’s escape or from a disturbance or riot at a facility. In addition, our management contracts generally require us to indemnify the governmental agency against any damages to which the governmental agency may be subject in connection with such claims or litigation.</w:t>
      </w:r>
    </w:p>
    <w:p>
      <w:pPr>
        <w:spacing w:after="0" w:line="21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maintain insurance coverage for these general types of claims, except for claims relating to employment matters, for which we carry no insurance. However, we generally have high deductible payment requirements on our primary insurance policies, including our general liability insurance, and there are also varying limits on the maximum amount of our overall coverage. As a result, the insurance we 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 In addition, any losses relating to employment matters could have a material adverse effect on our business, financial condition or results of operations.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and/or retain our existing contracts.</w:t>
      </w:r>
    </w:p>
    <w:p>
      <w:pPr>
        <w:spacing w:after="0" w:line="19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During the fourth quarter of 2021, we received an unfavorable jury verdict and combined $23.2 million judgments in the retrial of two cases, State of Washington v. GEO Group and Nwauzor et al. v. GEO Group, in U.S. District Court for the Western District of Washington, which judgment amounts were subsequently increased by a further award against the Company of attorney’s fees, costs, and pre-judgment interest in the amount of $14.4 million. On January 16, 2025, the Ninth Circuit Court of Appeals issued an Opinion by a 2-1 vote affirming the lower court’s decision. That Opinion includes a 24-page dissenting opinion. On February 6, 2025, GEO timely filed its Petition for Rehearing En Banc. A final mandate has not been issued by the Ninth Circuit and the appeal remains pending until resolution of the Petition for Rehearing. On February 12, 2025, the United States Department of Justice filed a Motion for 30-day extension of time to file an Amicus Brief supporting GEO’s Petition for Rehearing En Banc.</w:t>
      </w:r>
    </w:p>
    <w:p>
      <w:pPr>
        <w:spacing w:after="0" w:line="18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While we strongly disagree with the verdict and judgments in these two cases and have filed a Petition for Rehearing En Banc, we cannot make any assurances that we will prevail on appeal. At this time, GEO has not recorded an accrual relating to these two cases because a loss, following the appeals process, is not considered probable. If we are required to record an accrual with regard to these cases or other similar cases, that may have a material adverse effect on our business, financial condition or results of operations.</w:t>
      </w:r>
    </w:p>
    <w:p>
      <w:pPr>
        <w:spacing w:after="0" w:line="180"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18"/>
          <w:szCs w:val="18"/>
          <w:color w:val="auto"/>
        </w:rPr>
        <w:t>A New Mexico non-income tax audit completed in 2016 included tax periods for which the state tax authority had previously processed a substantial tax refund. At the completion of the audit fieldwork, we received a notice of audit findings disallowing deductions that were previously claimed by us that was approved by the state tax authority and served as the basis for the approved refund claim. In early January 2017, the Company received a formal Notice of Assessment of Taxes and Demand for Payment from the taxing authority disallowing the deductions. We appealed the administrative ruling. In February 2024, we received notice that the New Mexico Court of Appeals had ruled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1" w:name="page42"/>
    <w:bookmarkEnd w:id="41"/>
    <w:p>
      <w:pPr>
        <w:spacing w:after="0" w:line="254" w:lineRule="auto"/>
        <w:rPr>
          <w:sz w:val="20"/>
          <w:szCs w:val="20"/>
          <w:color w:val="auto"/>
        </w:rPr>
      </w:pPr>
      <w:r>
        <w:rPr>
          <w:rFonts w:ascii="Times New Roman" w:cs="Times New Roman" w:eastAsia="Times New Roman" w:hAnsi="Times New Roman"/>
          <w:sz w:val="18"/>
          <w:szCs w:val="18"/>
          <w:color w:val="auto"/>
        </w:rPr>
        <w:t>against our appeal. We appealed this ruling to the New Mexico Supreme Court by timely filing a Petition for Writ of Certiorari on April 19, 2024. On July 8, 2024, the New Mexico Supreme Court denied our Petition for Writ of Certiorari. We had established an estimated liability (inclusive of both the audit period and the post-audit period) based on our estimate of the most probable loss based on the facts and circumstances known and the advice of outside counsel in connection with this matter. In July 2024, we made a payment of approximately $18.9 million towards the estimated liability related to the assessment for the audited period. Following the submission of an application in September 2024, we were accepted to participate in the State's managed audit program and entered into a Managed Audit Agreement (the "Agreement") with the New Mexico Taxation and Revenue Department for the post-audit period. The Agreement provides for a waiver of penalties and interest and as such, we recorded a favorable adjustment for penalties and interest related to the post-audit period of approximately $6.3 million in the third quarter of 2024. The managed audit is ongoing at this time.</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results of these claims or proceedings, or other litigation matters, cannot be predicted with certainty, and an unfavorable resolution of one or more of these claims or proceedings could have a material adverse effect on the Company's financial condition, results of operations or cash flows. The Company's accruals for loss contingencies are reviewed quarterly and adjusted as additional information becomes available. The Company establishes accruals for specific legal proceedings when it is considered probable that a loss has been incurred and the amount of the loss can be reasonably estimated. The Company does not accrue for anticipated legal fees and costs but expenses those items as incurred.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the insurance levels required by our government contracts.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government contracts require us to obtain 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or prevent us from obtaining or maintaining such insurance altogether. If we are unable to obtain or maintain the required insurance levels, our ability to win new government contracts, renew government contracts that have expired and retain existing government contracts could be significantly impaired, which could have a material adverse effect on our business, financial condition and/or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and anti-corruption laws could subject us to penalties and other adverse consequences.</w:t>
      </w:r>
    </w:p>
    <w:p>
      <w:pPr>
        <w:spacing w:after="0" w:line="229"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As we operate both domestically and abroad, we are subject to the United States Foreign Corrupt Practices Act (“FCPA”), the U.K. Bribery Act, the U.S. domestic bribery statute contained in 18 U.S.C. § 201, and other anti-corruption and anti-bribery laws and regulations in the jurisdictions in which we do business, both domestic and abroad. These laws and regulations generally prohibit improper payments or offers of improper payments to government officials, political parties, or commercial partners for the purpose of obtaining or retaining business or securing an improper business advantage.</w:t>
      </w:r>
    </w:p>
    <w:p>
      <w:pPr>
        <w:spacing w:after="0" w:line="183"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We have operations, deal with and enter into contracts with governmental or quasi-governmental entities in the United States and in non-U.S. countries, including Australia, the U.K. and South Africa, and further expansion of our services abroad may involve additional regions. Corruption issues pose a risk in every country and jurisdiction, but in many countries, particularly in countries with developing economies, it may be more common for businesses to engage in practices that are prohibited by the FCPA or other applicable laws and regulations, and our activities in these countries pose a heightened risk of unauthorized payments or offers of payments by one of our employees or third-party business partners, representatives, and agents that could be in violation of various laws including the FCPA. The FCPA, U.K. Bribery Act and other applicable anti-bribery and anti-corruption laws also may hold us liable for acts of corruption and bribery committed by our third-party business partners, representatives, and agents. We and our third-party business partners, representatives, and agents may have direct or indirect interactions with officials and employees of government agencies or state-owned or affiliated entities and we may be held liable for the corrupt or other illegal activities of our employees or such third parties even if we do not explicitly authorize such activities. The FCPA or other applicable laws and regulations also require that we keep accurate books and records and maintain internal controls and compliance procedures designed to prevent any such actions.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While we have implemented policies and procedures to address compliance with such laws, we cannot ensure that our employees or</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other third parties working on our behalf will not engage in conduct in violation of our policies or applicable law for which we might ultimately be held responsible. Violations of the FCPA, the U.K. Bribery Act, and other laws may result in whistleblower complaints, adverse media coverage, investigations, imposition of significant legal fees, as well as severe criminal or civil sanctions, including suspension or debarment from U.S. government contracting, and we may be subject to other liabilities and adverse effects on our reputation, which could negatively affect our business, results of operations, financial condition, and growth prospects. In addition, responding to any enforcement action may result in a significant diversion of management’s attention and resources and significant defense costs and other professional fees. Our exposure for violating these laws increases as our non-U.S. presence expands and as we increase operations in foreign jurisdictions.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42" w:name="page43"/>
    <w:bookmarkEnd w:id="4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Corporate Social Responsibility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consideration of ESG factors in making investment and voting decisions is relatively new, and frameworks and methods used by investors for assessing ESG policies are not fully developed and vary considerably among the investment community. In October 2024, we issued our sixth Human Rights and ESG report. The publication of our sixth annual Human Rights and ESG report highlights our continued commitment to respecting the human rights and improving the lives of those entrusted to our care. This important report includes enhanced disclosures related to our Board oversight of human rights and ESG matters, employee diversity and training programs, corporate governance, and environmental sustainability, including updated metrics and statistics for the calendar year 2023, in accordance with the new Universal Standards of the Global Reporting Initiative (GRI). Our sixth annual ESG report also reinforces our commitment to providing enhanced rehabilitation and post-release support services through our award-winning GEO Continuum of Care® (CoC) program. Additionally, the Company undertook a Human Rights Risk Assessment and Due Diligence process. This process focused on identifying salient human rights and included interviews with and feedback from a diverse group of internal and external GEO stakeholders. The results of this due diligence process have been incorporated into the sixth annual Human Rights and ESG report. We also publish an annual Political Activity and Lobbying Report providing information on political contributions and our lobbying activities, including disclosure relating to political contributions at the corporate and GEO Political Action Committee level, contributions by recipient category of federal candidates, parties and committees and state/local candidates, parties and committees, amounts paid for lobbying activities and information relating to memberships in trade and membership associations, chambers of commerce and other groups where the annual membership fee is in excess of $25,000.</w:t>
      </w:r>
    </w:p>
    <w:p>
      <w:pPr>
        <w:spacing w:after="0" w:line="19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These policies, practices and reports, whether it be the standards we set for ourselves or ESG criteria established by third parties, whether or not we meet such standards, and the level of disclosure we provide in our reports may influence our reputation. For example, the perception held by our governmental partners, vendors, suppliers, shareholders, other stakeholders, the communities in which we do business or the general public may depend, in part, on the standards we have chosen to aspire to meet, whether or not we meet these standards on a timely basis or at all, whether or not we meet external ESG factors they deem relevant and the level of disclosure we provide relating to human rights, ESG, and our political and lobbying activities. The subjective nature and wide variety of frameworks and methods used by various stakeholders, including investors, to assess a company with respect to ESG criteria can result in the application or perception of negative ESG factors or a misrepresentation of our ESG policies and practices. Our failure to achieve progress on our human rights and ESG policies and practices on a timely basis, or at all, meet human rights or ESG criteria set by third parties, or provide the disclosure relating to human rights, ESG, political and lobbying activities which any third parties may believe is necessary or appropriate could adversely affect our business, financial condition and/or results of operations.</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By electing to publicly share our Human Rights and ESG report and our Political Activity and Lobbying Report, our business may face increased scrutiny related to our human rights and ESG activities and our political contributions and lobbying activities. As a result, our reputation could be adversely impacted if we fail to act responsibly in the areas in which we report, such as human rights, the development of our workforce, safety and security, addressing recidivism, engaging with our stakeholders, ethics and governance, oversight and contract compliance, energy and environmental sustainability, financial management and performance and political contributions and lobbying activities. Any harm to our reputation resulting from setting these standards or our failure or perceived failure to meet such standards or resulting from the reporting of our political contributions and lobbying activities could impact: the willingness of our governmental partners, vendors and suppliers to do business with us or the quality of our relationships with our governmental partners, vendors and suppliers; our ability to access capital in the debt or equity markets; our investors willingness or ability to purchase or hold our securities; and employee retention and the quality of relations with our employees, any of which could adversely affect our business, financial condition and/or results of operations.</w:t>
      </w:r>
    </w:p>
    <w:p>
      <w:pPr>
        <w:spacing w:after="0" w:line="194"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Certain states have proposed legislation to direct or prevent pension investments and financial institutions from basing their investment decisions on ESG standards and ratings. To the extent that we are performing favorably measured against a pension investment's or financial institution's ESG standards and ratings, the enactment of such legislation could have an adverse effect on us and impact an investor's ability to purchase or hold our securities.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vary substantially.</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vary substantially. Factors that could affect the market price of our common stock include the following: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32"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actual or anticipated variations in our quarterly results of operations;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market valuations of companies in our industry;</w:t>
      </w:r>
    </w:p>
    <w:p>
      <w:pPr>
        <w:spacing w:after="0" w:line="117" w:lineRule="exact"/>
        <w:rPr>
          <w:rFonts w:ascii="Times New Roman" w:cs="Times New Roman" w:eastAsia="Times New Roman" w:hAnsi="Times New Roman"/>
          <w:sz w:val="14"/>
          <w:szCs w:val="14"/>
          <w:color w:val="auto"/>
        </w:rPr>
      </w:pPr>
    </w:p>
    <w:p>
      <w:pPr>
        <w:ind w:left="1140" w:right="560" w:hanging="383"/>
        <w:spacing w:after="0" w:line="282" w:lineRule="auto"/>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announcements by us or our competitors of changes to capital allocation strategy, acquisitions, dispositions, investments or strategic alliances;</w:t>
      </w:r>
    </w:p>
    <w:p>
      <w:pPr>
        <w:spacing w:after="0" w:line="53"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fluctuations in stock market prices and volumes;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issuances of common stock or other securities convertible into common stock in the future;</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addition or departure of key personnel; and</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the prospects of public-private partnerships.</w:t>
      </w:r>
    </w:p>
    <w:p>
      <w:pPr>
        <w:spacing w:after="0" w:line="329" w:lineRule="exact"/>
        <w:rPr>
          <w:sz w:val="20"/>
          <w:szCs w:val="20"/>
          <w:color w:val="auto"/>
        </w:rPr>
      </w:pPr>
    </w:p>
    <w:p>
      <w:pPr>
        <w:ind w:right="40" w:firstLine="9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Expectations about growth in the utilization of detention beds by the federal government may not be realized, which could negatively impact our stock price.</w:t>
      </w:r>
    </w:p>
    <w:p>
      <w:pPr>
        <w:spacing w:after="0" w:line="1"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We currently expect demand from the federal government for our correctional and detention facilities to increase under the new presidential administration, particularly from ICE, as a result of anticipated changes in immigration policy and funding levels of our federal government partners charged with correctional and detention responsibilities. This anticipated increase in demand could result in higher utilization of our available capacity under existing contracts, as well as through new contracts utilizing our idle correctional and detention facilities or our other existing capacity. However, we can provide no assurance that the federal government will increase the utilization of our available capacity. Further, the activation of our idle correctional and detention facilities generally requires four to six months to hire, train, and prepare our facilities to accept residential populations, which could result in substantial expenses before we are able to realize additional revenue. If the demand from the federal government for our correctional and detention facilities is not realized or does not increase to levels generally expected in the marketplace, our stock price could decline.</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shares of our common stock could adversely affect the market price of our common stock and may be dilutive to current shareholders.</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Sales or issuances of shares of our common stock, or the perception that such sales or issuances could occur, could adversely affect the price for our common stock. As of December 31, 2024, there were 225,000,000 shares of common stock authorized under our Articles of Incorporation, of which 140,181,318 shares were outstanding. Our Board of Directors may authorize the issuance of additional authorized but unissued shares of our common stock or other authorized but unissued securities of ours at any time, including pursuant to our equity incentive plan and our employee stock purchase plan.</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October 30, 2023, the Company filed an automatic shelf registration statement on Form S-3ASR with the SEC that enables the Company to offer for sale, from time to time and as the capital markets permit, an unspecified amount of common stock, preferred stock, debt securities, guarantees of debt securities, warrants and units. Each time the Company offers to sell securities under the registration statement, the Company will provide a prospectus supplement that will contain specific information about the terms of that offering and the securities being offered. The shelf registration statement became automatically effective upon filing and is valid for three years.</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are not restricted from issuing additional shares of our common stock or other instruments exchangeable or convertible into our common stock. We cannot predict the size of future issuances or the effect, if any, that they may have on the market price for our common stock. If we issue more of our common stock or additional instruments exchangeable or convertible into or exercisable for our common stock, it may materially and adversely affect the price of our common stock. An offering or issuance of shares of our common stock may have a dilutive effect on our earnings per share and funds from operations per share after giving effect to the issuance of such shares of common stock and the receipt of the expected net proceeds. The actual amount of dilution from any offering of our equity securities cannot be determined at this time. The market price of our common stock or other such instruments could decline as a result of sales of a large number of shares of our common stock in the market pursuant to an offering, or otherwise, or as a result of the perception or expectation that such sales or issuances could occur.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anti-takeover protections applicable to us may make an acquisition of us more difficult and reduce the market value of our common stock.</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are a Florida corporation and the anti-takeover provisions of Florida law impose various impediments to the ability of a third party to acquire control of our company, even if a change of control would be beneficial to our shareholders. In addition, provisions of our articles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ind w:right="100"/>
        <w:spacing w:after="0" w:line="258" w:lineRule="auto"/>
        <w:rPr>
          <w:sz w:val="20"/>
          <w:szCs w:val="20"/>
          <w:color w:val="auto"/>
        </w:rPr>
      </w:pPr>
      <w:r>
        <w:rPr>
          <w:rFonts w:ascii="Times New Roman" w:cs="Times New Roman" w:eastAsia="Times New Roman" w:hAnsi="Times New Roman"/>
          <w:sz w:val="18"/>
          <w:szCs w:val="18"/>
          <w:color w:val="auto"/>
        </w:rPr>
        <w:t>incorporation may make an acquisition of our company more difficult. Our articles of incorporation authorize the issuance by our Board of Directors of “blank check” preferred stock without shareholder approval. Such shares of preferred stock could be given voting rights, dividend rights, liquidation rights or other similar rights superior to those of our common stock, making a takeover of our company more difficult and expensive. In addition to discouraging takeovers, the anti-takeover provisions of Florida law and our articles of incorporation may have the impact of reducing the market value of our common stock.</w:t>
      </w:r>
    </w:p>
    <w:p>
      <w:pPr>
        <w:spacing w:after="0" w:line="24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in accordance with Section 404 of the Sarbanes-Oxley Act of 2002 could have an adverse effect on our business and the trading price of our common stock.</w:t>
      </w:r>
    </w:p>
    <w:p>
      <w:pPr>
        <w:spacing w:after="0" w:line="15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If we fail to maintain the adequacy of our internal controls, in accordance with the requirements of Section 404 of the Sarbanes-Oxley Act of 2002, as such standards are modified, supplemented or amended from time to time, our exposure to fraud and errors in accounting and financial reporting could materially increase. Also, inadequate internal controls would likely prevent us from concluding on an ongoing basis that we have effective internal control over financial reporting in accordance with Section 404 of the Sarbanes-Oxley Act of 2002. Such failure to achieve and maintain effective internal controls could adversely impact our business and the price of our common stock.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debt securities that could limit our operating flexibility and negatively affect the value of our common stock.</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the future, we may issue additional debt securities which may be governed by an indenture or other instrument containing covenants that could place restrictions on the operation of our business and the execution of our business strategy in addition to the restrictions on our business already contained in the agreements governing our existing debt. In addition, we may choose to issue additional debt that is convertible or exchangeable for other securities, including our common stock, or that has rights, preferences and privileges senior to our common stock. Because any decision to issue debt securities will depend on market conditions and other factors beyond our control, we cannot predict or estimate the amount, timing or nature of any future debt financings and we may be required to accept unfavorable terms for any such financings. Accordingly, any future issuance of debt could dilute the interest of holders of our common stock and reduce the value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could be negatively affected as a result of the actions of activist or hostile shareholders.</w:t>
      </w:r>
    </w:p>
    <w:p>
      <w:pPr>
        <w:spacing w:after="0" w:line="121" w:lineRule="exact"/>
        <w:rPr>
          <w:sz w:val="20"/>
          <w:szCs w:val="20"/>
          <w:color w:val="auto"/>
        </w:rPr>
      </w:pPr>
    </w:p>
    <w:p>
      <w:pPr>
        <w:ind w:right="100" w:firstLine="630"/>
        <w:spacing w:after="0" w:line="255" w:lineRule="auto"/>
        <w:rPr>
          <w:sz w:val="20"/>
          <w:szCs w:val="20"/>
          <w:color w:val="auto"/>
        </w:rPr>
      </w:pPr>
      <w:r>
        <w:rPr>
          <w:rFonts w:ascii="Times New Roman" w:cs="Times New Roman" w:eastAsia="Times New Roman" w:hAnsi="Times New Roman"/>
          <w:sz w:val="18"/>
          <w:szCs w:val="18"/>
          <w:color w:val="auto"/>
        </w:rPr>
        <w:t>Shareholder activism, which could take many forms and arise in a variety of situations, has experienced an increase in prior years among publicly traded companies. Shareholder activism, including potential proxy contests, requires significant time and attention by management and the Board of Directors, potentially hindering the Company’s ability to execute its strategic plan and negatively affecting the trading value of our common stock. Additionally, shareholder activism could give rise to perceived uncertainties as to the Company’s future direction, adversely affect its relationships with key executives, customers and other business partners, or make it more difficult to attract and retain qualified personnel. Also, the Company may in the future be required to incur significant legal fees and other expenses related to activist shareholder matters. Any of these impacts could materially and adversely affect the Company and operating results.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 squeeze” due to a sudden increase in demand for shares of our common stock that largely exceeds supply has led to, and may continue to lead to, extreme price volatility in shares of our common stock.</w:t>
      </w:r>
    </w:p>
    <w:p>
      <w:pPr>
        <w:spacing w:after="0" w:line="51" w:lineRule="exact"/>
        <w:rPr>
          <w:sz w:val="20"/>
          <w:szCs w:val="20"/>
          <w:color w:val="auto"/>
        </w:rPr>
      </w:pPr>
    </w:p>
    <w:p>
      <w:pPr>
        <w:ind w:right="40" w:firstLine="540"/>
        <w:spacing w:after="0" w:line="253" w:lineRule="auto"/>
        <w:rPr>
          <w:sz w:val="20"/>
          <w:szCs w:val="20"/>
          <w:color w:val="auto"/>
        </w:rPr>
      </w:pPr>
      <w:r>
        <w:rPr>
          <w:rFonts w:ascii="Times New Roman" w:cs="Times New Roman" w:eastAsia="Times New Roman" w:hAnsi="Times New Roman"/>
          <w:sz w:val="18"/>
          <w:szCs w:val="18"/>
          <w:color w:val="auto"/>
        </w:rPr>
        <w:t>Investors may purchase shares of our common stock to hedge existing exposure or to speculate on the price of our common stock. Speculation on the price of our common stock may involve long and short exposures. To the extent aggregate short exposure exceeds the number of shares of our common stock available for purchase on the open market, investors with short exposure may have to pay a premium to repurchase shares of our common stock for delivery to lenders of our common stock. Those repurchases may in turn, dramatically increase the price of shares of our common stock until additional shares of our common stock are available for trading or borrowing. This is often referred to as a “short squeeze.” A large proportion of our common stock has been in the past and may continue to be traded by short sellers which may increase the likelihood that our common stock will be the target of a short squeeze. A short squeeze has led and could continue to lead to volatile price movements in shares of our common stock that are unrelated or disproportionate to our operating performance or prospects and, once investors purchase the shares of our common stock necessary to cover their short positions, the price of our common stock may rapidly decline. Investors that purchase shares of our common stock during a short squeeze may lose a significant portion of their investment.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5" w:name="page46"/>
    <w:bookmarkEnd w:id="45"/>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56" w:lineRule="exact"/>
        <w:rPr>
          <w:sz w:val="20"/>
          <w:szCs w:val="20"/>
          <w:color w:val="auto"/>
        </w:rPr>
      </w:pPr>
    </w:p>
    <w:p>
      <w:pPr>
        <w:jc w:val="both"/>
        <w:ind w:right="300" w:firstLine="450"/>
        <w:spacing w:after="0" w:line="261" w:lineRule="auto"/>
        <w:rPr>
          <w:sz w:val="20"/>
          <w:szCs w:val="20"/>
          <w:color w:val="auto"/>
        </w:rPr>
      </w:pPr>
      <w:r>
        <w:rPr>
          <w:rFonts w:ascii="Times New Roman" w:cs="Times New Roman" w:eastAsia="Times New Roman" w:hAnsi="Times New Roman"/>
          <w:sz w:val="18"/>
          <w:szCs w:val="18"/>
          <w:color w:val="auto"/>
        </w:rPr>
        <w:t>As a government contractor, GEO routinely processes, stores, and transmits large amounts of “Personally Identifiable Information”. As such, we understand the criticalness of having a robust cybersecurity program that protects company assets as well as our clients’ data. Our customers, suppliers, service providers, subcontractors, and joint venture partners face similar cybersecurity threats, and a cybersecurity incident impacting us or any of these entities could materially adversely affect our operations, performance, and results of operations.</w:t>
      </w:r>
    </w:p>
    <w:p>
      <w:pPr>
        <w:spacing w:after="0" w:line="180"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8"/>
          <w:szCs w:val="18"/>
          <w:color w:val="auto"/>
        </w:rPr>
        <w:t>The Board, through its Cybersecurity and Environmental Oversight Committee, oversees management’s processes for identifying and mitigating risks, including cybersecurity risks, to help align our risk exposure with our strategic objectives. Senior leadership, including our Chief Information Security Officer (CISO), quarterly or as needed briefs the Board of Directors on our cybersecurity and information security posture, and the Board of Directors is apprised of cybersecurity incidents deemed to have a moderate or higher business impact, even if immaterial to us.</w:t>
      </w:r>
    </w:p>
    <w:p>
      <w:pPr>
        <w:spacing w:after="0" w:line="180" w:lineRule="exact"/>
        <w:rPr>
          <w:sz w:val="20"/>
          <w:szCs w:val="20"/>
          <w:color w:val="auto"/>
        </w:rPr>
      </w:pPr>
    </w:p>
    <w:p>
      <w:pPr>
        <w:jc w:val="both"/>
        <w:ind w:firstLine="549"/>
        <w:spacing w:after="0" w:line="254" w:lineRule="auto"/>
        <w:rPr>
          <w:sz w:val="20"/>
          <w:szCs w:val="20"/>
          <w:color w:val="auto"/>
        </w:rPr>
      </w:pPr>
      <w:r>
        <w:rPr>
          <w:rFonts w:ascii="Times New Roman" w:cs="Times New Roman" w:eastAsia="Times New Roman" w:hAnsi="Times New Roman"/>
          <w:sz w:val="18"/>
          <w:szCs w:val="18"/>
          <w:color w:val="auto"/>
        </w:rPr>
        <w:t>Our corporate information security organization, led by our CISO, is responsible for our overall information security strategy, policy, security engineering, operations and cyber threat detection and response. Our current CISO has extensive information technology and program management experience and has served many years in our corporate information security organization. In addition, our CISO has a certificate in Cybersecurity Oversight from the Carnegie Mellon University Software Engineering Institute. The corporate information security organization oversees, manages, and continually enhances a robust enterprise security structure with the goal of preventing cybersecurity incidents to the extent feasible, while simultaneously increasing our system resilience to minimize the business impact should an incident occur. Employees outside of our corporate information security organization also have a role in our cybersecurity defenses and they are immersed in a corporate culture that supports information security, which we believe improves our cybersecurity.</w:t>
      </w:r>
    </w:p>
    <w:p>
      <w:pPr>
        <w:spacing w:after="0" w:line="19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corporate information security organization has implemented a governance structure and processes to assess, identify, manage, and report cybersecurity risks. The underlying controls of the cyber risk management program are based on recognized best practices and standards for cybersecurity and information technology, including the National Institute of Standards and Technology (“NIST”) Cybersecurity Framework (“CSF”) and the Center for Internet Security controls. In addition, GEO has robust policies and procedures related to cybersecurity and general IT practices that include but are not limited to encryption standards, antivirus protection, remote access, multifactor authentication, confidential information and the use of the internet, social media, email, and wireless devices. These policies go through an internal review process and are approved by appropriate members of management.</w:t>
      </w:r>
    </w:p>
    <w:p>
      <w:pPr>
        <w:spacing w:after="0" w:line="187"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Assessing, identifying, and managing cybersecurity related risks are integrated into our overall enterprise risk management (ERM) process. These initiatives are supported by a Managed Security Service Provider ("MSSP") that provides continuous intelligence and threat assessments, including such risks from cybersecurity threats associated with our use of any third-party service provider. Also, as part of the program, GEO engages third party cybersecurity organizations to perform bi-annual assessments of the environment. Identified cybersecurity related risks are included in the risk universe that the ERM function evaluates to assess top risks to the enterprise on an annual basis. To the extent the ERM process identifies a heightened cybersecurity related risk, risk owners are assigned to develop risk mitigation plans, which are then tracked to completion. The ERM process’s annual risk assessment is presented to the Board.</w:t>
      </w:r>
    </w:p>
    <w:p>
      <w:pPr>
        <w:spacing w:after="0" w:line="189" w:lineRule="exact"/>
        <w:rPr>
          <w:sz w:val="20"/>
          <w:szCs w:val="20"/>
          <w:color w:val="auto"/>
        </w:rPr>
      </w:pPr>
    </w:p>
    <w:p>
      <w:pPr>
        <w:jc w:val="both"/>
        <w:ind w:firstLine="554"/>
        <w:spacing w:after="0" w:line="258" w:lineRule="auto"/>
        <w:rPr>
          <w:sz w:val="20"/>
          <w:szCs w:val="20"/>
          <w:color w:val="auto"/>
        </w:rPr>
      </w:pPr>
      <w:r>
        <w:rPr>
          <w:rFonts w:ascii="Times New Roman" w:cs="Times New Roman" w:eastAsia="Times New Roman" w:hAnsi="Times New Roman"/>
          <w:sz w:val="18"/>
          <w:szCs w:val="18"/>
          <w:color w:val="auto"/>
        </w:rPr>
        <w:t>Notwithstanding the extensive approach we take to prevent cybersecurity breaches, we may not be successful in preventing or mitigating a cybersecurity incident that could have a material adverse financial impact to our business. While GEO maintains cybersecurity insurance, the costs related to cybersecurity threats or disruptions may not be fully insured. See Item 1A. “Risk Factors” for a discussion of cybersecurity risks. There have been no risks from cybersecurity threats, including as a result of any previous cybersecurity incidents, that have materially affected or are reasonably likely to materially affect GEO, including its business strategy, results of operations, or financial condition.</w:t>
      </w:r>
    </w:p>
    <w:p>
      <w:pPr>
        <w:spacing w:after="0" w:line="200" w:lineRule="exact"/>
        <w:rPr>
          <w:sz w:val="20"/>
          <w:szCs w:val="20"/>
          <w:color w:val="auto"/>
        </w:rPr>
      </w:pPr>
    </w:p>
    <w:p>
      <w:pPr>
        <w:spacing w:after="0" w:line="2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owns and leases its corporate offices, which are both located in Boca Raton, Florida. The Company purchased land in Boca Raton, Florida to construct a new corporate office building which was completed in the first quarter of 2019. The Company's lease on its additional corporate office space expires in December 2028 and has two 5-year renewal options which if exercised will result in a maximum term ending in December 2038. In addition, we lease office space for our eastern regional office in Charlotte, North Carolina; our central regional office in San Antonio, Texas; and our western regional office in Los Angeles, California. As a result of the BI acquisition in February 2011 and the Protocol acquisition in February 2014, we are also currently leasing office space in Boulder, Colorado and Aurora, Illinois, respectively. We also lease office space in Sydney and Melbourne, Australia, and in Sandton, South Africa, through our overseas affiliates to support our Australian, and South African operations, respectively. We consider our office space adequate for our current operations.</w:t>
      </w:r>
    </w:p>
    <w:p>
      <w:pPr>
        <w:spacing w:after="0" w:line="192"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See the Facilities and Day Reporting Centers listed under Item 1 for a list of the correctional, detention and reentry properties we own or lease in connection with our operations and specifically our U.S. Secure Services segment, our Reentry Services segment and our International Services segment.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6" w:name="page47"/>
    <w:bookmarkEnd w:id="46"/>
    <w:p>
      <w:pPr>
        <w:spacing w:after="0" w:line="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and Derivative Litigation</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 July 7, 2020, a putative shareholder class action lawsuit was filed against the Company and its current and former officers George C. Zoley and Brian R. Evans in the U.S. District Court for the Southern District of Florida. The parties resolved this matter following mediation for a payment to a settlement class of $3 million paid by the Company's insurance carrier. On November 17, 2023, the court entered a Final Judgment and Order of Dismissal with Prejudice approving the settlement.</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After the putative shareholder class action lawsuit was filed, three related putative shareholder derivative actions were also filed. These cases generally alleged breaches of fiduciary duties premised on alleged materially false and misleading statements and/or omissions related to pending litigation, as alleged in the shareholder class action. First, on July 1, 2021, a putative shareholder derivative complaint was filed by Anning Fang, a purported stockholder, in Palm Beach County, Florida Circuit Court against the Company, as well as current and former Company directors and officers George C. Zoley, Jose Gordo, Brian R. Evans, Ann M. Schlarb, Richard H. Glanton, Anne N. Foreman, Christopher C. Wheeler, Julie M. Wood, Guido van Hauwermeiren, Scott M. Kernan, and Duane Helkowski (collectively, the “State-Court Defendants”). Second, on November 12, 2021, a putative shareholder derivative complaint was filed by Rui Zhang, a purported stockholder, in the U.S. District Court for the Southern District of Florida against the Company, the State-Court Defendants, as well as then current and former Company officers David Venturella and J. David Donahue (collectively, the “Derivative Defendants”). Third, on August 24, 2022, a putative stockholder derivative complaint was filed by Gerardo Maldonado Jr., a purported stockholder, in the U.S. District Court for the Southern District of Florida against the Company and the Derivative Defendants.</w:t>
      </w:r>
    </w:p>
    <w:p>
      <w:pPr>
        <w:spacing w:after="0" w:line="192"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state-court </w:t>
      </w:r>
      <w:r>
        <w:rPr>
          <w:rFonts w:ascii="Times New Roman" w:cs="Times New Roman" w:eastAsia="Times New Roman" w:hAnsi="Times New Roman"/>
          <w:sz w:val="18"/>
          <w:szCs w:val="18"/>
          <w:i w:val="1"/>
          <w:iCs w:val="1"/>
          <w:color w:val="auto"/>
        </w:rPr>
        <w:t>Fang</w:t>
      </w:r>
      <w:r>
        <w:rPr>
          <w:rFonts w:ascii="Times New Roman" w:cs="Times New Roman" w:eastAsia="Times New Roman" w:hAnsi="Times New Roman"/>
          <w:sz w:val="18"/>
          <w:szCs w:val="18"/>
          <w:color w:val="auto"/>
        </w:rPr>
        <w:t xml:space="preserve"> complaint alleged breach of fiduciary duty and unjust enrichment claims against the State-Court Defendants relating to purported healthcare and quality of care deficiencies, an allegedly inadequate response to the COVID-19 pandemic, alleged forced labor by detainees, and alleged exposure to pending litigation, which purportedly led to damage to GEO. The </w:t>
      </w:r>
      <w:r>
        <w:rPr>
          <w:rFonts w:ascii="Times New Roman" w:cs="Times New Roman" w:eastAsia="Times New Roman" w:hAnsi="Times New Roman"/>
          <w:sz w:val="18"/>
          <w:szCs w:val="18"/>
          <w:i w:val="1"/>
          <w:iCs w:val="1"/>
          <w:color w:val="auto"/>
        </w:rPr>
        <w:t>Zhang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Maldonado</w:t>
      </w:r>
      <w:r>
        <w:rPr>
          <w:rFonts w:ascii="Times New Roman" w:cs="Times New Roman" w:eastAsia="Times New Roman" w:hAnsi="Times New Roman"/>
          <w:sz w:val="18"/>
          <w:szCs w:val="18"/>
          <w:color w:val="auto"/>
        </w:rPr>
        <w:t xml:space="preserve"> federal-court complaints make similar allegations of breach of fiduciary duty as to the Derivative Defendants, asserted claims for unjust enrichment and waste of corporate assets, and also alleged that the Derivative Defendants violated Section 10(b) of the Exchange Act, and Rule 10b-5 promulgated thereunder and that Mr. Zoley contributed to alleged violations of Sections 10(b) and 21D of the Exchange Act.</w:t>
      </w:r>
    </w:p>
    <w:p>
      <w:pPr>
        <w:spacing w:after="0" w:line="182"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Following mediation, the </w:t>
      </w:r>
      <w:r>
        <w:rPr>
          <w:rFonts w:ascii="Times New Roman" w:cs="Times New Roman" w:eastAsia="Times New Roman" w:hAnsi="Times New Roman"/>
          <w:sz w:val="18"/>
          <w:szCs w:val="18"/>
          <w:i w:val="1"/>
          <w:iCs w:val="1"/>
          <w:color w:val="auto"/>
        </w:rPr>
        <w:t>Zhang</w:t>
      </w:r>
      <w:r>
        <w:rPr>
          <w:rFonts w:ascii="Times New Roman" w:cs="Times New Roman" w:eastAsia="Times New Roman" w:hAnsi="Times New Roman"/>
          <w:sz w:val="18"/>
          <w:szCs w:val="18"/>
          <w:color w:val="auto"/>
        </w:rPr>
        <w:t xml:space="preserve"> parties reached an agreement to resolve all derivative claims with the Company agreeing to adopt certain corporate governance policies. On September 6, 2024, the </w:t>
      </w:r>
      <w:r>
        <w:rPr>
          <w:rFonts w:ascii="Times New Roman" w:cs="Times New Roman" w:eastAsia="Times New Roman" w:hAnsi="Times New Roman"/>
          <w:sz w:val="18"/>
          <w:szCs w:val="18"/>
          <w:i w:val="1"/>
          <w:iCs w:val="1"/>
          <w:color w:val="auto"/>
        </w:rPr>
        <w:t>Zhang</w:t>
      </w:r>
      <w:r>
        <w:rPr>
          <w:rFonts w:ascii="Times New Roman" w:cs="Times New Roman" w:eastAsia="Times New Roman" w:hAnsi="Times New Roman"/>
          <w:sz w:val="18"/>
          <w:szCs w:val="18"/>
          <w:color w:val="auto"/>
        </w:rPr>
        <w:t xml:space="preserve"> court entered an Order Approving Final Settlement and Final Judgment. The approval of the settlement by the Zhang court released all of the claims asserted in the Fang and Maldonado complaints as well. Thus, the Fang parties and the Maldonado parties agreed to dismissals with prejudice of those respective derivative actions. On November 7, 2024, following a Joint Stipulation of Dismissal with Prejudice, the </w:t>
      </w:r>
      <w:r>
        <w:rPr>
          <w:rFonts w:ascii="Times New Roman" w:cs="Times New Roman" w:eastAsia="Times New Roman" w:hAnsi="Times New Roman"/>
          <w:sz w:val="18"/>
          <w:szCs w:val="18"/>
          <w:i w:val="1"/>
          <w:iCs w:val="1"/>
          <w:color w:val="auto"/>
        </w:rPr>
        <w:t>Fang</w:t>
      </w:r>
      <w:r>
        <w:rPr>
          <w:rFonts w:ascii="Times New Roman" w:cs="Times New Roman" w:eastAsia="Times New Roman" w:hAnsi="Times New Roman"/>
          <w:sz w:val="18"/>
          <w:szCs w:val="18"/>
          <w:color w:val="auto"/>
        </w:rPr>
        <w:t xml:space="preserve"> court entered a Final Order of Dismissal with Prejudice. Similarly, on November 21, 2024, following a Stipulation and Proposed Order Voluntarily Dismissing Action, the </w:t>
      </w:r>
      <w:r>
        <w:rPr>
          <w:rFonts w:ascii="Times New Roman" w:cs="Times New Roman" w:eastAsia="Times New Roman" w:hAnsi="Times New Roman"/>
          <w:sz w:val="18"/>
          <w:szCs w:val="18"/>
          <w:i w:val="1"/>
          <w:iCs w:val="1"/>
          <w:color w:val="auto"/>
        </w:rPr>
        <w:t>Maldonado</w:t>
      </w:r>
      <w:r>
        <w:rPr>
          <w:rFonts w:ascii="Times New Roman" w:cs="Times New Roman" w:eastAsia="Times New Roman" w:hAnsi="Times New Roman"/>
          <w:sz w:val="18"/>
          <w:szCs w:val="18"/>
          <w:color w:val="auto"/>
        </w:rPr>
        <w:t xml:space="preserve"> court entered an Order Closing Case and Dismissing with Prejudice.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Immigration Detainee Litigation</w:t>
      </w:r>
    </w:p>
    <w:p>
      <w:pPr>
        <w:spacing w:after="0" w:line="229"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 Oral argument before the Tenth Circuit was held on September 18, 2023. On October 22, 2024, the Tenth Circuit Court of Appeals issued an Order finding appellate review of GEO’s claim of immunity was premature and, therefore, the Tenth Circuit Court of Appeals was currently without jurisdiction to consider the merits of GEO’s claimed immunity. On January 13, 2025, GEO filed a Petition for Writ of Certiorari with the United States Supreme Court seeking review of the Tenth Circuit Court of Appeals’ decision. All trial dates remain stayed.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ind w:firstLine="749"/>
        <w:spacing w:after="0" w:line="251" w:lineRule="auto"/>
        <w:rPr>
          <w:sz w:val="20"/>
          <w:szCs w:val="20"/>
          <w:color w:val="auto"/>
        </w:rPr>
      </w:pPr>
      <w:r>
        <w:rPr>
          <w:rFonts w:ascii="Times New Roman" w:cs="Times New Roman" w:eastAsia="Times New Roman" w:hAnsi="Times New Roman"/>
          <w:sz w:val="18"/>
          <w:szCs w:val="18"/>
          <w:color w:val="auto"/>
        </w:rPr>
        <w:t>The first of two State of Washington lawsuits, Nwauzor et al.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persons in the custody of federal immigration authorities while the federal government is determining their immigration status. In October 2021, an unfavorable jury verdict and court judgment resulting in a combined $23.2 mil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persons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January 16, 2025, the Ninth Circuit Court of Appeals issued an Opinion by a 2-1 vote affirming the lower court’s decision. That Opinion includes a 24-page dissenting opinion. On February 6, 2025, GEO timely filed its Petition for Rehearing En Banc. A final mandate has not been issued by the Ninth Circuit and the appeal remains pending until resolution of the Petition for Rehearing. On February 12, 2025, the United States Department of Justice filed a Motion for 30-day extension of time to file an Amicus Brief supporting GEO’s Petition for Rehearing En Banc.</w:t>
      </w:r>
    </w:p>
    <w:p>
      <w:pPr>
        <w:spacing w:after="0" w:line="200" w:lineRule="exact"/>
        <w:rPr>
          <w:sz w:val="20"/>
          <w:szCs w:val="20"/>
          <w:color w:val="auto"/>
        </w:rPr>
      </w:pPr>
    </w:p>
    <w:p>
      <w:pPr>
        <w:spacing w:after="0" w:line="21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w:t>
      </w:r>
    </w:p>
    <w:p>
      <w:pPr>
        <w:spacing w:after="0" w:line="183"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17"/>
          <w:szCs w:val="17"/>
          <w:color w:val="auto"/>
        </w:rPr>
        <w:t>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State of Washington lawsuits and a motion to dismiss the action in its entirety. On July 10, 2023, the court entered a stay until the Ninth Circuit rules on the State of Washington lawsuits. On February 10, 2025, the Court denied plaintiffs’ request to lift the stay until the Ninth Circuit rules on GEO’s Petition for Rehearing En Banc.</w:t>
      </w:r>
    </w:p>
    <w:p>
      <w:pPr>
        <w:spacing w:after="0" w:line="18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at this time as losses are not considered probable.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Challenges to State Legislation that Conflict with Federal Contracts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8" w:name="page49"/>
    <w:bookmarkEnd w:id="48"/>
    <w:p>
      <w:pPr>
        <w:ind w:firstLine="749"/>
        <w:spacing w:after="0" w:line="254" w:lineRule="auto"/>
        <w:rPr>
          <w:sz w:val="20"/>
          <w:szCs w:val="20"/>
          <w:color w:val="auto"/>
        </w:rPr>
      </w:pPr>
      <w:r>
        <w:rPr>
          <w:rFonts w:ascii="Times New Roman" w:cs="Times New Roman" w:eastAsia="Times New Roman" w:hAnsi="Times New Roman"/>
          <w:sz w:val="18"/>
          <w:szCs w:val="18"/>
          <w:color w:val="auto"/>
        </w:rPr>
        <w:t>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w:t>
      </w:r>
    </w:p>
    <w:p>
      <w:pPr>
        <w:spacing w:after="0" w:line="200" w:lineRule="exact"/>
        <w:rPr>
          <w:sz w:val="20"/>
          <w:szCs w:val="20"/>
          <w:color w:val="auto"/>
        </w:rPr>
      </w:pPr>
    </w:p>
    <w:p>
      <w:pPr>
        <w:spacing w:after="0" w:line="22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is scheduled to hear arguments on GEO’s motion for declaratory and injunctive relief and the defendants’ motion to dismiss on March 3,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Litigation</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Assessment</w:t>
      </w:r>
    </w:p>
    <w:p>
      <w:pPr>
        <w:spacing w:after="0" w:line="229" w:lineRule="exact"/>
        <w:rPr>
          <w:sz w:val="20"/>
          <w:szCs w:val="20"/>
          <w:color w:val="auto"/>
        </w:rPr>
      </w:pPr>
    </w:p>
    <w:p>
      <w:pPr>
        <w:ind w:right="140" w:firstLine="749"/>
        <w:spacing w:after="0" w:line="252" w:lineRule="auto"/>
        <w:rPr>
          <w:sz w:val="20"/>
          <w:szCs w:val="20"/>
          <w:color w:val="auto"/>
        </w:rPr>
      </w:pPr>
      <w:r>
        <w:rPr>
          <w:rFonts w:ascii="Times New Roman" w:cs="Times New Roman" w:eastAsia="Times New Roman" w:hAnsi="Times New Roman"/>
          <w:sz w:val="18"/>
          <w:szCs w:val="18"/>
          <w:color w:val="auto"/>
        </w:rPr>
        <w:t>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was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is ongoing at this time.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Accruals for Legal Proceedings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w:t>
      </w:r>
    </w:p>
    <w:p>
      <w:pPr>
        <w:spacing w:after="0" w:line="200" w:lineRule="exact"/>
        <w:rPr>
          <w:sz w:val="20"/>
          <w:szCs w:val="20"/>
          <w:color w:val="auto"/>
        </w:rPr>
      </w:pPr>
    </w:p>
    <w:p>
      <w:pPr>
        <w:spacing w:after="0" w:line="2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1" w:right="41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trades on the New York Stock Exchange under the symbol “GEO.” As of February 24, 2025, we had 510 shareholders of record. Shareholders of record does not include shareholders who own shares held in "street name."</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terminating GEO's REIT status in 2021, the Board also voted unanimously to discontinue our quarterly dividend payments and prioritize allocating GEO's free cash flow to reduce debt. While we do not currently anticipate paying cash dividends, once we achieve our stated debt and leverage reduction goals, we expect to explore options to return capital to our shareholders, which may include the payment of dividends. Any future determination to pay dividends will be made at the discretion of our Board, subject to applicable laws and will depend upon, among other factors, our results of operations, financial condition, contractual restrictions and capital requirements.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performance graph compares the performance of our common stock to the Russell 2000, the S&amp;P 500 Commercial Services and Supplies Index, and the MSCI U.S. REIT Index and is provided in accordance with Item 201(e) of Regulation S-K.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GEO Group, Inc., Russell 2000,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S&amp;P 500 Commercial Services and Supplies Index</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MSCI U.S. REIT Index</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through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160020</wp:posOffset>
            </wp:positionV>
            <wp:extent cx="5246370" cy="2717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4637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The GEO Group, Inc.</w:t>
            </w:r>
          </w:p>
        </w:tc>
        <w:tc>
          <w:tcPr>
            <w:tcW w:w="24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Russell 2000</w:t>
            </w:r>
          </w:p>
        </w:tc>
        <w:tc>
          <w:tcPr>
            <w:tcW w:w="280" w:type="dxa"/>
            <w:vAlign w:val="bottom"/>
          </w:tcPr>
          <w:p>
            <w:pPr>
              <w:spacing w:after="0"/>
              <w:rPr>
                <w:sz w:val="13"/>
                <w:szCs w:val="13"/>
                <w:color w:val="auto"/>
              </w:rPr>
            </w:pP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S&amp;P 500 Commercial</w:t>
            </w:r>
          </w:p>
        </w:tc>
        <w:tc>
          <w:tcPr>
            <w:tcW w:w="180" w:type="dxa"/>
            <w:vAlign w:val="bottom"/>
          </w:tcPr>
          <w:p>
            <w:pPr>
              <w:spacing w:after="0"/>
              <w:rPr>
                <w:sz w:val="13"/>
                <w:szCs w:val="13"/>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MSCI U.S.</w:t>
            </w: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Services &amp; Supplies</w:t>
            </w:r>
          </w:p>
        </w:tc>
        <w:tc>
          <w:tcPr>
            <w:tcW w:w="180" w:type="dxa"/>
            <w:vAlign w:val="bottom"/>
          </w:tcPr>
          <w:p>
            <w:pPr>
              <w:spacing w:after="0"/>
              <w:rPr>
                <w:sz w:val="15"/>
                <w:szCs w:val="15"/>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REIT Index</w:t>
            </w: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118.36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88.89</w:t>
            </w: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46.66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134.57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123.35</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65.92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105.56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89.63</w:t>
            </w: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65.20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121.49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97.67</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168.45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Assumes $100 invested on December 31, 2019 in our common stock and the respective Index.</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1" w:name="page52"/>
    <w:bookmarkEnd w:id="51"/>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Total return assumes reinvestment of dividends.</w:t>
      </w:r>
    </w:p>
    <w:p>
      <w:pPr>
        <w:spacing w:after="0" w:line="27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2" w:name="page53"/>
    <w:bookmarkEnd w:id="52"/>
    <w:p>
      <w:pPr>
        <w:spacing w:after="0" w:line="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“Item 1A. Risk Factors,” and “Forward-Looking Statements - Safe Harbor” below. The discussion should be read in conjunction with the consolidated financial statements and notes thereto.</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This section of this Form 10-K generally discusses 2024 and 2023 items and year-to-year comparisons between 2024 and 2023. Discussions of 2022 items and year-to-year comparisons between 2023 and 2022 that are not included in this Form 10-K can be found in “Management’s Discussion and Analysis of Financial Condition and Results of Operations” in Part II, Item 7 of the Company’s Annual Report on Form 10-K for the fiscal year ended December 31, 2023 and are incorporated herein by reference.</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specialize in the ownership, leasing and management of secure, reentry facilities and processing centers and the provision of community-based services in the United States, Australia and South Africa. We own, lease and operate a broad range of secure facilities including maximum, medium and minimum-security facilities, processing centers, and community-based reentry facilities. We offer counseling, education and/or treatment for alcohol and drug abuse problems at most of the domestic facilities we manage. We are also a provider of innovative compliance technologies, industry-leading monitoring services, and evidence-based supervision and treatment programs for community-based parolees, probationers and pretrial defendants. Additionally, we have a contract with ICE to provide supervision and reporting services designed to improve the participation of non-detained aliens in the immigration court system. We develop new facilities based on contract awards, using our project development expertise and experience to design, construct and finance what we believe are state-of-the-art facilities that maximize security and efficiency. We also provide secure transportation services for offender and detainee populations as contracted domestically and in the United Kingdom through our joint venture GEOAmey.</w:t>
      </w:r>
    </w:p>
    <w:p>
      <w:pPr>
        <w:spacing w:after="0" w:line="18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our worldwide operations included the management and/or ownership of approximately 79,000 beds at 99 correctional, detention and reentry facilities, including idle facilities, and also included the provision of servicing individuals in a community-based environment on behalf of federal, state and local correctional agencies located throughout the country.</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For each of the years ended December 31, 2024 and 2023, we had consolidated revenues of $2.4 billion and we maintained an average company-wide facility occupancy rate of 87.2% including 67,604 active beds and excluding 11,675 idle beds for the year ended December 31, 2024, and 85.8% including 69,834 active beds and excluding 11,421 idle beds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1 – Summary of Business Organization, Operations and Significant Accounting Policies of the notes to the audited consolidated financial statements contained in Part II, Item 8 of this Annual Report on Form 10-K. The significant accounting policies and estimates which we believe are the most critical to aid in fully understanding and evaluating our reported financial results include the following: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idled facilities as of December 31, 2024 and their respective carrying values, excluding equipment and other assets that can be easily transferred to other facilities.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Secure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Secure</w:t>
            </w:r>
          </w:p>
        </w:tc>
        <w:tc>
          <w:tcPr>
            <w:tcW w:w="100" w:type="dxa"/>
            <w:vAlign w:val="bottom"/>
          </w:tcPr>
          <w:p>
            <w:pPr>
              <w:spacing w:after="0"/>
              <w:rPr>
                <w:sz w:val="12"/>
                <w:szCs w:val="12"/>
                <w:color w:val="auto"/>
              </w:rPr>
            </w:pPr>
          </w:p>
        </w:tc>
        <w:tc>
          <w:tcPr>
            <w:tcW w:w="98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2"/>
                <w:szCs w:val="12"/>
                <w:color w:val="auto"/>
              </w:rPr>
            </w:pPr>
          </w:p>
        </w:tc>
        <w:tc>
          <w:tcPr>
            <w:tcW w:w="98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100" w:type="dxa"/>
            <w:vAlign w:val="bottom"/>
          </w:tcPr>
          <w:p>
            <w:pPr>
              <w:spacing w:after="0"/>
              <w:rPr>
                <w:sz w:val="12"/>
                <w:szCs w:val="12"/>
                <w:color w:val="auto"/>
              </w:rPr>
            </w:pPr>
          </w:p>
        </w:tc>
        <w:tc>
          <w:tcPr>
            <w:tcW w:w="9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Idled</w:t>
            </w:r>
          </w:p>
        </w:tc>
        <w:tc>
          <w:tcPr>
            <w:tcW w:w="120" w:type="dxa"/>
            <w:vAlign w:val="bottom"/>
          </w:tcPr>
          <w:p>
            <w:pPr>
              <w:spacing w:after="0"/>
              <w:rPr>
                <w:sz w:val="12"/>
                <w:szCs w:val="12"/>
                <w:color w:val="auto"/>
              </w:rPr>
            </w:pPr>
          </w:p>
        </w:tc>
        <w:tc>
          <w:tcPr>
            <w:tcW w:w="96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2"/>
                <w:szCs w:val="12"/>
                <w:color w:val="auto"/>
              </w:rPr>
            </w:pPr>
          </w:p>
        </w:tc>
        <w:tc>
          <w:tcPr>
            <w:tcW w:w="9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31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(beds)</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(beds)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Ray James Correctional Facility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48,079</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Northlake Correctional Facility</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1,800</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71,883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71,883</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Rivers Correctional Facility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1,450</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34,608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34,608</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Big Spring Correctional Facility</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1,732</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27,471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27,471</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Flightline Correctional Facility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1,800</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31,915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31,915</w:t>
            </w:r>
          </w:p>
        </w:tc>
        <w:tc>
          <w:tcPr>
            <w:tcW w:w="0" w:type="dxa"/>
            <w:vAlign w:val="bottom"/>
          </w:tcPr>
          <w:p>
            <w:pPr>
              <w:spacing w:after="0"/>
              <w:rPr>
                <w:sz w:val="1"/>
                <w:szCs w:val="1"/>
                <w:color w:val="auto"/>
              </w:rPr>
            </w:pPr>
          </w:p>
        </w:tc>
      </w:tr>
      <w:tr>
        <w:trPr>
          <w:trHeight w:val="198"/>
        </w:trPr>
        <w:tc>
          <w:tcPr>
            <w:tcW w:w="31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McFarland Female Community</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Reentry Facility</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9,848</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Cheyenne Mountain Recovery Center [1]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750</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16,772</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Hector Garza Center</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4,188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Delaney Hall [3]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1,054</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29,890</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Philadelphia Residential [2]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6,716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Coleman Hall [2]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260,618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26,832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287,450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under a contract that is yet to be activated.</w:t>
      </w:r>
    </w:p>
    <w:p>
      <w:pPr>
        <w:spacing w:after="0" w:line="171" w:lineRule="exact"/>
        <w:rPr>
          <w:rFonts w:ascii="Times New Roman" w:cs="Times New Roman" w:eastAsia="Times New Roman" w:hAnsi="Times New Roman"/>
          <w:sz w:val="18"/>
          <w:szCs w:val="18"/>
          <w:color w:val="auto"/>
        </w:rPr>
      </w:pPr>
    </w:p>
    <w:p>
      <w:pPr>
        <w:jc w:val="both"/>
        <w:ind w:right="100" w:firstLine="8"/>
        <w:spacing w:after="0" w:line="261"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entered into a purchase and sale agreement in the second quarter of 2024 for these facilities that was less than the net carrying values. As such, we recorded a total impairment loss for both facilities of approximately $2.3 million during the second quarter of 2024 which is included in (loss) gain on asset divestitures/impairment in the accompanying consolidated statements of operations. The purchase and sale agreement was later rescinded. There was no indication of impairment related to our idle facilities during the years ended December 31, 2023 or 2022.</w:t>
      </w:r>
    </w:p>
    <w:p>
      <w:pPr>
        <w:spacing w:after="0" w:line="1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2025, we announced that we have been awarded a 15-year ICE contract for this facility.</w:t>
      </w:r>
    </w:p>
    <w:p>
      <w:pPr>
        <w:spacing w:after="0" w:line="22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review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we perform a recoverability test to determine whether or not an impairment loss should be measured.</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test idle facilities for impairment upon notification that the facilities will no longer be utilized by the customer. If a long-lived asset is part of a group that includes other assets, the unit of accounting for the long-lived asset is its group. Generally, we group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achieved in the past at that facility or at similar facilities and probability weighted cash flows. Our probability weighted cash flows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We perform the impairment analysis on an annual basis for each of the idle facilities, or more frequently if needed, and take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our most recent impairment analysis, or changes in legislation surrounding a particular facility that could impact our ability to house certain types of individuals at such facility. Further, a substantial increase in the number of available beds at other facilities we own, or in the marketplace, could lead to deterioration in market conditions and projected cash flows. Although they are not frequently received, an unsolicited offer to purchase any of our idle facilities, at amounts that are less than their carrying value could also cause us to reconsider the assumptions used in the most recent impairment analysis. We have identified marketing prospects to utilize each of the remaining currently idled facilities and have determined that no current impairment exists. We also received valuations from a third party on certain facilities. However, we can provide no assurance that we will be able to secure management contracts to utilize our idle facilities, or that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will not incur impairment charges in the future. In all cases, the undiscounted cash flows in our analysis as of December 31, 2024, exceeded the carrying amounts of each facility, therefore no impairment charges were recorded.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Reserves for Insurance Losses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nature of our business exposes us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the escape of an individual in our care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spacing w:after="0" w:line="19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October 1, 2021, GEO formed a wholly owned captive insurance subsidiary, Florina Insurance Company, Inc. (“Florina”), to enhance our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the option of procuring insurance policies for its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currently maintain a general liability policy and excess liability policies with total limits of $75.0 million per occurrence and $95.0 million total general liability annual aggregate limits covering the operations of U.S. Secure Services, Reentry Services and Electronic Monitoring and Supervision Services through commercial and captive policies. We have a professional liability insurance program with a specific loss limit of $45.0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cybersecurity liability and automobile liability.</w:t>
      </w:r>
    </w:p>
    <w:p>
      <w:pPr>
        <w:spacing w:after="0" w:line="18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For most casualty insurance policies, we carry substantial deductibles or self-insured retentions of $4.0 million per occurrence for general liability and $5.0 million per occurrence for medical professional liability, $2.0 million per occurrence for workers’ compensation, $2.3 million per occurrence for directors' and officers’ liability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w:t>
      </w:r>
    </w:p>
    <w:p>
      <w:pPr>
        <w:spacing w:after="0" w:line="18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With respect to operations in South Africa and Australia, we utilize locally-procured insurance to meet contractual insurance requirements and protect us.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Of the insurance policies discussed above, our most significant insurance reserves relate to workers’ compensation, general liability and auto claims. These reserves, which include Florina’s reserves and GEO’s legacy reserves and administrative costs for the plans, are undiscounted and were $56.9 million and $65.6 million as of December 31, 2024 and 2023, respectively, and are included in Accrued Expenses in the accompanying Consolidated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related to insurance claims significantly differ from our estimates, our financial condition, results of operations and cash flows could be materially adversely impacted.</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Net</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recorded goodwill as a result of our business combinations. Goodwill is recorded as the difference, if any, between the aggregate consideration paid for an acquisition and the fair value of the net tangible assets and other intangible assets acquired. Our goodwill is not amortized and is tested for impairment annually on the first day of the fourth quarter, and whenever events or circumstances arise that indicate impairment may have occurred. Impairment testing is performed for all reporting units that contain goodwill that is significant. The reporting units are the same as the reportable segments for U.S. Secure Services, Electronic Monitoring and Supervision Services, Reentry Services and International Services.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the annual measurement date of October 1, 2024, management elected to qualitatively assess our goodwill for impairment for our Electronic Monitoring and Supervision Services reporting unit. Under provisions of the qualitative analysis, when testing goodwill for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less than its carrying amount, we perform a quantitative impairment test to identify goodwill impairment and measure the amount of goodwill impairment loss to be recognized, if any. We will also perform a quantitative test if it has been several years since the last one. The qualitative factors used by management to determine the likelihood that the fair value of the reporting unit is less than the carrying amount include, among other things, a review of overall economic conditions and their current and future impact on the Company’s existing business, the Company’s financial performance and stock price, industry outlook and market competition. With respect to the qualitative assessment, management determined that, as of October 1, 2024, it was more likely than not that the fair value of the Electronic Monitoring and Supervision Services reporting unit exceeded its carrying values. We performed quantitative analyses for our U.S. Secure Services and Reentry Services reporting units using a third-party valuation firm to determine the estimated fair value of the reporting unit using a discounted cash flow model. For U.S. Secure Services and Reentry Services reporting units, a discount rate of 13.5% and 12.0%, respectively, was utilized to adjust the cash flow forecasts based on our estimate of a market participant’s weighted-average cost of capital. Growth rates for sales and profits were determined using inputs from our long-term planning process. We also made estimates for discount rates and other factors based on market conditions, historical experience and other economic factors. Changes in these factors could significantly impact the fair value of the reporting unit. With respect to the U.S. Secure Services and Reentry Services reporting units that were assessed quantitatively, management determined that the fair values exceeded their carrying values by a significant amount. A significant change in one or combination of the assumptions discussed above could have impacted the estimated fair value of the reporting unit. If our expectations of future results and cash flows decrease significantly or other economic conditions deteriorate, goodwill may be further impaired. Goodwill recorded at our International Services reporting unit is not significant. No impairment charges were recorded for the years ended December 31, 2024, 2023 or 2022.</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our intent to do so. Our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represented BI’s innovation with respect to its GPS tracking, monitoring, radio frequency monitoring, voice verification monitoring and alcohol compliance systems which became fully amortized as of December 31, 2023. When establishing useful lives, we consider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We also consider the impact of renewal terms when establishing useful lives. We currently amortize our acquired facility management contracts over periods ranging from three to twenty-one years and its acquired technology over seven years to eight years. There is no residual value associated with our finite-lived intangible assets. We review our trade name assets for impairment whenever events or changes in circumstances indicate that the carrying amount of such assets may not be fully recoverable. We do not amortize its indefinite lived intangible assets. We review our indefinite lived intangible assets annually or more frequently if events or changes in circumstances indicate that the asset might be impaired. The qualitative factors used by GEO’s management to determine the likelihood that the fair value of the reporting unit is less than the carrying amount include, among other things, a review of overall economic conditions and their current and future impact on our existing business, our financial performance and stock price, industry outlook and market competition. These reviews resulted in no significant impairment to the carrying value of the indefinite lived intangible assets for all periods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We record the costs associated with renewal and extension of facility management contracts as expenses in the period they are incurred.</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define fair value as the price that would be received to sell an asset or paid to transfer a liability in an orderly transaction between market participants at the measurement date (“exit price”). We carry certain of our assets and liabilities at fair value, measured on a recurring basis, in the accompanying Consolidated Balance Sheets. We also have certain assets and liabilities which are not carried at fair value in our accompanying Consolidated Balance Sheets and disclose the fair value measurements compared to the carrying values as of each balance sheet date. We establish the fair value of our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 Level 3 inputs are unobservable inputs for the assets or liabilities that reflect management’s own assumptions about the assumptions market participants would use in pricing the asset or liability. We recognize transfers between Levels 1, 2 and 3 as of the actual date of the event or change in circumstances that cause the transfer.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accounting standard was adopted in the current period:</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We adopted the new standard effective December 31, 2024. As a result, we have enhanced our segment disclosures to include the presentation of significant expenses by segment and the disclosure of our CODM. The adoption of this ASU affects only our disclosures, with no impacts to our financial condition and results of operations. Refer to Note 14 - Business Segments and Geographic Information of the notes to the audited consolidated financial statements contained Part II, Item 8 of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accounting standards will be adopted in future periods:</w:t>
      </w:r>
    </w:p>
    <w:p>
      <w:pPr>
        <w:spacing w:after="0" w:line="22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this ASU will impact only our disclosures and not our financial condition and results of operations, we are currently evaluating when we will adopt the ASU.</w:t>
      </w:r>
    </w:p>
    <w:p>
      <w:pPr>
        <w:spacing w:after="0" w:line="19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will adopt this ASU prospectively for the period ending December 31, 2025, and it will impact only our disclosures with no impacts to our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 did not, or are not expected to, have a material effect on our results of operations or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the notes to the consolidated financial statements accompanying this report. This discussion contains forward-looking statements that involve risks and uncertainties. Our actual results may differ materially from those anticipated in the forward-looking statements as a result of certain factors, including, but not limited to, those described under “Item 1A. Risk Factors” and those included in other portions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8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U.S. Secure Services</w:t>
            </w:r>
          </w:p>
        </w:tc>
        <w:tc>
          <w:tcPr>
            <w:tcW w:w="780" w:type="dxa"/>
            <w:vAlign w:val="bottom"/>
            <w:shd w:val="clear" w:color="auto" w:fill="CFF0FC"/>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1,604,38</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4"/>
              <w:spacing w:after="0" w:line="198" w:lineRule="exact"/>
              <w:rPr>
                <w:sz w:val="20"/>
                <w:szCs w:val="20"/>
                <w:color w:val="auto"/>
              </w:rPr>
            </w:pPr>
            <w:r>
              <w:rPr>
                <w:rFonts w:ascii="Times New Roman" w:cs="Times New Roman" w:eastAsia="Times New Roman" w:hAnsi="Times New Roman"/>
                <w:sz w:val="18"/>
                <w:szCs w:val="18"/>
                <w:color w:val="auto"/>
              </w:rPr>
              <w:t>1,518,29</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shd w:val="clear" w:color="auto" w:fill="CFF0FC"/>
          </w:tcPr>
          <w:p>
            <w:pPr>
              <w:ind w:left="4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86,094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332,826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425,879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(93,053 )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277,566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275,102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2,464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208,924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193,894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15,030</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191"/>
        </w:trPr>
        <w:tc>
          <w:tcPr>
            <w:tcW w:w="468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FF0FC"/>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2,423,70</w:t>
            </w: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2,413,16</w:t>
            </w: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5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254" w:lineRule="exact"/>
        <w:rPr>
          <w:sz w:val="20"/>
          <w:szCs w:val="20"/>
          <w:color w:val="auto"/>
        </w:rPr>
      </w:pPr>
    </w:p>
    <w:p>
      <w:pPr>
        <w:ind w:right="60" w:firstLine="405"/>
        <w:spacing w:after="0" w:line="277" w:lineRule="auto"/>
        <w:rPr>
          <w:sz w:val="20"/>
          <w:szCs w:val="20"/>
          <w:color w:val="auto"/>
        </w:rPr>
      </w:pPr>
      <w:r>
        <w:rPr>
          <w:rFonts w:ascii="Times New Roman" w:cs="Times New Roman" w:eastAsia="Times New Roman" w:hAnsi="Times New Roman"/>
          <w:sz w:val="17"/>
          <w:szCs w:val="17"/>
          <w:color w:val="auto"/>
        </w:rPr>
        <w:t>Revenues for U.S. Secure Services increased by $86.1 million in 2024 compared to 2023 due to aggregate increases of $15.8 million primarily due to the activation of new transportation contracts as well as our lease with the Oklahoma Department of Corrections for our company-owned Great Plains Correctional Facility which commenced on May 1, 2023. In addition, we experienced aggregate net increases in rates and/or per diem amounts in connection with contract modifications, transportation services and increased occupancies of $82.0 million. Partially offsetting these increases were decreases of approximately $11.7 million related to the transition of operations at the state-owned 1,536-bed Lawrenceville Correctional Center in Virginia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Virginia Department of Corrections.</w:t>
      </w:r>
    </w:p>
    <w:p>
      <w:pPr>
        <w:spacing w:after="0" w:line="200" w:lineRule="exact"/>
        <w:rPr>
          <w:sz w:val="20"/>
          <w:szCs w:val="20"/>
          <w:color w:val="auto"/>
        </w:rPr>
      </w:pPr>
    </w:p>
    <w:p>
      <w:pPr>
        <w:spacing w:after="0" w:line="26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number of compensated mandays in U.S. Secure Services facilities was approximately 16.6 million in 2024 and 16.8 million in 2023. We experienced an aggregate net decrease of approximately 200,000 mandays as a result of contract terminations, partially offset by contract activations and increases in occupancies discussed above. We look at the average occupancy in our facilities to determine how we are managing our available beds. The average occupancy is calculated by taking compensated mandays as a percentage of capacity. The average occupancy in our U.S. Secure Services facilities was 86.6% and 86.2% of capacity in 2024 and 2023, respectively, excluding idle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227"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Revenues for Electronic Monitoring and Supervision Services decreased by $93.1 million in 2024 compared to 2023 primarily due to decreases in average participant counts under the Intensive Supervision and Appearance Program ("ISAP").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227" w:lineRule="exact"/>
        <w:rPr>
          <w:sz w:val="20"/>
          <w:szCs w:val="20"/>
          <w:color w:val="auto"/>
        </w:rPr>
      </w:pPr>
    </w:p>
    <w:p>
      <w:pPr>
        <w:ind w:right="500" w:firstLine="360"/>
        <w:spacing w:after="0" w:line="261" w:lineRule="auto"/>
        <w:rPr>
          <w:sz w:val="20"/>
          <w:szCs w:val="20"/>
          <w:color w:val="auto"/>
        </w:rPr>
      </w:pPr>
      <w:r>
        <w:rPr>
          <w:rFonts w:ascii="Times New Roman" w:cs="Times New Roman" w:eastAsia="Times New Roman" w:hAnsi="Times New Roman"/>
          <w:sz w:val="18"/>
          <w:szCs w:val="18"/>
          <w:color w:val="auto"/>
        </w:rPr>
        <w:t>Revenues for Reentry Services increased by $2.5 million in 2024 compared to 2023 primarily due to increases of $4.5 million due to new day reporting center contracts. We also experienced a net aggregate increase of $12.1 million primarily related to increased census levels at certain of our community-based and reentry centers due to increased programming needs and referrals. Partially offsetting these increases were decreases of $14.1 million due to contract terminations.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227"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18"/>
          <w:szCs w:val="18"/>
          <w:color w:val="auto"/>
        </w:rPr>
        <w:t>Revenues for International Services increased by $15.0 million in 2024 compared to 2023 primarily due to a net increase of $27.0 million due to increased populations at our Australian subsidiary and our new health care contract in Australia. Partially offsetting this increase was a decrease due to foreign exchange rate fluctuations of $12.0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gridSpan w:val="2"/>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1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1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8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U.S. Secure Services</w:t>
            </w:r>
          </w:p>
        </w:tc>
        <w:tc>
          <w:tcPr>
            <w:tcW w:w="780" w:type="dxa"/>
            <w:vAlign w:val="bottom"/>
            <w:shd w:val="clear" w:color="auto" w:fill="CFF0FC"/>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1,215,78</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4"/>
              <w:spacing w:after="0" w:line="198" w:lineRule="exact"/>
              <w:rPr>
                <w:sz w:val="20"/>
                <w:szCs w:val="20"/>
                <w:color w:val="auto"/>
              </w:rPr>
            </w:pPr>
            <w:r>
              <w:rPr>
                <w:rFonts w:ascii="Times New Roman" w:cs="Times New Roman" w:eastAsia="Times New Roman" w:hAnsi="Times New Roman"/>
                <w:sz w:val="18"/>
                <w:szCs w:val="18"/>
                <w:color w:val="auto"/>
              </w:rPr>
              <w:t>1,169,38</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shd w:val="clear" w:color="auto" w:fill="CFF0FC"/>
          </w:tcPr>
          <w:p>
            <w:pPr>
              <w:ind w:left="4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46,398</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160,948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184,923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(23,975 )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205,650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209,779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192,097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180,140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11,957</w:t>
            </w: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191"/>
        </w:trPr>
        <w:tc>
          <w:tcPr>
            <w:tcW w:w="468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FF0FC"/>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1,774,47</w:t>
            </w: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1,744,22</w:t>
            </w: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5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30,251</w:t>
            </w:r>
          </w:p>
        </w:tc>
        <w:tc>
          <w:tcPr>
            <w:tcW w:w="1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240" w:firstLine="599"/>
        <w:spacing w:after="0" w:line="282" w:lineRule="auto"/>
        <w:rPr>
          <w:sz w:val="20"/>
          <w:szCs w:val="20"/>
          <w:color w:val="auto"/>
        </w:rPr>
      </w:pPr>
      <w:r>
        <w:rPr>
          <w:rFonts w:ascii="Times New Roman" w:cs="Times New Roman" w:eastAsia="Times New Roman" w:hAnsi="Times New Roman"/>
          <w:sz w:val="18"/>
          <w:szCs w:val="18"/>
          <w:color w:val="auto"/>
        </w:rPr>
        <w:t>Operating expenses consist of those expenses incurred in the operation and management of our U.S. Secure Services, Electronic Monitoring and Supervision Services, Reentry Services and International Services segments.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227" w:lineRule="exact"/>
        <w:rPr>
          <w:sz w:val="20"/>
          <w:szCs w:val="20"/>
          <w:color w:val="auto"/>
        </w:rPr>
      </w:pPr>
    </w:p>
    <w:p>
      <w:pPr>
        <w:ind w:firstLine="315"/>
        <w:spacing w:after="0" w:line="255" w:lineRule="auto"/>
        <w:rPr>
          <w:sz w:val="20"/>
          <w:szCs w:val="20"/>
          <w:color w:val="auto"/>
        </w:rPr>
      </w:pPr>
      <w:r>
        <w:rPr>
          <w:rFonts w:ascii="Times New Roman" w:cs="Times New Roman" w:eastAsia="Times New Roman" w:hAnsi="Times New Roman"/>
          <w:sz w:val="18"/>
          <w:szCs w:val="18"/>
          <w:color w:val="auto"/>
        </w:rPr>
        <w:t>Operating expenses for U.S. Secure Services increased by $46.4 million in 2024 compared to 2023 primarily due to aggregate net increases in connection with labor and medical costs, transportation services, increased occupancies and the variable costs associated with those services of $56.2 million. We also experienced an increase of $7.8 million primarily related to new transportation contracts. Partially offsetting these increases were decreases of approximately $11.3 million related to the transition of operations at the state-owned 1,536-bed Lawrenceville Correctional Center in Virginia to the Virginia Department of Corrections. We also experienced a favorable adjustment for penalties and interest upon entering into a managed audit program with the state of New Mexico taxing authorities of approximately $6.3 million. Refer to Note 16 - Commitments, Contingencies and Other Matters of the Notes to our consolidated financial statements included in Part II, Item 8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227" w:lineRule="exact"/>
        <w:rPr>
          <w:sz w:val="20"/>
          <w:szCs w:val="20"/>
          <w:color w:val="auto"/>
        </w:rPr>
      </w:pPr>
    </w:p>
    <w:p>
      <w:pPr>
        <w:ind w:right="560" w:firstLine="360"/>
        <w:spacing w:after="0" w:line="282" w:lineRule="auto"/>
        <w:rPr>
          <w:sz w:val="20"/>
          <w:szCs w:val="20"/>
          <w:color w:val="auto"/>
        </w:rPr>
      </w:pPr>
      <w:r>
        <w:rPr>
          <w:rFonts w:ascii="Times New Roman" w:cs="Times New Roman" w:eastAsia="Times New Roman" w:hAnsi="Times New Roman"/>
          <w:sz w:val="18"/>
          <w:szCs w:val="18"/>
          <w:color w:val="auto"/>
        </w:rPr>
        <w:t>Operating expenses for Electronic Monitoring and Supervision Services decreased by $24.0 million in 2024 compared to 2023 primarily due to decreases in variable costs related to decreases in average participant counts under ISAP.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227" w:lineRule="exact"/>
        <w:rPr>
          <w:sz w:val="20"/>
          <w:szCs w:val="20"/>
          <w:color w:val="auto"/>
        </w:rPr>
      </w:pPr>
    </w:p>
    <w:p>
      <w:pPr>
        <w:ind w:right="220" w:firstLine="360"/>
        <w:spacing w:after="0" w:line="261" w:lineRule="auto"/>
        <w:rPr>
          <w:sz w:val="20"/>
          <w:szCs w:val="20"/>
          <w:color w:val="auto"/>
        </w:rPr>
      </w:pPr>
      <w:r>
        <w:rPr>
          <w:rFonts w:ascii="Times New Roman" w:cs="Times New Roman" w:eastAsia="Times New Roman" w:hAnsi="Times New Roman"/>
          <w:sz w:val="18"/>
          <w:szCs w:val="18"/>
          <w:color w:val="auto"/>
        </w:rPr>
        <w:t>Operating expenses for Reentry Services decreased by $4.1 million during 2024 compared to 2023 primarily due to decreases of $9.8 million due to contract terminations. This decrease was partially offset by an aggregate net increase of $2.5 million related to increased census levels at certain of our community-based and reentry centers due to increased programming needs and referrals and the associated variable costs as well as an increase of $3.2 million due to the new day reporting center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227" w:lineRule="exact"/>
        <w:rPr>
          <w:sz w:val="20"/>
          <w:szCs w:val="20"/>
          <w:color w:val="auto"/>
        </w:rPr>
      </w:pPr>
    </w:p>
    <w:p>
      <w:pPr>
        <w:ind w:right="220" w:firstLine="315"/>
        <w:spacing w:after="0" w:line="266" w:lineRule="auto"/>
        <w:rPr>
          <w:sz w:val="20"/>
          <w:szCs w:val="20"/>
          <w:color w:val="auto"/>
        </w:rPr>
      </w:pPr>
      <w:r>
        <w:rPr>
          <w:rFonts w:ascii="Times New Roman" w:cs="Times New Roman" w:eastAsia="Times New Roman" w:hAnsi="Times New Roman"/>
          <w:sz w:val="18"/>
          <w:szCs w:val="18"/>
          <w:color w:val="auto"/>
        </w:rPr>
        <w:t>Operating expenses for International Services increased by $12.0 million in 2024 compared to 2023 primarily due to a net increase of approximately $9.9 million primarily due to expenses associated with increased populations and our new health care contract in Australia. We also experienced an increase related to foreign exchange rate fluctuations of $2.1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gridSpan w:val="2"/>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0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10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0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U.S. Secure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85,685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78,917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6,768</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16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24,523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28,053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13,619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16,588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167</w:t>
            </w: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49"/>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126,220</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125,784</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436</w:t>
            </w:r>
          </w:p>
        </w:tc>
        <w:tc>
          <w:tcPr>
            <w:tcW w:w="1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22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U.S. Secure Services depreciation and amortization expense increased in 2024 compared to 2023 primarily due to renovations at certain of our company-owned and leased facilities.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227"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decreased in 2024 compared to 2023 primarily due to certain assets becoming fully depreciated and/or amortized as well as the closing of certain ISAP locations.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227"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Reentry Services depreciation and amortization expense decreased in 2024 compared to 2023 primarily due to certain assets becoming fully depreciated and/or amortized as well as certain asset dispositions at our company-owned centers.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increased slightly in 2024 compared to 2023 primarily due to foreign exchange rate fluctuations.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Unallocated 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3"/>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  213,028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190,766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22,262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comprise substantially all of our other unallocated operating expenses which primarily includes, corporate management salaries and benefits, professional fees and other administrative expenses. General and administrative expenses increased by $22.3 million in 2024 compared to 2023 primarily due to increases in certain transaction fees related to our private exchange transactions involving our convertible notes of $3.6 million, employee restructuring expenses of $2.1 million, stock-based compensation of $3.0 million and certain compensation adjustment decreases during 2023 of $4.1 million, with the remaining increase due to increases in employee benefits and related insurance, professional fees, consulting and other administrative expenses.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Interest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0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8,787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7,792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995</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190,624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218,292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(27,668 )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626"/>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60" w:name="page61"/>
    <w:bookmarkEnd w:id="60"/>
    <w:p>
      <w:pPr>
        <w:ind w:right="1160" w:firstLine="509"/>
        <w:spacing w:after="0" w:line="282" w:lineRule="auto"/>
        <w:rPr>
          <w:sz w:val="20"/>
          <w:szCs w:val="20"/>
          <w:color w:val="auto"/>
        </w:rPr>
      </w:pPr>
      <w:r>
        <w:rPr>
          <w:rFonts w:ascii="Times New Roman" w:cs="Times New Roman" w:eastAsia="Times New Roman" w:hAnsi="Times New Roman"/>
          <w:sz w:val="18"/>
          <w:szCs w:val="18"/>
          <w:color w:val="auto"/>
        </w:rPr>
        <w:t>Interest income increased in 2024 compared to 2023 primarily due to the effect of foreign exchange rate fluctuations and higher cash balances at our international subsidiaries.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decreased by $27.7 million in 2024 compared to 2023 primarily due to our Senior Notes Offering and new Term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new credit agreement that closed on April 18, 2024 which resulted in overall lower interest rates. We also retired the majority of our 6.50%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Senior Notes due 2026 during 2024. Refer to Note 11 - Debt of the notes to the audited consolidated financial statements included in Part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of this Annual Report on Form 10-K for further discussion.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4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9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3"/>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   86,637</w:t>
            </w:r>
          </w:p>
        </w:tc>
        <w:tc>
          <w:tcPr>
            <w:tcW w:w="15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3.6 %  $</w:t>
            </w:r>
          </w:p>
        </w:tc>
        <w:tc>
          <w:tcPr>
            <w:tcW w:w="7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8,532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78,105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915.4 %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During 2024, we completed a Senior Note Offering and also made mandatory prepayments on our Term Loan which resulted in a loss on extinguishment of debt of approximately $86.6 million which consisted of the write-off of existing deferred financing costs and net discount/premiums and the payment of call premiums.</w:t>
      </w:r>
    </w:p>
    <w:p>
      <w:pPr>
        <w:spacing w:after="0" w:line="176"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18"/>
          <w:szCs w:val="18"/>
          <w:color w:val="auto"/>
        </w:rPr>
        <w:t>On December 14, 2023, we entered into and closed on the Refinancing Revolving Credit Commitments Amendment to our credit agreement dated as of August 19, 2022. The amendment refinanced all of our outstanding revolving credit facility commitments under the credit agreement and under GEO’s Third Amended and Restated Credit Agreement, dated as of March 23, 2017, as subsequently amended. We wrote-off approximately $4.2 million in existing deferred loan costs to loss on extinguishment of debt as a result of the transaction. We also made a mandatory quarterly prepayments in 2023 on our Tranche 1 and Tranche 2 loans under our exchange credit agreement. In connection with the prepayments, we wrote off a proportionate amount of related deferred loan costs and discount/premium of approximately $4.3 million.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Debt of the notes to the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Gain on Disposition of Assets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4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Gain on Asset Divestitures/Impairment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(2,907 )</w:t>
            </w:r>
          </w:p>
        </w:tc>
        <w:tc>
          <w:tcPr>
            <w:tcW w:w="15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(0.1 )%  $</w:t>
            </w:r>
          </w:p>
        </w:tc>
        <w:tc>
          <w:tcPr>
            <w:tcW w:w="7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4,691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(7,598 )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(162.0 )%</w:t>
            </w:r>
          </w:p>
        </w:tc>
      </w:tr>
    </w:tbl>
    <w:p>
      <w:pPr>
        <w:spacing w:after="0" w:line="198"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During 2024, we experienced an impairment loss of approximately $2.3 million related to two of our Company-owned facilities. We also donated a parcel of undeveloped land in Kern County, California which resulted in a loss on asset divestiture of approximately $0.6 million.</w:t>
      </w:r>
    </w:p>
    <w:p>
      <w:pPr>
        <w:spacing w:after="0" w:line="162"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We experienced a net gain on disposition of assets in 2023 primarily due to the sale of vacant land located in South Dallas County, Texas, vacant land located in Colorado and the sale of our company-owned 900-bed Albert Bo Robinson Assessment and Treatment Center.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7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13"/>
                <w:szCs w:val="13"/>
                <w:color w:val="auto"/>
              </w:rPr>
            </w:pP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(Dollars in</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9,401</w:t>
            </w:r>
          </w:p>
        </w:tc>
        <w:tc>
          <w:tcPr>
            <w:tcW w:w="15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24.4 %  $</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35,399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(25,998 )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The provision for income taxes in 2024 decreased compared to 2023 along with the effective tax rate. In 2024 and 2023, there was a $4.8 million and $3.8 million net discrete tax benefit, respectively. Included in the provision for income taxes in 2024 and 2023 was a $1.1 million discrete tax benefit and a $1.0 million discrete tax expense related to stock compensation that vested during the respective periods. Also included in the provision for income taxes in 2024 was a $3.5 million discrete tax benefit from the interest deduction related to GEO shares issued to the holders of our 6.50% Exchangeable Senior Notes due 2026 that participated in private exchange transactions. We estimate our 2025 annual effective tax rate to be in the range of approximately 28% to 30%, exclusive of any discrete items.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1" w:name="page62"/>
    <w:bookmarkEnd w:id="61"/>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Earnings of Affiliates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left="22"/>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Earnings of Affiliates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2,703</w:t>
            </w:r>
          </w:p>
        </w:tc>
        <w:tc>
          <w:tcPr>
            <w:tcW w:w="15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0.1 %  $</w:t>
            </w:r>
          </w:p>
        </w:tc>
        <w:tc>
          <w:tcPr>
            <w:tcW w:w="7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4,534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(1,831 )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Equity in earnings of affiliates, presented net of income taxes, represents the earnings of SACS and GEOAmey in the aggregate. Equity in earnings of affiliates in 2024 compared to 2023 decreased primarily due to unfavorable performance at SACS.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current cash requirements consist of amounts needed for working capital, debt service, supply purchases, investments in joint ventures, and capital expenditures related to either the development of new secure, processing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spacing w:after="0" w:line="18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were developing a number of contractually committed projects that we estimate will cost approximately $76.3 million, of which $51.8 million was spent through December 31, 2024. We estimate our remaining contractually committed capital requirements to be approximately $24.5 million. These projects are expected to be completed through 2025.</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plan to fund all of our capital needs, including capital expenditures, from cash on hand, cash from operations, borrowings under our Credit Agreement and any other financings which our management and Board, in their discretion, may consummate. Currently, our primary source of liquidity to meet these requirements is cash flow from operations and borrowings under our Credit Agreement. We completed our annual budgeting process, and for 2025, we will continue to strategically manage our capital expenditures to maintain both short and long term financial objectives. Additionally, we may from time to time pursue transactions for the potential sale of additional assets and businesses and/or other strategic transactions. Our management believes that cash on hand, cash flows from operations and availability under our Credit Agreement will be adequate to support our capital requirements for 2025 as disclosed under “Capital Requirements” above.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Offering and Credit Agreement</w:t>
      </w:r>
    </w:p>
    <w:p>
      <w:pPr>
        <w:spacing w:after="0" w:line="229" w:lineRule="exact"/>
        <w:rPr>
          <w:sz w:val="20"/>
          <w:szCs w:val="20"/>
          <w:color w:val="auto"/>
        </w:rPr>
      </w:pPr>
    </w:p>
    <w:p>
      <w:pPr>
        <w:ind w:right="80" w:firstLine="315"/>
        <w:spacing w:after="0" w:line="266" w:lineRule="auto"/>
        <w:rPr>
          <w:sz w:val="20"/>
          <w:szCs w:val="20"/>
          <w:color w:val="auto"/>
        </w:rPr>
      </w:pPr>
      <w:r>
        <w:rPr>
          <w:rFonts w:ascii="Times New Roman" w:cs="Times New Roman" w:eastAsia="Times New Roman" w:hAnsi="Times New Roman"/>
          <w:sz w:val="18"/>
          <w:szCs w:val="18"/>
          <w:color w:val="auto"/>
        </w:rPr>
        <w:t>On April 18, 2024, we announced the closing of our previously announced private offering of $1.275 billion aggregate principal amount of senior notes, comprised of $650.0 million aggregate principal amount of 8.625% senior secured notes due 2029 and $625.0 million aggregate principal amount of 10.250% senior notes due 2031.</w:t>
      </w:r>
    </w:p>
    <w:p>
      <w:pPr>
        <w:spacing w:after="0" w:line="176" w:lineRule="exact"/>
        <w:rPr>
          <w:sz w:val="20"/>
          <w:szCs w:val="20"/>
          <w:color w:val="auto"/>
        </w:rPr>
      </w:pPr>
    </w:p>
    <w:p>
      <w:pPr>
        <w:ind w:right="100" w:firstLine="315"/>
        <w:spacing w:after="0" w:line="261" w:lineRule="auto"/>
        <w:rPr>
          <w:sz w:val="20"/>
          <w:szCs w:val="20"/>
          <w:color w:val="auto"/>
        </w:rPr>
      </w:pPr>
      <w:r>
        <w:rPr>
          <w:rFonts w:ascii="Times New Roman" w:cs="Times New Roman" w:eastAsia="Times New Roman" w:hAnsi="Times New Roman"/>
          <w:sz w:val="18"/>
          <w:szCs w:val="18"/>
          <w:color w:val="auto"/>
        </w:rPr>
        <w:t>We also entered into a credit agreement, dated April 18, 2024 (the "Credit Agreement") to, among other things, evidence and govern a first-lien senior secured revolving credit facility and the commitments thereunder, and a first-lien senior secured term loan facility. The aggregate principal amount of revolving credit commitments under the senior revolving credit facility is $310 million (including a $175 million letter of credit subfacility) and the aggregate principal amount of the senior secured term loan facility is $450.0 million.</w:t>
      </w:r>
    </w:p>
    <w:p>
      <w:pPr>
        <w:spacing w:after="0" w:line="180" w:lineRule="exact"/>
        <w:rPr>
          <w:sz w:val="20"/>
          <w:szCs w:val="20"/>
          <w:color w:val="auto"/>
        </w:rPr>
      </w:pPr>
    </w:p>
    <w:p>
      <w:pPr>
        <w:jc w:val="both"/>
        <w:ind w:right="140" w:firstLine="360"/>
        <w:spacing w:after="0" w:line="261" w:lineRule="auto"/>
        <w:rPr>
          <w:sz w:val="20"/>
          <w:szCs w:val="20"/>
          <w:color w:val="auto"/>
        </w:rPr>
      </w:pPr>
      <w:r>
        <w:rPr>
          <w:rFonts w:ascii="Times New Roman" w:cs="Times New Roman" w:eastAsia="Times New Roman" w:hAnsi="Times New Roman"/>
          <w:sz w:val="18"/>
          <w:szCs w:val="18"/>
          <w:color w:val="auto"/>
        </w:rPr>
        <w:t>We used the net proceeds of the senior notes offering, borrowings under the new term loan, and cash on hand to refinance approximately $1.5 billion of existing indebtedness, including to fund the repurchase, redemption or other discharge of our existing Tranche 1 Term Loan and Tranche 2 Term Loan under our prior senior credit facility, the 9.50% senior second lien secured notes due 2028, the 10.50% senior second lien secured notes due 2028, and the 6.00% senior notes due 2026, to pay related premiums, transaction fees and expenses, and for general corporate purposes of the Company.</w:t>
      </w:r>
    </w:p>
    <w:p>
      <w:pPr>
        <w:spacing w:after="0" w:line="180"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With these transactions, as well as the private exchange transactions involving our 6.50% Exchangeable Notes due 2026 discussed below, we have been able to push out substantially all of our debt maturities out to 2029 and 2031.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6.50% Exchangeable Senior Notes due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February 24, 2021, our wholly owned subsidiary, GEO Corrections Holdings, Inc. ("GEOCH"), completed a private offering of $230 million aggregate principal amount of Convertible Notes. The Convertible Notes were scheduled to mature on February 23, 2026, unless earlier repurchased or exchanged. The Convertible Notes bore interest at the rate of 6.50% per year plus an additional amount based on the dividends paid by the Company on its common stock, $0.01 par value per share. Interest on the Convertible Notes was payable semi-annually in arrears on March 1 and September 1 of each year, beginning on September 1, 2021.</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Subject to certain restrictions on share ownership and transfer, holders were able to exchange the Convertible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Convertible Notes for each trading day of such measurement period was less than 98% of the product of the last reported sale price of the Company’s common stock and the exchange rate for the Convertible Notes on each such trading day; or (2) upon the occurrence of certain specified corporate events. On or after November 25, 2025, until the close of business on the second scheduled trading day immediately preceding the maturity date of the Convertible Notes, holders were able to exchange their Convertible Notes at any time, regardless of the foregoing circumstances. Upon exchange of a Convertible Note, we would pay or deliver, as the case may be, cash or a combination of cash and shares of the Company’s common stock.</w:t>
      </w:r>
    </w:p>
    <w:p>
      <w:pPr>
        <w:spacing w:after="0" w:line="1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conversion, we would pay or deliver, as the case may be, cash or a combination of cash and shares of common stock. The initial conversion rate was 108.4011 shares of common stock per $1,000 principal amount of Convertible Notes (equivalent to an initial conversion price of approximately $9.225 per share of common stock). The conversion rate was subject to adjustment in certain events. If we had undergone a fundamental change, holders could have required GEOCH to purchase the Convertible Notes in whole or in part for cash at a fundamental change purchase price equal to 100% of the principal amount of the Convertible Notes to be purchased, plus accrued and unpaid interest, if any, to, but excluding, the fundamental change purchase date.</w:t>
      </w:r>
    </w:p>
    <w:p>
      <w:pPr>
        <w:spacing w:after="0" w:line="1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2024, we retired $229.9 million in aggregate principal amount of our outstanding 6.50% Exchangeable Senior Notes as a result of private exchange transactions with an exchange value of approximately $415 million. The consideration consisted of cash of $229.9 million, using a combination of the net proceeds from the Senior Notes Offering and cash on hand, and approximately 12.4 million shares of GEO common stock. Of the total amount of shares issued, we issued 4,209,847 shares that were in treasury. During the first quarter of 2025, we entered into the last repurchase transaction that resulted in the retirement of the remaining principal balance.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consider opportunities for future business and/or asset acquisitions or dispositions as we deem appropriate when market conditions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present opportunities. If we are successful in our pursuit of any new projects, our cash on hand, cash flows from operations and borrowings under the new Credit Agreement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In the future, our access to capital and ability to compete for future capital-intensive projects will also be dependent upon, among other things, our ability to meet certain financial covenants in the indenture governing the Secured Notes, the indenture governing the Unsecured Notes and our Credit Agreement.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While we were in compliance with our debt covenants as of December 31, 2024, and we expect to continue to be in compliance with our debt covenants, if these constraints were to intensify, our liquidity could be materially adversely impacted as could our ability to remain in compliance with these debt covenants.</w:t>
      </w:r>
    </w:p>
    <w:p>
      <w:pPr>
        <w:spacing w:after="0" w:line="35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GEO’s Secured Notes and Unsecured Notes are fully and unconditionally guaranteed on a joint and several senior unsecured basis (except on a senior secured basis in the case of the Secured Notes) by certain of our wholly owned domestic subsidiaries (the “Subsidiary Guarantors”).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Automatic Shelf Registration on Form S-3</w:t>
      </w:r>
    </w:p>
    <w:p>
      <w:pPr>
        <w:spacing w:after="0" w:line="229"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On October 30, 2023,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On December 28, 2023, in connection with the shelf registration, we filed with the SEC a prospectus supplement related to the offer and sale from time to time of our common stock at an aggregate offering price of up to $300 million through sales agents. Sales of shares of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63" w:name="page64"/>
    <w:bookmarkEnd w:id="63"/>
    <w:p>
      <w:pPr>
        <w:spacing w:after="0" w:line="3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two identical Notes (as defined below) in the aggregate amount of $44.3 million which are secured by loan agreements and mortgage and security agreements on certain real property and improvements. The terms of the Notes are through September 1, 2034 and bear interest at SOFR plus 205 basis points and are payable in monthly installments plus interest. We have entered into interest rate swap agreements to fix the interest rate to 4.22%. Included in the balance at December 31, 2024 is $0.5 million of deferred loan costs incurred in the transaction. Refer to Note 6 – Derivative Financial Instruments in the notes to our consolidated financial statements included in Part II, Item 8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entered into certain guarantees in connection with the design, financing and construction of certain facilities as well as loan, working capital and other obligation guarantees for our subsidiaries in Australia, South Africa and our joint ventures. Refer to Note 11 - Debt in the notes to our consolidated financial statements included in Part II,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Retirement Agreement</w:t>
      </w:r>
    </w:p>
    <w:p>
      <w:pPr>
        <w:spacing w:after="0" w:line="27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a non-qualified deferred compensation agreement with our Executive Chairmen and former Chief Executive Officer (“former CEO”). The agreement provides for a lump sum payment upon retirement, no sooner than age 55. As of December 31, 2024, our Executive Chairman had reached age 55 and was eligible to receive the payment upon retirement.</w:t>
      </w:r>
    </w:p>
    <w:p>
      <w:pPr>
        <w:spacing w:after="0" w:line="20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GEO and our Executive Chairman and former CEO, entered into on May 27, 2021, and effective July 1, 2021, an Amended and Restated Executive Retirement Agreement which replaced the prior February 26, 2020 agreement discussed below. Pursuant to the terms of the Amended and Restated Executive Retirement Agreement, upon the date that the Executive Chairman ceases to provide services to GEO, we will pay to the Executive Chairman an amount equal to $3,600,000 (the "2021 Grandfathered Payment") which shall be paid in cash. The Grandfathered Payment shall be credited with interest at a rate of 5% compounded quarterly (the “Grandfathered Earnings Account”). Additionally, at the end of each calendar year provided that our Executive Chairman is still providing services to GEO pursuant to the Executive Chairman Employment Agreement, we will credit an amount equal to $1,000,000 at the end of each calendar year (the “Employment Contributions Account”). The Employment Contributions Account will be credited with interest at the rate of 5% compounded quarterly. Upon the date that the Executive Chairman ceases to provide services to GEO, we will pay the Executive Chairman in one lump sum cash payment each of the 2021 Grandfathered Payment, the Grandfathered Earnings Account and the Employment Contributions Account subject to the six-month delay provided in the Amended and Restated Executive Retirement Agreement. As the Executive Chairman’s retirement payment will no longer be settled with a fixed number of shares of GEO’s common stock (as discussed below under the prior agreement), $3,600,000 has been reclassified from equity to other non-current liabilities in 2021. The balance of the Amended and Restated Executive Retirement Agreement was approximately $12.6 million at December 31, 2024 which is fully funded. Refer to Note 13 - Benefit Plans in the notes to our audited consolidated financial statements included in Part II, Item 8 of this Annual Report on Form 10-K for further information. The following table presents the balance due to the Executive Chairman at the end of each of the next five years under the Amended and Restated Executive Retirement Agreement provided that the Executive Chairman is still providing services to GEO under his Executive Chairman Employment Agreement:</w:t>
      </w:r>
    </w:p>
    <w:p>
      <w:pPr>
        <w:spacing w:after="0" w:line="176"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End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0" w:type="dxa"/>
            <w:vAlign w:val="bottom"/>
          </w:tcPr>
          <w:p>
            <w:pPr>
              <w:spacing w:after="0"/>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0" w:type="dxa"/>
            <w:vAlign w:val="bottom"/>
          </w:tcPr>
          <w:p>
            <w:pPr>
              <w:spacing w:after="0"/>
              <w:rPr>
                <w:sz w:val="1"/>
                <w:szCs w:val="1"/>
                <w:color w:val="auto"/>
              </w:rPr>
            </w:pPr>
          </w:p>
        </w:tc>
      </w:tr>
      <w:tr>
        <w:trPr>
          <w:trHeight w:val="142"/>
        </w:trPr>
        <w:tc>
          <w:tcPr>
            <w:tcW w:w="6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12/31/2026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12/31/2028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12/31/2029</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both"/>
        <w:ind w:right="360" w:firstLine="509"/>
        <w:spacing w:after="0" w:line="282" w:lineRule="auto"/>
        <w:rPr>
          <w:sz w:val="20"/>
          <w:szCs w:val="20"/>
          <w:color w:val="auto"/>
        </w:rPr>
      </w:pPr>
      <w:r>
        <w:rPr>
          <w:rFonts w:ascii="Times New Roman" w:cs="Times New Roman" w:eastAsia="Times New Roman" w:hAnsi="Times New Roman"/>
          <w:sz w:val="18"/>
          <w:szCs w:val="18"/>
          <w:color w:val="auto"/>
        </w:rPr>
        <w:t>We have established several trusts for the purpose of paying the retirement benefit pursuant to the Amended and Restated Executive Retirement Agreement. The trusts were revocable “rabbi trusts” and the assets of the trusts are subject to the claims of our creditors in the event of our insolvency.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GEO’s Secured Notes and Unsecured Notes are fully and unconditionally guaranteed on a joint and several senior unsecured basis (except on a senior secured basis in the case of the Secured Notes) by certain of our wholly owned domestic subsidiaries (the “Subsidiary Guarantors”).</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Summarized financial information is provided for The GEO Group, Inc. (“Parent”) and the Subsidiary Guarantors on a combined basis in accordance with SEC Regulation S-X Rules 3-10 and 13-01. The accounting policies used in the preparation of this summarized financial information are consistent with those elsewhere in the consolidated financial statements of the Company, except that intercompany transactions and balances of the Parent and Subsidiary Guarantor entities with non-guarantor entities have not been eliminated. Intercompany transactions between the Parent and Subsidiary Guarantors have been eliminated and equity in earnings from and investments in non-guarantor subsidiaries have not been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statement of operations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6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revenues</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2,202,285</w:t>
            </w: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2,207,117</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330,684</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81,646</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GEO Group, Inc.</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81,646</w:t>
            </w:r>
          </w:p>
        </w:tc>
      </w:tr>
      <w:tr>
        <w:trPr>
          <w:trHeight w:val="45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Summarized balance sheets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7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438,433</w:t>
            </w: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455,746</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2,999,305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3,028,140</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255,851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354,503</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 (b)</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2,002,284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1,997,130</w:t>
            </w:r>
          </w:p>
        </w:tc>
      </w:tr>
    </w:tbl>
    <w:p>
      <w:pPr>
        <w:spacing w:after="0" w:line="179" w:lineRule="exact"/>
        <w:rPr>
          <w:sz w:val="20"/>
          <w:szCs w:val="20"/>
          <w:color w:val="auto"/>
        </w:rPr>
      </w:pPr>
    </w:p>
    <w:p>
      <w:pPr>
        <w:ind w:left="940" w:hanging="423"/>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$55.9 million and $50.0 million as of December 31, 2024 and 2023, respectively.</w:t>
      </w:r>
    </w:p>
    <w:p>
      <w:pPr>
        <w:spacing w:after="0" w:line="225" w:lineRule="exact"/>
        <w:rPr>
          <w:rFonts w:ascii="Times New Roman" w:cs="Times New Roman" w:eastAsia="Times New Roman" w:hAnsi="Times New Roman"/>
          <w:sz w:val="18"/>
          <w:szCs w:val="18"/>
          <w:color w:val="auto"/>
        </w:rPr>
      </w:pPr>
    </w:p>
    <w:p>
      <w:pPr>
        <w:ind w:left="940" w:hanging="423"/>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to non-guarantor subsidiaries of $46.8 million and $31.5 million as of December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Except as discussed above, and in the notes to our consolidated financial statements included in Part II, Item 8 of this Annual Report on Form 10-K, we do not have any off-balance sheet arrangements.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also exposed to various commitments and contingencies which may have a material adverse effect on our liquidity. See Note 16 – Commitments, Contingencies and Other Matters in the notes to our consolidated financial statements included in Part II,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entered into two interest rate swap agreements in the aggregate notional amount of $44.3 million to fix the interest rate on certain of our variable rate debt to 4.22%. We have designated these interest rate swaps as hedges against changes in the cash flows of two identical promissory notes (the "Notes") which are secured by loan agreements and mortgage and security agreements on certain real property and improvements. We have determined that the swaps have payment, expiration dates, and provisions that coincide with the terms of the Notes and are therefore considered to be effective cash flow hedges. Accordingly, we record the change in fair value of the interest rate swaps as accumulated other comprehensive income (loss), net of applicable taxes. There was no material ineffectiveness for the period presented. We do not expect to enter into any transactions during the next twelve months which would result in reclassification into earnings or losses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5" w:name="page66"/>
    <w:bookmarkEnd w:id="65"/>
    <w:p>
      <w:pPr>
        <w:spacing w:after="0" w:line="3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associated with these swaps currently reported in accumulated other comprehensive income (loss). Refer to Note 11 - Debt and Note 6 - Derivative Financial Instruments in the notes to our audited consolidated financial statements included in Part II, Item 8 of this Annual Report on Form 10-K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restricted cash and cash equivalents as of December 31, 2024 was $125.9 million, compared to $159.9 million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was impacted by the following:</w:t>
      </w:r>
    </w:p>
    <w:p>
      <w:pPr>
        <w:spacing w:after="0" w:line="20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2024 and 2023 was $242.2 million and $277.8 million, respectively. Net cash provided by operating activities in 2024 was positively impacted by non-cash expenses such as depreciation and amortization, deferred tax provision (benefit), amortization of debt issuance costs, discount and/or premium and other non-cash interest, stock-based compensation expense, net loss on asset divestiture/impairment, loss on extinguishment of debt and dividends received from our unconsolidated joint venture. Equity in earnings of affiliates negatively impacted cash along with realized/unrealized gain on investments. Changes in accounts receivable, prepaid expenses and other assets increased in total by a net of $7.6 million, representing a negative impact on cash. The increase was primarily driven by the timing of billings and collections. Changes in accounts payable, accrued expenses and other liabilities decreased by $21.8 million which negatively impacted cash. The decrease was primarily due to the timing of payments.</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2023 was positively impacted by non-cash expenses such as depreciation and amortization, deferred tax provision (benefit), amortization of debt issuance costs, discount and/or premium and other non-cash interest, stock-based compensation expense, loss on sale/disposal of property and equipment, loss on extinguishment of debt and dividends received from our unconsolidated joint venture. Equity in earnings of affiliates negatively impacted cash along with a net gain on disposition of assets. Changes in accounts receivable, prepaid expenses and other assets decreased in total by a net of $11.7 million, representing a positive impact on cash. The decrease was primarily driven by the timing of billings and collections. Changes in accounts payable, accrued expenses and other liabilities increased by $8.1 million which positively impacted cash. The increase was primarily due to the timing of payments.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$101.7 million in 2024 was primarily the result of capital expenditures of $78.7 million and purchases of marketable securities of $33.1 million offset by proceeds from sale of marketable securities of $10.1 million. Net cash used in investing activities of $53.4 million in 2023 was primarily the result of capital expenditures of $73.0 million offset by proceeds from sale of real estate and other assets of $19.6 million.</w:t>
      </w:r>
    </w:p>
    <w:p>
      <w:pPr>
        <w:spacing w:after="0" w:line="180"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in 2024 was $163.8 million compared to net cash used in financing activities of $208.1 million in 2023. Net cash used in financing activities during 2024 was primarily the result of proceeds from long-term debt of $1,720.5 million, proceeds from borrowings on revolver of $110.0 million, payments on long-term debt of $1,926.8 million, payments for call premiums of $35.6 million, debt issuance costs of $35.7 million and taxes paid related to net share settlement of equity awards of $9.7 million. Net cash used in financing activities in 2023 reflects payments of $208.4 million on long term debt offset by $5.8 million of proceeds from the sale of treasury shares. We also paid $2.4 million of debt issuance costs and paid $3.4 million for taxes related to net share settlements of equity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inflation, in general, did have a negative impact but did not have a material effect on our results of operations during 2024 and 2023. While some of our contracts include provisions for inflationary indexing, inflation could have a substantial adverse effect on our results of operations in the future to the extent that wages and salaries, which represent our largest recurring/fixed expense, increase at a faster rate than the per diem or fixed rates received by us for our management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EBITDA is defined as net income adjusted by adding provisions for income tax, interest expense, net of interest income and depreciation and amortization. Adjusted EBITDA is defined as EBITDA adjusted for net loss (gain) on asset divestitures, pre-tax, net loss attributable to non-controlling interests, stock-based compensation expenses, pre-tax, litigation costs and settlements, pre-tax, employee restructuring expenses, pre-tax, close-out expenses, pre-tax, litigation and cost settlements, pre-tax, start-up expenses, pre-tax, transaction related expenses, pre-tax, other non-cash revenue and expenses, pre-tax, and certain other adjustments as defined from time to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nature of our business as a real estate owner and operator,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to EBITDA and Adjusted EBITDA for the years ended December 31, 2024 and 2023 is as follows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31,896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107,183</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Add:</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w:t>
            </w: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36,267</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 of interest income **</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268,474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219,032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126,220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125,784</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436,793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488,266</w:t>
            </w:r>
          </w:p>
        </w:tc>
        <w:tc>
          <w:tcPr>
            <w:tcW w:w="0" w:type="dxa"/>
            <w:vAlign w:val="bottom"/>
          </w:tcPr>
          <w:p>
            <w:pPr>
              <w:spacing w:after="0"/>
              <w:rPr>
                <w:sz w:val="1"/>
                <w:szCs w:val="1"/>
                <w:color w:val="auto"/>
              </w:rPr>
            </w:pPr>
          </w:p>
        </w:tc>
      </w:tr>
      <w:tr>
        <w:trPr>
          <w:trHeight w:val="216"/>
        </w:trPr>
        <w:tc>
          <w:tcPr>
            <w:tcW w:w="5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 (Subtract):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(gain) on asset divestitures, pre-tax</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 pre-tax</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18,107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15,065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 and settlements, pre-tax</w:t>
            </w: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restructuring expenses, pre-tax</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Start-up expenses, pre-tax</w:t>
            </w: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ATM equity program expenses, pre-tax</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Close-out expenses, pre-tax</w:t>
            </w: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expenses, pre-tax</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revenue &amp; expenses, pre-tax</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(1,319 )</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463,489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507,177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-24765</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income tax provision on equity in earnings of affiliates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loss on extinguishment of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following discussion of our future performance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 Please refer to “Item 1A. Risk Factors” in this Annual Report on Form 10-K, the “Forward-Looking Statements — Safe Harbor,” as well as the other disclosures contained in this Annual Report on Form 10-K,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spacing w:after="0" w:line="189" w:lineRule="exact"/>
        <w:rPr>
          <w:sz w:val="20"/>
          <w:szCs w:val="20"/>
          <w:color w:val="auto"/>
        </w:rPr>
      </w:pPr>
    </w:p>
    <w:p>
      <w:pPr>
        <w:ind w:right="300" w:firstLine="599"/>
        <w:spacing w:after="0" w:line="258" w:lineRule="auto"/>
        <w:rPr>
          <w:sz w:val="20"/>
          <w:szCs w:val="20"/>
          <w:color w:val="auto"/>
        </w:rPr>
      </w:pPr>
      <w:r>
        <w:rPr>
          <w:rFonts w:ascii="Times New Roman" w:cs="Times New Roman" w:eastAsia="Times New Roman" w:hAnsi="Times New Roman"/>
          <w:sz w:val="18"/>
          <w:szCs w:val="18"/>
          <w:color w:val="auto"/>
        </w:rPr>
        <w:t>We continue to be encouraged by the current landscape of growth opportunities. We are preparing for what we believe is an unprecedented opportunity to help the federal government meet its expanded immigration enforcement priorities. We are taking several important steps to meet this opportunity, including making a previously announced $70 million investment in capital expenditures to strengthen our capabilities to deliver expanded detention capacity, secure transportation, and electronic monitoring and related services to U.S. Immigration and Customs Enforcement and the federal government. Additionally, in the first weeks of the new Administration, President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7" w:name="page68"/>
    <w:bookmarkEnd w:id="67"/>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Trump issued an Executive Order reversing the prior Administration's Executive Order that had directed the U.S. Attorney General to not renew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Justice contracts with privately-operated criminal detention facilities.</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positive trends in the industry may be offset by several factors, including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Operating expenses consist of those expenses incurred in the operation and management of our contracts to provide services to our governmental clients. Labor and related costs represented approximately 69% and 66% of our operating expenses in 2024 and 2023, respectively. Additional significant operating expenses include food, utilities and inmate medical costs. In 2024 and 2023, operating expenses totaled approximately 73% and 72% of our consolidated revenues, respectively. Our operating expenses as a percentage of revenue in 2025 will be impacted by the opening of any new or existing facilities as a result of the cost of transitioning and/or start-up operations related to a facility opening. During 2025, we will incur carrying costs for facilities that were vacant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corporate management salaries and benefits, professional fees and other administrative expenses. For the years ended December 31, 2024 and 2023, general and administrative expenses totaled approximately 9% and 8% of our consolidated revenues, respectively. We expect general and administrative expenses as a percentage of revenue in 2025 to remain consistent or decrease as a result of cost savings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Idle Facilities</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our Secure Services segment, we are currently marketing 10,486 vacant beds with a net book value of approximately $260.6 million at seven of our idle facilities to potential customers. In our Reentry Services segment, we are currently marketing 1,189 vacant beds with a net book value of approximately $26.8 million at four of our idle facilities to potential customers. The combined annual carrying cost of these idle facilities in 2024 is estimated to be $33.0 million, including depreciation expense of $16.8 million. With the exception of a contract yet to be activated for one of our secure facilities,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eleven idle facilities in our Secure Services and Reentry Services segments were to be activated using our Secure Services and Reentry Services average per diem rate in 2024 (calculated as revenue divided by the number of mandays) and based on the average occupancy rate in our facilities for 2024, we would expect to receive annual incremental revenue of approximately $377 million and an increase in annual earnings per share of approximately $0.36 to $0.40 per share based on our average operating margin.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Safe Harbor</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340" w:lineRule="exact"/>
        <w:rPr>
          <w:sz w:val="20"/>
          <w:szCs w:val="20"/>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build and/or open facilities as planned, successfully manage such facilities and successfully integrate such facilities into our operations without substantial additional costs;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ind w:left="503" w:right="8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estimate the government’s level of utilization of public-private partnerships for secure services and the impact of any modifications or reductions by our government customers of their utilization of public-private partnerships;</w:t>
      </w:r>
    </w:p>
    <w:p>
      <w:pPr>
        <w:spacing w:after="0" w:line="53"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project the size and growth of public-private partnerships for secure services in the U.S. and internationally and our ability to capitalize on opportunities for public-private partnerships;</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spacing w:after="0" w:line="67"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respond to delays encountered by states pursuing public-private partnerships for secure services and cost savings initiatives implemented by a number of states;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activate the inactive beds at our idle facilities;</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occupancy rates at our facilities and the impact of fluctuations in occupancy levels or participants in ISAP on our revenues and profitability;</w:t>
      </w:r>
    </w:p>
    <w:p>
      <w:pPr>
        <w:spacing w:after="0" w:line="53"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diversify and grow our secure services, reentry, community-based services, monitoring services, evidence-based supervision and treatment programs and secure transportation services businesses;</w:t>
      </w:r>
    </w:p>
    <w:p>
      <w:pPr>
        <w:spacing w:after="0" w:line="53" w:lineRule="exact"/>
        <w:rPr>
          <w:rFonts w:ascii="Times New Roman" w:cs="Times New Roman" w:eastAsia="Times New Roman" w:hAnsi="Times New Roman"/>
          <w:sz w:val="18"/>
          <w:szCs w:val="18"/>
          <w:color w:val="auto"/>
        </w:rPr>
      </w:pPr>
    </w:p>
    <w:p>
      <w:pPr>
        <w:ind w:left="503" w:right="520" w:hanging="503"/>
        <w:spacing w:after="0" w:line="266"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spacing w:after="0" w:line="6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new project development capital given the often short-term nature of the customers’ commitment to use newly developed facilities;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long-term earnings visibility;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conduct our operations in the United Kingdom and South Africa through joint ventures;</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instability of foreign exchange rates, exposing us to currency risks in Australia, the United Kingdom, and South Africa, or other countries in which we may choose to conduct our business;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unreimbursed labor rates;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rising medical costs;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costs and expenses relating to ongoing litigation arising from our operations;</w:t>
      </w:r>
    </w:p>
    <w:p>
      <w:pPr>
        <w:spacing w:after="0" w:line="117" w:lineRule="exact"/>
        <w:rPr>
          <w:rFonts w:ascii="Times New Roman" w:cs="Times New Roman" w:eastAsia="Times New Roman" w:hAnsi="Times New Roman"/>
          <w:sz w:val="18"/>
          <w:szCs w:val="18"/>
          <w:color w:val="auto"/>
        </w:rPr>
      </w:pPr>
    </w:p>
    <w:p>
      <w:pPr>
        <w:ind w:left="503" w:right="180" w:hanging="503"/>
        <w:spacing w:after="0" w:line="266"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an appeal to reverse the recent unfavorable verdict and judgments in the retrial of the lawsuits in the State of Washington, our company being required to record an accrual for the judgments in the future, and our ability to defend similar other pending litigation and the effect such litigation may have on our company;</w:t>
      </w:r>
    </w:p>
    <w:p>
      <w:pPr>
        <w:spacing w:after="0" w:line="6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on an annual basis, loss reserves related to general liability, workers’ compensation and automobile liability claims;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fulfill our debt service obligations and its impact on our liquidity;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deleverage and repay, refinance or otherwise address our debt maturities in an amount or on the timeline we expect, or at all;</w:t>
      </w:r>
    </w:p>
    <w:p>
      <w:pPr>
        <w:spacing w:after="0" w:line="117" w:lineRule="exact"/>
        <w:rPr>
          <w:rFonts w:ascii="Times New Roman" w:cs="Times New Roman" w:eastAsia="Times New Roman" w:hAnsi="Times New Roman"/>
          <w:sz w:val="18"/>
          <w:szCs w:val="18"/>
          <w:color w:val="auto"/>
        </w:rPr>
      </w:pPr>
    </w:p>
    <w:p>
      <w:pPr>
        <w:ind w:left="503" w:right="90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current indebtedness levels, we may still incur more indebtedness, which could further exacerbate the risks relating to our indebtedness;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the indentures governing the Secured Notes and the Unsecured Notes and the Credit Agreement impose significant operating and financial restrictions which may adversely affect our ability to operate our business;</w:t>
      </w:r>
    </w:p>
    <w:p>
      <w:pPr>
        <w:spacing w:after="0" w:line="53"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indebtedness will require a significant amount of cash and our ability to generate cash depends on many factors beyond our control and we may not be able to generate the cash required to service our indebtedness;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363" w:right="339" w:bottom="1440" w:gutter="0" w:footer="0" w:header="0"/>
        </w:sectPr>
      </w:pPr>
    </w:p>
    <w:bookmarkStart w:id="69" w:name="page70"/>
    <w:bookmarkEnd w:id="69"/>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portions of our senior indebtedness have floating interest rates, an increase in interest rates would adversely affect cash flows;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distributions from our subsidiaries to make payments on our indebtedness and these distributions may not be made;</w:t>
      </w:r>
    </w:p>
    <w:p>
      <w:pPr>
        <w:spacing w:after="0" w:line="11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satisfy our repurchase obligations in the event of a change of control because the terms of our indebtedness or lack of funds may prevent us from doing so;</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Unsecured Notes and the guarantees on the Unsecured Notes will be effectively subordinated to our and the guarantors' senior secured indebtedness and structurally subordinated to the indebtedness of our subsidiaries that do not guarantee the Unsecured Notes;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collateral may not be sufficient to satisfy our obligations under the Secured Notes;</w:t>
      </w:r>
    </w:p>
    <w:p>
      <w:pPr>
        <w:spacing w:after="0" w:line="11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any potential sales of additional Company-owned assets and businesses on commercially advantageous terms on a timely basis, or at all;</w:t>
      </w:r>
    </w:p>
    <w:p>
      <w:pPr>
        <w:spacing w:after="0" w:line="53"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6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conditions in the capital markets could prevent us from obtaining future financing on desirable terms, which could materially harm our business;</w:t>
      </w:r>
    </w:p>
    <w:p>
      <w:pPr>
        <w:spacing w:after="0" w:line="53" w:lineRule="exact"/>
        <w:rPr>
          <w:rFonts w:ascii="Times New Roman" w:cs="Times New Roman" w:eastAsia="Times New Roman" w:hAnsi="Times New Roman"/>
          <w:sz w:val="18"/>
          <w:szCs w:val="18"/>
          <w:color w:val="auto"/>
        </w:rPr>
      </w:pPr>
    </w:p>
    <w:p>
      <w:pPr>
        <w:jc w:val="both"/>
        <w:ind w:left="503" w:right="180" w:hanging="503"/>
        <w:spacing w:after="0" w:line="266"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spacing w:after="0" w:line="67"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state requirements for capital investment or locate land for the development of new facilities, which could adversely affect our results of operations and future growth;</w:t>
      </w:r>
    </w:p>
    <w:p>
      <w:pPr>
        <w:spacing w:after="0" w:line="53" w:lineRule="exact"/>
        <w:rPr>
          <w:rFonts w:ascii="Times New Roman" w:cs="Times New Roman" w:eastAsia="Times New Roman" w:hAnsi="Times New Roman"/>
          <w:sz w:val="18"/>
          <w:szCs w:val="18"/>
          <w:color w:val="auto"/>
        </w:rPr>
      </w:pPr>
    </w:p>
    <w:p>
      <w:pPr>
        <w:ind w:left="503" w:right="66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reduce the U.S. federal deficit could adversely affect our liquidity, results of operations and financial condition;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budgetary constraints may have a material adverse impact on us;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contracts may adversely affect the profitability of our business;</w:t>
      </w:r>
    </w:p>
    <w:p>
      <w:pPr>
        <w:spacing w:after="0" w:line="117"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government appropriations, which may not be made on a timely basis or at all and may be adversely impacted by budgetary constraints at the federal, state, local and foreign government levels;</w:t>
      </w:r>
    </w:p>
    <w:p>
      <w:pPr>
        <w:spacing w:after="0" w:line="53" w:lineRule="exact"/>
        <w:rPr>
          <w:rFonts w:ascii="Times New Roman" w:cs="Times New Roman" w:eastAsia="Times New Roman" w:hAnsi="Times New Roman"/>
          <w:sz w:val="18"/>
          <w:szCs w:val="18"/>
          <w:color w:val="auto"/>
        </w:rPr>
      </w:pPr>
    </w:p>
    <w:p>
      <w:pPr>
        <w:ind w:left="503" w:right="80" w:hanging="503"/>
        <w:spacing w:after="0" w:line="261"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may negatively impact our ability to retain existing contracts and obtain new contracts;</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start-up and operating costs on new contracts before receiving related revenues, which may impact our cash flows and may not be recouped;</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extensive government regulation and applicable contractual requirements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community opposition to facility locations, which may adversely affect our ability to obtain new contracts;</w:t>
      </w:r>
    </w:p>
    <w:p>
      <w:pPr>
        <w:spacing w:after="0" w:line="117" w:lineRule="exact"/>
        <w:rPr>
          <w:rFonts w:ascii="Times New Roman" w:cs="Times New Roman" w:eastAsia="Times New Roman" w:hAnsi="Times New Roman"/>
          <w:sz w:val="18"/>
          <w:szCs w:val="18"/>
          <w:color w:val="auto"/>
        </w:rPr>
      </w:pPr>
    </w:p>
    <w:p>
      <w:pPr>
        <w:ind w:left="503" w:right="860" w:hanging="503"/>
        <w:spacing w:after="0" w:line="282"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expose us to various liabilities for which we may not have adequate insurance, including legal claims and proceedings, and may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the insurance levels required by our government contracts;</w:t>
      </w:r>
    </w:p>
    <w:p>
      <w:pPr>
        <w:spacing w:after="0" w:line="22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363" w:right="359" w:bottom="1440" w:gutter="0" w:footer="0" w:header="0"/>
        </w:sectPr>
      </w:pPr>
    </w:p>
    <w:bookmarkStart w:id="70" w:name="page71"/>
    <w:bookmarkEnd w:id="70"/>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rising general insurance costs;</w:t>
      </w:r>
    </w:p>
    <w:p>
      <w:pPr>
        <w:spacing w:after="0" w:line="117"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 outbreaks, global political events and other serious catastrophic events could disrupt operations and otherwise materially adversely affect our business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could materially adversely affect our financial condition and results of operations;</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certain of our operations through joint ventures or consortiums, which may lead to disagreements with our joint venture partners or business partners and adversely affect our interest in the joint ventures or consortiums;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senior management and our ability to attract and retain sufficient qualified personnel;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may be materially adversely affected by inflation;</w:t>
      </w:r>
    </w:p>
    <w:p>
      <w:pPr>
        <w:spacing w:after="0" w:line="11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risks associated with the ownership of real estate may increase costs, expose us to uninsured losses and adversely affect our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facility construction and development activities may increase our costs related to such activities;</w:t>
      </w:r>
    </w:p>
    <w:p>
      <w:pPr>
        <w:spacing w:after="0" w:line="11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rising cost and increasing difficulty of obtaining adequate levels of surety credit on favorable terms could adversely affect our operating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our relationship with our employees could adversely affect our business, financial condition or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delay or failure of the provision of our services or information systems could adversely affect our business;</w:t>
      </w:r>
    </w:p>
    <w:p>
      <w:pPr>
        <w:spacing w:after="0" w:line="117" w:lineRule="exact"/>
        <w:rPr>
          <w:rFonts w:ascii="Times New Roman" w:cs="Times New Roman" w:eastAsia="Times New Roman" w:hAnsi="Times New Roman"/>
          <w:sz w:val="18"/>
          <w:szCs w:val="18"/>
          <w:color w:val="auto"/>
        </w:rPr>
      </w:pPr>
    </w:p>
    <w:p>
      <w:pPr>
        <w:ind w:left="503" w:right="400" w:hanging="503"/>
        <w:spacing w:after="0" w:line="282"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data privacy, security and exchange legal requirements could have a material adverse impact on our business, financial position, results of operations, cash flows and reputation;</w:t>
      </w:r>
    </w:p>
    <w:p>
      <w:pPr>
        <w:spacing w:after="0" w:line="53" w:lineRule="exact"/>
        <w:rPr>
          <w:rFonts w:ascii="Times New Roman" w:cs="Times New Roman" w:eastAsia="Times New Roman" w:hAnsi="Times New Roman"/>
          <w:sz w:val="18"/>
          <w:szCs w:val="18"/>
          <w:color w:val="auto"/>
        </w:rPr>
      </w:pPr>
    </w:p>
    <w:p>
      <w:pPr>
        <w:ind w:left="503" w:right="280" w:hanging="503"/>
        <w:spacing w:after="0" w:line="266"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technological changes could cause our electronic monitoring products and technology, including our recently launched </w:t>
      </w:r>
      <w:r>
        <w:rPr>
          <w:rFonts w:ascii="Times New Roman" w:cs="Times New Roman" w:eastAsia="Times New Roman" w:hAnsi="Times New Roman"/>
          <w:sz w:val="18"/>
          <w:szCs w:val="18"/>
          <w:color w:val="111111"/>
        </w:rPr>
        <w:t>BI VeriWatch™</w:t>
      </w:r>
      <w:r>
        <w:rPr>
          <w:rFonts w:ascii="Times New Roman" w:cs="Times New Roman" w:eastAsia="Times New Roman" w:hAnsi="Times New Roman"/>
          <w:sz w:val="18"/>
          <w:szCs w:val="18"/>
          <w:color w:val="auto"/>
        </w:rPr>
        <w:t xml:space="preserve"> wrist-worn device, to become obsolete or require the redesign of our electronic monitoring products, which could have a material adverse effect on our business;</w:t>
      </w:r>
    </w:p>
    <w:p>
      <w:pPr>
        <w:spacing w:after="0" w:line="67" w:lineRule="exact"/>
        <w:rPr>
          <w:rFonts w:ascii="Times New Roman" w:cs="Times New Roman" w:eastAsia="Times New Roman" w:hAnsi="Times New Roman"/>
          <w:sz w:val="18"/>
          <w:szCs w:val="18"/>
          <w:color w:val="auto"/>
        </w:rPr>
      </w:pPr>
    </w:p>
    <w:p>
      <w:pPr>
        <w:jc w:val="both"/>
        <w:ind w:left="503" w:right="80" w:hanging="503"/>
        <w:spacing w:after="0" w:line="266"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negative changes in the level of acceptance of or resistance to the use of electronic monitoring products, including our recently launched </w:t>
      </w:r>
      <w:r>
        <w:rPr>
          <w:rFonts w:ascii="Times New Roman" w:cs="Times New Roman" w:eastAsia="Times New Roman" w:hAnsi="Times New Roman"/>
          <w:sz w:val="18"/>
          <w:szCs w:val="18"/>
          <w:color w:val="111111"/>
        </w:rPr>
        <w:t xml:space="preserve">BI VeriWatch™ </w:t>
      </w:r>
      <w:r>
        <w:rPr>
          <w:rFonts w:ascii="Times New Roman" w:cs="Times New Roman" w:eastAsia="Times New Roman" w:hAnsi="Times New Roman"/>
          <w:sz w:val="18"/>
          <w:szCs w:val="18"/>
          <w:color w:val="000000"/>
        </w:rPr>
        <w:t>wrist-worn device, and services by governmental customers could have a material adverse effect on our business, financial</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condition and results of operations;</w:t>
      </w:r>
    </w:p>
    <w:p>
      <w:pPr>
        <w:spacing w:after="0" w:line="67" w:lineRule="exact"/>
        <w:rPr>
          <w:rFonts w:ascii="Times New Roman" w:cs="Times New Roman" w:eastAsia="Times New Roman" w:hAnsi="Times New Roman"/>
          <w:sz w:val="18"/>
          <w:szCs w:val="18"/>
          <w:color w:val="auto"/>
        </w:rPr>
      </w:pPr>
    </w:p>
    <w:p>
      <w:pPr>
        <w:jc w:val="both"/>
        <w:ind w:left="503" w:right="240" w:hanging="503"/>
        <w:spacing w:after="0" w:line="266"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 parties to manufacture and supply quality infrastructure components for our electronic monitoring products. If our suppliers cannot provide the components or services we require in a timely manner and/or with such quality as we expect, our ability to market and sell our electronic monitoring products and services could be harmed;</w:t>
      </w:r>
    </w:p>
    <w:p>
      <w:pPr>
        <w:spacing w:after="0" w:line="67"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acquire, protect or maintain our intellectual property and patents in the electronic monitoring space could harm our ability to compete or grow;</w:t>
      </w:r>
    </w:p>
    <w:p>
      <w:pPr>
        <w:spacing w:after="0" w:line="53"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spacing w:after="0" w:line="67"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spacing w:after="0" w:line="67" w:lineRule="exact"/>
        <w:rPr>
          <w:rFonts w:ascii="Times New Roman" w:cs="Times New Roman" w:eastAsia="Times New Roman" w:hAnsi="Times New Roman"/>
          <w:sz w:val="18"/>
          <w:szCs w:val="18"/>
          <w:color w:val="auto"/>
        </w:rPr>
      </w:pPr>
    </w:p>
    <w:p>
      <w:pPr>
        <w:jc w:val="both"/>
        <w:ind w:left="503" w:right="120" w:hanging="503"/>
        <w:spacing w:after="0" w:line="312" w:lineRule="auto"/>
        <w:tabs>
          <w:tab w:leader="none" w:pos="50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31"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acquisitions or dispositions, and to successfully complete such acquisitions or dispositions;</w:t>
      </w:r>
    </w:p>
    <w:p>
      <w:pPr>
        <w:spacing w:after="0" w:line="117" w:lineRule="exact"/>
        <w:rPr>
          <w:rFonts w:ascii="Times New Roman" w:cs="Times New Roman" w:eastAsia="Times New Roman" w:hAnsi="Times New Roman"/>
          <w:sz w:val="18"/>
          <w:szCs w:val="18"/>
          <w:color w:val="auto"/>
        </w:rPr>
      </w:pPr>
    </w:p>
    <w:p>
      <w:pPr>
        <w:ind w:left="503" w:right="160" w:hanging="503"/>
        <w:spacing w:after="0" w:line="266" w:lineRule="auto"/>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 rules can adversely affect our results of operations and financial position;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corporate social responsibility;</w:t>
      </w:r>
    </w:p>
    <w:p>
      <w:pPr>
        <w:spacing w:after="0" w:line="22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363" w:right="359" w:bottom="1440" w:gutter="0" w:footer="0" w:header="0"/>
        </w:sectPr>
      </w:pPr>
    </w:p>
    <w:bookmarkStart w:id="71" w:name="page72"/>
    <w:bookmarkEnd w:id="71"/>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vary substantially;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growth in the utilization of detention beds by the federal government may not be realized, which could negatively impact our stock price;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or securities convertible into common stock could adversely affect the market price of our common stock and may be dilutive to current shareholders;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anti-takeover protections applicable to us may make an acquisition of us more difficult and reduce the market value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Section 404 of the Sarbanes-Oxley Act of 2002 could have an adverse effect on our business and the trading price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debt securities that could limit our operating flexibility and negatively affect the value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anti-bribery and anti-corruption laws could subject us to penalties and other adverse consequences; and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contained in our filings with the SEC, including, but not limited to, those detailed in this Annual Report on Form 10-K, our Quarterly Reports on Form 10-Q and our Current Reports on Form 8-K filed with the SEC.</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changes in interest rates with respect to our Credit Agreement. Payments under the Credit Agreement are indexed to a variable interest rate. Based on borrowings outstanding as of December 31, 2024 under the Credit Agreement of $430.8 million, for every one percent increase in the interest rate applicable to the Credit Agreement, our total annual interest expense would increase by approximately $4.3 million.</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certain interest rate swap arrangements for hedging purposes, fixing the interest rate on certain of our variable rate debt.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spacing w:after="0" w:line="1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risks related to fluctuations in foreign currency exchange rates between the U.S. Dollar, the Australian Dollar, the South African Rand and the British Pound currency exchange rates. Based upon our foreign currency exchange rate exposure as of December 31, 2024 with respect to our international operations, every 10 percent change in historical currency rates would have a $8.0 million effect on our financial position and a $1.0 million impact on our results of operations over the next fiscal year.</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3" w:right="3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RESPONSIBILITY FOR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15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They include amounts based on judgments and estimates.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Representations in the consolidated financial statements and the fairness and integrity of such statements are the responsibility of management. In order to meet management’s responsibility, the Company maintains a system of internal controls and procedures and a program of internal audits designed to provide reasonable assurance that our assets are controlled and safeguarded, that transactions are executed in accordance with management’s authorization and properly recorded, and that accounting records may be relied upon in the preparation of financial statements.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audited by Grant Thornton LLP, independent registered public accountants, whose appointment by our Audit and Finance Committee was ratified by our shareholders. Their report, which is included in this Form 10-K, expresses an opinion as to whether management’s consolidated financial statements present fairly in all material respects, the Company's financial position, results of operations and cash flows for each of the three years in the period ended December 31, 2024 in conformity with accounting principles generally accepted in the United States of America. The effectiveness of our internal control over financial reporting as of December 31, 2024 has also been audited by Grant Thornton LLP, independent registered public accountants, as stated in their report which is included in this Form 10-K. Their audits were conducted in accordance with the standards of the Public Company Accounting Oversight Board (United States).</w:t>
      </w:r>
    </w:p>
    <w:p>
      <w:pPr>
        <w:spacing w:after="0" w:line="18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Audit and Finance Committee of the Board of Directors meets periodically with representatives of management, the independent registered public accountants and our internal auditors to review matters relating to financial reporting, internal accounting controls and auditing. Both the internal auditors and the independent registered public accountants have unrestricted access to the Audit and Finance Committee to discuss the results of their examinations.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David Donahue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 Suchinski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The Company’s internal control over financial reporting is a process designed under the supervision of the Company’s Chief Executive Officer and Chief Financial Officer that: (i) pertains to the maintenance of records that, in reasonable detail, accurately and fairly reflect the transactions and dispositions of the Company’s assets; (ii) provides reasonable assurance that transactions are recorded as necessary to permit preparation of financial statements for external reporting in accordance with accounting principles generally accepted in the United States, and that receipts and expenditures are being made only in accordance with authorization of the Company’s management and directors; and (iii) provides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the Company’s internal control over financial reporting as of December 31, 2024. In making its assessment of internal control over financial reporting, management used the criteria set forth in the Internal Control - Integrated Framework issued by the 2013 Committee of Sponsoring Organizations of the Treadway Commission ("COSO") (the "2013 Internal Control - Integrated Framework").</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with the participation of its Chief Executive Officer and Chief Financial Officer, its internal control over financial reporting as of December 31, 2024, based on the 2013 Internal Control — Integrated Framework. Based on this evaluation, the Company’s management concluded that as of December 31, 2024, its internal control over financial reporting is effective in providing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Grant Thornton LLP, the independent registered public accounting firm that audited the financial statements included in this Annual Report on Form 10-K, has issued an attestation report on our internal control over financial reporting as of December 31,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4" w:name="page75"/>
    <w:bookmarkEnd w:id="7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GEO Group, Inc. (a Florida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issued by COSO. We also have audited, in accordance with the standards of the Public Company Accounting Oversight Board (United States) (“PCAOB”), the consolidated financial statements of the Company as of and for the year ended December 31, 2024, and our report dated February 28, 2025, expressed an unqualified opinion on those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75" w:name="page76"/>
    <w:bookmarkEnd w:id="7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GEO Group Inc. (a Florida corporation) and subsidiaries (the “Company”) as of December 31, 2024 and 2023, the related consolidated statements of operations, comprehensive income, shareholders’ equity, and cash flows for each of the three years in the period ended December 31, 2024 , and the related notes and financial statement schedule included under Item 15(a)(2)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31,2024, in conformity with accounting principles generally accepted in the United States of America</w:t>
      </w:r>
      <w:r>
        <w:rPr>
          <w:rFonts w:ascii="Arial" w:cs="Arial" w:eastAsia="Arial" w:hAnsi="Arial"/>
          <w:sz w:val="16"/>
          <w:szCs w:val="16"/>
          <w:color w:val="auto"/>
        </w:rPr>
        <w:t>.</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28, 2025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 and Related Expenses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further in Note 1 to the consolidated financial statements, the Company self-insures, up to certain policy-specified limits, certain risks related to general and workers’ compensation liability costs. The estimated cost of claims under these self-insurance programs is estimated and accrued as the claims are incurred (although actual settlement of the claims may not be made until future periods) and may subsequently be revised based on developments relating to such claims. We identified self-insurance reserves and related expenses (“self-insurance”) as a critical audit matter, specifically the reserves and related expenses related to the Company’s estimate for unpaid losses and projected ultimate losses. The principal considerations for our determination that self-insurance reserves and related expenses for unpaid losses and projected ultimate losses is a critical audit matter are that the accrual for self-insurance has higher risk of estimation uncertainty due to the loss development factors, including the frequency and severity of claims, and inherent assumptions in actuarial methods used in determining</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6" w:name="page77"/>
    <w:bookmarkEnd w:id="7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required reserves. The estimation uncertainty and complexity of the actuarial methods utilized involved especially subjective auditor judgment and an increased extent of effort, including the need to involve an auditor-engaged actuarial specialist. Our audit procedures related to the self-insurance reserves included the following, among others:</w:t>
      </w:r>
    </w:p>
    <w:p>
      <w:pPr>
        <w:spacing w:after="0" w:line="108" w:lineRule="exact"/>
        <w:rPr>
          <w:sz w:val="20"/>
          <w:szCs w:val="20"/>
          <w:color w:val="auto"/>
        </w:rPr>
      </w:pPr>
    </w:p>
    <w:p>
      <w:pPr>
        <w:ind w:left="1020" w:hanging="503"/>
        <w:spacing w:after="0" w:line="25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tested the operating effectiveness of key internal controls over financial reporting relating to self-insurance, including, but not limited to controls that (i) validate that claims were reported and submitted accurately and timely, (ii) validate that internal claims data was reconciled to claims data maintained by the third-party administrator and submitted to the Company’s actuary and (iii) validate management’s process and review of the third-party actuary report, including, but not limited to controls over management’s review of the relevance, adequacy and appropriateness of the data, assumptions, valuation methods, and mathematical accuracy used to determine the required reserves as of the reporting date.</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an auditor-engaged actuarial specialist in evaluating management’s methods and assumptions used in the actuarial study.</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analytics that include a review of prior projections to current actual results to evaluate the reasonableness of changes in estimated ultimate losses.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reconciled claims data maintained by the third-party administrator to the claims data submitted to the Company’s actuary used in the development of the loss triangles and selecting loss development factors.</w:t>
      </w:r>
    </w:p>
    <w:p>
      <w:pPr>
        <w:spacing w:after="0" w:line="53"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underlying claims and reviewed the information utilized by management such as insurance claims and legal records to (i) test management’s estimation process to determine if the reserve was reasonable and (ii) test the accuracy of the significant claim data attributes.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certain idle facilities for impairment</w:t>
      </w:r>
    </w:p>
    <w:p>
      <w:pPr>
        <w:spacing w:after="0" w:line="3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property and equipment, net of approximately $1.9 billion as of December 31, 2024, which includes approximately $287.5 million related to 11 idle facilities. As described further in Note 1 to the consolidated financial statements, the Company tests idle facilities for impairment upon notification that the facilities will no longer be utilized by the customer. In addition, the Company performs an impairment analysis for each of the facilities that have remained idle. The estimates of recoverability are based on projected undiscounted cash flows associated with actual marketing efforts, and in some instances, third-party appraisals or, in other instances, projected undiscounted cash flows that are comparable to historical cash flows from management contracts at similar facilities and sensitivity analyses that consider reductions to such cash flows. When the estimated undiscounted cash flows associated with the asset are less than their carrying value, an impairment is recognized as the difference between the carrying value of the asset and its fair value. We identified management’s evaluation of idle facilities for impairment as a critical audit matter.</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principal consideration for our determination that management’s evaluation of the selected idle facilities for impairment is a critical audit matter is the higher risk of estimation uncertainty due to the subjective nature of management’s estimates used in the projected undiscounted cash flows. These estimates are particularly sensitive to the assumption as to whether the Company will obtain contracts to utilize idle facilities or be able to sell the facilities in the future, which can be affected by expectations about market developments and public policy as well as management’s intent to hold and operate each facility over the term and in the manner assumed in the analysis.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evaluation of idle facilities for impairment included the following, among others:</w:t>
      </w:r>
    </w:p>
    <w:p>
      <w:pPr>
        <w:spacing w:after="0" w:line="144" w:lineRule="exact"/>
        <w:rPr>
          <w:sz w:val="20"/>
          <w:szCs w:val="20"/>
          <w:color w:val="auto"/>
        </w:rPr>
      </w:pPr>
    </w:p>
    <w:p>
      <w:pPr>
        <w:ind w:left="1020" w:right="40" w:hanging="503"/>
        <w:spacing w:after="0" w:line="258"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tested the operating effectiveness of key internal controls over financial reporting relating to management’s evaluation of idle facilities for impairment, including but not limited to controls that validate management’s review of the key inputs (forecasted revenue, length of contract, probability and timing of new contract) into the projected undiscounted cash flows, including management’s review of evidence supporting projected utilization of idle facilities and the assumptions utilized in the estimated cash flows.</w:t>
      </w:r>
    </w:p>
    <w:p>
      <w:pPr>
        <w:spacing w:after="0" w:line="75"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facilities, we evaluated the reasonableness of management’s projected undiscounted cash flow by evaluating evidence to support the projected utilization of the facilities, including actual marketing efforts, and comparing relevant inputs and assumptions used in the projections to those of similar facilities.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of the Company’s historical experience in selling facilities or securing new facility management contracts to utilize facilities that had been previously idled for periods comparable to or in excess of the periods the Company's currently idle facilities have been idle, including assessing the recoverability of the net book value of the previously idled facilities.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regarding the future outcome of the State of Washington v. GEO Group and Nwauzor et al. v. GEO Group</w:t>
      </w:r>
    </w:p>
    <w:p>
      <w:pPr>
        <w:spacing w:after="0" w:line="35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As further discussed in Note 16 to the consolidated financial statements, the Company is currently subject to a legal proceeding with the State of Washington v. GEO Group and Nwauzor et al. v. GEO Group (“Nwauzor Class Action”) case. In 2021, a federal jury returned a verdict in favor of the plaintiffs against the Company finding that immigrant detainees were employees of the Company and entitled to minimum wage under the Washington Minimum Wage Act and a judge ruled that the State of Washington was entitled to an unjust enrichment award, attorney fees, prejudgment interest and costs. The Company appealed both judgments to the Ninth Circuit Court of Appeals and on January 16, 2025, the appellate court affirmed the district court’s judgement in favor of the class of detainees and Washington State. The Company has now filed a petition for Rehearing En Banc.</w:t>
      </w:r>
    </w:p>
    <w:p>
      <w:pPr>
        <w:spacing w:after="0" w:line="1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is required to assess the probability of loss associated with each legal proceeding and amount of such loss, if any. The outcome of the case mentioned above is not within the complete control of the Company or may not be known for a prolonged period of time. The Company has not recorded an accrual relating to the judgement amount as it believes a potential loss related to this case is not probable.</w:t>
      </w:r>
    </w:p>
    <w:p>
      <w:pPr>
        <w:spacing w:after="0" w:line="11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uncertainties regarding the future outcome of the Nwauzor Class Action case was a critical audit matter is the significant judgment and subjectivity inherent in predicting future outcomes of the litigation. Auditing management’s evaluation and disclosure of a loss contingency related to the Nwauzor Class Action case was especially challenging because management’s evaluation of the likelihood and amount of loss and range of potential loss is highly subjective and requires significant judgment. In particular, management’s evaluation considers, among other factors, the nature of the claim, the asserted or possible damages, the progress of the matter, existing law and precedent, the opinions or views of legal counsel and other advisors, the Company’s experience in similar matters, outcomes of similar cases by other parties, the facts available at the time of the assessment, and how the Company intends to respond, or has responded, to the claim, which involves a series of complex judgments about future events.</w:t>
      </w:r>
    </w:p>
    <w:p>
      <w:pPr>
        <w:spacing w:after="0" w:line="12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evaluation of the loss contingency related to the Nwauzor Class Action case included the following, among others:</w:t>
      </w:r>
    </w:p>
    <w:p>
      <w:pPr>
        <w:spacing w:after="0" w:line="81" w:lineRule="exact"/>
        <w:rPr>
          <w:sz w:val="20"/>
          <w:szCs w:val="20"/>
          <w:color w:val="auto"/>
        </w:rPr>
      </w:pPr>
    </w:p>
    <w:p>
      <w:pPr>
        <w:ind w:left="1020" w:right="24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evaluation of this litigation, including controls related to the Company’s assessment and measurement of its loss contingency. For example, we tested controls over management’s review and approval of this legal position.</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Company’s assessment of the probability of incurrence of a loss and whether the loss was reasonably estimable by reading related lawsuit correspondence, requesting, and receiving written responses to our inquiries of internal and external legal counsel and meeting with internal counsel to discuss developments related to the legal matter and case progression.</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and reviewed certain legal cases and court filings by the Company’s counsel and judges in the court system with similar cases with the assistance of a legal expert. We also reviewed documents evidencing third parties’ interest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 except per share</w:t>
            </w:r>
          </w:p>
        </w:tc>
        <w:tc>
          <w:tcPr>
            <w:tcW w:w="520" w:type="dxa"/>
            <w:vAlign w:val="bottom"/>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data)</w:t>
            </w:r>
          </w:p>
        </w:tc>
        <w:tc>
          <w:tcPr>
            <w:tcW w:w="106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2,423,702</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2,413,167</w:t>
            </w:r>
          </w:p>
        </w:tc>
        <w:tc>
          <w:tcPr>
            <w:tcW w:w="520" w:type="dxa"/>
            <w:vAlign w:val="bottom"/>
            <w:gridSpan w:val="2"/>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2,376,727</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(excluding depreciation and amortization)</w:t>
            </w: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1,774,479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1,744,228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1,662,885</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126,220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125,784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132,925</w:t>
            </w:r>
          </w:p>
        </w:tc>
      </w:tr>
      <w:tr>
        <w:trPr>
          <w:trHeight w:val="216"/>
        </w:trPr>
        <w:tc>
          <w:tcPr>
            <w:tcW w:w="6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213,028</w:t>
            </w: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190,766</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196,972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309,975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352,389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383,945</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7,792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15,988</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(190,624 )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(218,292 )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(164,550 )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(86,637 )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(37,895 )</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Asset Divestitures/Impairment</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4,691</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32,332</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 and Equity in Earnings of Affiliates</w:t>
            </w: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38,594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138,048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229,820</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9,401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35,399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62,899</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Affiliates, net of income tax provision of $802, $868 and $740</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4,534</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4,771</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31,896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107,183</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171,692</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r>
      <w:tr>
        <w:trPr>
          <w:trHeight w:val="24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The GEO Group, Inc.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31,966</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107,325</w:t>
            </w:r>
          </w:p>
        </w:tc>
        <w:tc>
          <w:tcPr>
            <w:tcW w:w="520" w:type="dxa"/>
            <w:vAlign w:val="bottom"/>
            <w:gridSpan w:val="2"/>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171,813</w:t>
            </w:r>
          </w:p>
        </w:tc>
      </w:tr>
      <w:tr>
        <w:trPr>
          <w:trHeight w:val="197"/>
        </w:trPr>
        <w:tc>
          <w:tcPr>
            <w:tcW w:w="6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Weighted Average Common Shares Outstanding:</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5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131,318</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121,908</w:t>
            </w: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121,040</w:t>
            </w:r>
          </w:p>
        </w:tc>
      </w:tr>
      <w:tr>
        <w:trPr>
          <w:trHeight w:val="197"/>
        </w:trPr>
        <w:tc>
          <w:tcPr>
            <w:tcW w:w="66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134,064</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123,698</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122,281</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Income per Common Share Attributable to The GEO Group, Inc.:</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0.73</w:t>
            </w:r>
          </w:p>
        </w:tc>
        <w:tc>
          <w:tcPr>
            <w:tcW w:w="520" w:type="dxa"/>
            <w:vAlign w:val="bottom"/>
            <w:gridSpan w:val="2"/>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r>
      <w:tr>
        <w:trPr>
          <w:trHeight w:val="197"/>
        </w:trPr>
        <w:tc>
          <w:tcPr>
            <w:tcW w:w="664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5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-2767965</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-2767965</wp:posOffset>
            </wp:positionV>
            <wp:extent cx="94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-2073910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-2073910</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-1225550</wp:posOffset>
            </wp:positionV>
            <wp:extent cx="93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-1207770</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-1225550</wp:posOffset>
            </wp:positionV>
            <wp:extent cx="946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-1207770</wp:posOffset>
            </wp:positionV>
            <wp:extent cx="94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-925195</wp:posOffset>
            </wp:positionV>
            <wp:extent cx="93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-908050</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-925195</wp:posOffset>
            </wp:positionV>
            <wp:extent cx="946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94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-325120</wp:posOffset>
            </wp:positionV>
            <wp:extent cx="93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-307975</wp:posOffset>
            </wp:positionV>
            <wp:extent cx="93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-325120</wp:posOffset>
            </wp:positionV>
            <wp:extent cx="946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-307975</wp:posOffset>
            </wp:positionV>
            <wp:extent cx="946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93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93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31,896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107,183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171,692</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 in marketable securities, net of income tax provision (benefit) of $(4), $253 and</w:t>
            </w:r>
          </w:p>
        </w:tc>
        <w:tc>
          <w:tcPr>
            <w:tcW w:w="8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$(255)</w:t>
            </w: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(7,182 )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(7,548 )</w:t>
            </w:r>
          </w:p>
        </w:tc>
        <w:tc>
          <w:tcPr>
            <w:tcW w:w="0" w:type="dxa"/>
            <w:vAlign w:val="bottom"/>
          </w:tcPr>
          <w:p>
            <w:pPr>
              <w:spacing w:after="0"/>
              <w:rPr>
                <w:sz w:val="1"/>
                <w:szCs w:val="1"/>
                <w:color w:val="auto"/>
              </w:rPr>
            </w:pPr>
          </w:p>
        </w:tc>
      </w:tr>
      <w:tr>
        <w:trPr>
          <w:trHeight w:val="198"/>
        </w:trPr>
        <w:tc>
          <w:tcPr>
            <w:tcW w:w="6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Pension liability adjustment, net of income tax provision (benefit) of $385, $(88) and</w:t>
            </w:r>
          </w:p>
        </w:tc>
        <w:tc>
          <w:tcPr>
            <w:tcW w:w="8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$1,500, respectively</w:t>
            </w:r>
          </w:p>
        </w:tc>
        <w:tc>
          <w:tcPr>
            <w:tcW w:w="8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198"/>
        </w:trPr>
        <w:tc>
          <w:tcPr>
            <w:tcW w:w="6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instrument classified as cash flow hedge, net of</w:t>
            </w:r>
          </w:p>
        </w:tc>
        <w:tc>
          <w:tcPr>
            <w:tcW w:w="820" w:type="dxa"/>
            <w:vAlign w:val="bottom"/>
          </w:tcPr>
          <w:p>
            <w:pPr>
              <w:spacing w:after="0"/>
              <w:rPr>
                <w:sz w:val="17"/>
                <w:szCs w:val="17"/>
                <w:color w:val="auto"/>
              </w:rPr>
            </w:pPr>
          </w:p>
        </w:tc>
        <w:tc>
          <w:tcPr>
            <w:tcW w:w="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2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of $210, $(161) and $1,640, respectively</w:t>
            </w: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8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(4,958 )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26,938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107,458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174,995</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8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GEO Group, Inc.</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27,006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107,602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175,110</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-1362075</wp:posOffset>
            </wp:positionV>
            <wp:extent cx="93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-1362075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-1079500</wp:posOffset>
            </wp:positionV>
            <wp:extent cx="9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-1079500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17"/>
        </w:trPr>
        <w:tc>
          <w:tcPr>
            <w:tcW w:w="7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080" w:type="dxa"/>
            <w:vAlign w:val="bottom"/>
          </w:tcPr>
          <w:p>
            <w:pPr>
              <w:spacing w:after="0"/>
              <w:rPr>
                <w:sz w:val="10"/>
                <w:szCs w:val="10"/>
                <w:color w:val="auto"/>
              </w:rPr>
            </w:pPr>
          </w:p>
        </w:tc>
      </w:tr>
      <w:tr>
        <w:trPr>
          <w:trHeight w:val="173"/>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80" w:type="dxa"/>
            <w:vAlign w:val="bottom"/>
          </w:tcPr>
          <w:p>
            <w:pPr>
              <w:spacing w:after="0"/>
              <w:rPr>
                <w:sz w:val="15"/>
                <w:szCs w:val="15"/>
                <w:color w:val="auto"/>
              </w:rPr>
            </w:pPr>
          </w:p>
        </w:tc>
      </w:tr>
      <w:tr>
        <w:trPr>
          <w:trHeight w:val="203"/>
        </w:trPr>
        <w:tc>
          <w:tcPr>
            <w:tcW w:w="7740" w:type="dxa"/>
            <w:vAlign w:val="bottom"/>
            <w:shd w:val="clear" w:color="auto" w:fill="CFF0FC"/>
          </w:tcPr>
          <w:p>
            <w:pPr>
              <w:ind w:left="5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Assets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76,896</w:t>
            </w:r>
          </w:p>
        </w:tc>
        <w:tc>
          <w:tcPr>
            <w:tcW w:w="7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93,971</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and investments</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2,785</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of credit loss reserve of $685 and $606, respectively</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376,013</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390,023</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44,485</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44,511</w:t>
            </w:r>
          </w:p>
        </w:tc>
      </w:tr>
      <w:tr>
        <w:trPr>
          <w:trHeight w:val="19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500,179</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528,505</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Restricted Cash and Investments</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145,366</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135,968</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1,899,690</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1,944,278</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 Right-of-Use Assets, Net</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95,327</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102,204</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Deferred Income Tax Assets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9,522</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8,551</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756,001</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755,199</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 Net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126,576</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135,886</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Non-Current Assets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99,419</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85,815</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3,632,080</w:t>
            </w:r>
          </w:p>
        </w:tc>
        <w:tc>
          <w:tcPr>
            <w:tcW w:w="7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3,696,406</w:t>
            </w:r>
          </w:p>
        </w:tc>
      </w:tr>
      <w:tr>
        <w:trPr>
          <w:trHeight w:val="183"/>
        </w:trPr>
        <w:tc>
          <w:tcPr>
            <w:tcW w:w="7740" w:type="dxa"/>
            <w:vAlign w:val="bottom"/>
            <w:tcBorders>
              <w:top w:val="single" w:sz="8" w:color="CFF0FC"/>
            </w:tcBorders>
          </w:tcPr>
          <w:p>
            <w:pPr>
              <w:ind w:left="38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Liabilities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67,464</w:t>
            </w:r>
          </w:p>
        </w:tc>
        <w:tc>
          <w:tcPr>
            <w:tcW w:w="76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64,447</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payroll and related taxes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68,044</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64,436</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177,768</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228,059</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25,335</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24,640</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1,612</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55,882</w:t>
            </w:r>
          </w:p>
        </w:tc>
      </w:tr>
      <w:tr>
        <w:trPr>
          <w:trHeight w:val="19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340,223</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437,464</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Deferred Income Tax Liabilities</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78,198</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77,369</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Non-Current Liabilities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95,410</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83,643</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 Liabilities</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73,638</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82,114</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Long-Term Debt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1,711,197</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1,725,502</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 (Note 16)</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Shareholders’ Equity</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$0.01 par value, 30,000,000 shares authorized, none issued or outstanding</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$0.01 par value, 225,000,000 shares authorized, 140,181,318 and 130,297,248 issued and</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140,181,318 and 126,087,401 outstanding, respectively</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1,402</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1,303</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1,315,256</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1,299,193</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39,880</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103,089</w:t>
            </w:r>
          </w:p>
        </w:tc>
      </w:tr>
      <w:tr>
        <w:trPr>
          <w:trHeight w:val="202"/>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(21,602 )</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(16,642 )</w:t>
            </w: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Treasury stock, 0 and 4,209,847 shares at cost, respectively</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(95,175 )</w:t>
            </w:r>
          </w:p>
        </w:tc>
      </w:tr>
      <w:tr>
        <w:trPr>
          <w:trHeight w:val="19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shareholders’ equity attributable to The GEO Group, Inc.</w:t>
            </w:r>
          </w:p>
        </w:tc>
        <w:tc>
          <w:tcPr>
            <w:tcW w:w="3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1,334,936</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1,291,768</w:t>
            </w: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(1,522 )</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(1,454 )</w:t>
            </w:r>
          </w:p>
        </w:tc>
      </w:tr>
      <w:tr>
        <w:trPr>
          <w:trHeight w:val="196"/>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1,333,414</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1,290,314</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3,632,080</w:t>
            </w:r>
          </w:p>
        </w:tc>
        <w:tc>
          <w:tcPr>
            <w:tcW w:w="1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3,696,406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-3299460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-3282315</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-565150</wp:posOffset>
            </wp:positionV>
            <wp:extent cx="1111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 2023 and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6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28"/>
        </w:trPr>
        <w:tc>
          <w:tcPr>
            <w:tcW w:w="6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373"/>
              <w:spacing w:after="0" w:line="129"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Cash Flow from Operating Activities:</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r>
      <w:tr>
        <w:trPr>
          <w:trHeight w:val="149"/>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31,896</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107,183</w:t>
            </w:r>
          </w:p>
        </w:tc>
        <w:tc>
          <w:tcPr>
            <w:tcW w:w="44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171,692</w:t>
            </w:r>
          </w:p>
        </w:tc>
      </w:tr>
      <w:tr>
        <w:trPr>
          <w:trHeight w:val="14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3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121</w:t>
            </w:r>
          </w:p>
        </w:tc>
      </w:tr>
      <w:tr>
        <w:trPr>
          <w:trHeight w:val="142"/>
        </w:trPr>
        <w:tc>
          <w:tcPr>
            <w:tcW w:w="66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Net income attributable to The GEO Group, Inc.</w:t>
            </w:r>
          </w:p>
        </w:tc>
        <w:tc>
          <w:tcPr>
            <w:tcW w:w="340" w:type="dxa"/>
            <w:vAlign w:val="bottom"/>
          </w:tcPr>
          <w:p>
            <w:pPr>
              <w:spacing w:after="0"/>
              <w:rPr>
                <w:sz w:val="12"/>
                <w:szCs w:val="12"/>
                <w:color w:val="auto"/>
              </w:rPr>
            </w:pPr>
          </w:p>
        </w:tc>
        <w:tc>
          <w:tcPr>
            <w:tcW w:w="11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31,966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107,325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171,813</w:t>
            </w:r>
          </w:p>
        </w:tc>
      </w:tr>
      <w:tr>
        <w:trPr>
          <w:trHeight w:val="1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attributable to The GEO Group, Inc. to net cash provided by operating activities:</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340" w:type="dxa"/>
            <w:vAlign w:val="bottom"/>
          </w:tcPr>
          <w:p>
            <w:pPr>
              <w:spacing w:after="0"/>
              <w:rPr>
                <w:sz w:val="12"/>
                <w:szCs w:val="12"/>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126,220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125,784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132,925</w:t>
            </w:r>
          </w:p>
        </w:tc>
      </w:tr>
      <w:tr>
        <w:trPr>
          <w:trHeight w:val="14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tax provision (benefit)</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1,537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1,476</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(13,126 )</w:t>
            </w: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debt issuance costs, discount and/or premium and other non-cash interest</w:t>
            </w:r>
          </w:p>
        </w:tc>
        <w:tc>
          <w:tcPr>
            <w:tcW w:w="340" w:type="dxa"/>
            <w:vAlign w:val="bottom"/>
          </w:tcPr>
          <w:p>
            <w:pPr>
              <w:spacing w:after="0"/>
              <w:rPr>
                <w:sz w:val="12"/>
                <w:szCs w:val="12"/>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8,252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12,030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9,004</w:t>
            </w: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18,107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15,065</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16,204</w:t>
            </w: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340" w:type="dxa"/>
            <w:vAlign w:val="bottom"/>
          </w:tcPr>
          <w:p>
            <w:pPr>
              <w:spacing w:after="0"/>
              <w:rPr>
                <w:sz w:val="12"/>
                <w:szCs w:val="12"/>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86,637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8,532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37,895</w:t>
            </w: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258</w:t>
            </w:r>
          </w:p>
        </w:tc>
      </w:tr>
      <w:tr>
        <w:trPr>
          <w:trHeight w:val="149"/>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Equity in earnings of affiliates, net of tax</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(2,703 )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(4,534 )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(4,771 )</w:t>
            </w: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(Gain) loss on sale/disposal of property and equipment</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(250 )</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1,197</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(114 )</w:t>
            </w: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Realized/unrealized gain on investments</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(6,084 )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(7,151 )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(8,433 )</w:t>
            </w: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loss (gain) on asset divestitures/impairment</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2,907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(4,691 )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(32,332 )</w:t>
            </w: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Dividends received from unconsolidated joint ventures</w:t>
            </w:r>
          </w:p>
        </w:tc>
        <w:tc>
          <w:tcPr>
            <w:tcW w:w="340" w:type="dxa"/>
            <w:vAlign w:val="bottom"/>
          </w:tcPr>
          <w:p>
            <w:pPr>
              <w:spacing w:after="0"/>
              <w:rPr>
                <w:sz w:val="12"/>
                <w:szCs w:val="12"/>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5,082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2,987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4,486</w:t>
            </w:r>
          </w:p>
        </w:tc>
      </w:tr>
      <w:tr>
        <w:trPr>
          <w:trHeight w:val="14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Changes in assets and liabilities, net of acquisition:</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Changes in accounts receivable, prepaid expenses and other assets</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(7,581 )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11,672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(52,980 )</w:t>
            </w: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Changes in contract receivable</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5,305</w:t>
            </w: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Changes in accounts payable, accrued expenses and other liabilities</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(21,854 )</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8,090</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21,845</w:t>
            </w:r>
          </w:p>
        </w:tc>
      </w:tr>
      <w:tr>
        <w:trPr>
          <w:trHeight w:val="142"/>
        </w:trPr>
        <w:tc>
          <w:tcPr>
            <w:tcW w:w="66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3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242,236</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277,782</w:t>
            </w:r>
          </w:p>
        </w:tc>
        <w:tc>
          <w:tcPr>
            <w:tcW w:w="1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287,979</w:t>
            </w:r>
          </w:p>
        </w:tc>
      </w:tr>
      <w:tr>
        <w:trPr>
          <w:trHeight w:val="142"/>
        </w:trPr>
        <w:tc>
          <w:tcPr>
            <w:tcW w:w="66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Cash Flow from Investing Activities:</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 of real estate and other assets</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19,583</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101,419</w:t>
            </w:r>
          </w:p>
        </w:tc>
      </w:tr>
      <w:tr>
        <w:trPr>
          <w:trHeight w:val="14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(33,119 )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10,092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(78,691 )</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(73,002 )</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(90,026 )</w:t>
            </w:r>
          </w:p>
        </w:tc>
      </w:tr>
      <w:tr>
        <w:trPr>
          <w:trHeight w:val="142"/>
        </w:trPr>
        <w:tc>
          <w:tcPr>
            <w:tcW w:w="66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3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(101,718 )</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(53,419 )</w:t>
            </w:r>
          </w:p>
        </w:tc>
        <w:tc>
          <w:tcPr>
            <w:tcW w:w="1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11,393</w:t>
            </w:r>
          </w:p>
        </w:tc>
      </w:tr>
      <w:tr>
        <w:trPr>
          <w:trHeight w:val="142"/>
        </w:trPr>
        <w:tc>
          <w:tcPr>
            <w:tcW w:w="66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Cash Flow from Financing Activities:</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Payments on long-term debt</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(1,926,775 )</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(208,390 )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(680,850 )</w:t>
            </w:r>
          </w:p>
        </w:tc>
      </w:tr>
      <w:tr>
        <w:trPr>
          <w:trHeight w:val="14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long term debt</w:t>
            </w:r>
          </w:p>
        </w:tc>
        <w:tc>
          <w:tcPr>
            <w:tcW w:w="340" w:type="dxa"/>
            <w:vAlign w:val="bottom"/>
          </w:tcPr>
          <w:p>
            <w:pPr>
              <w:spacing w:after="0"/>
              <w:rPr>
                <w:sz w:val="12"/>
                <w:szCs w:val="12"/>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1,720,500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30,000</w:t>
            </w:r>
          </w:p>
        </w:tc>
      </w:tr>
      <w:tr>
        <w:trPr>
          <w:trHeight w:val="14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borrowings on revolver</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110,000</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on non-recourse debt</w:t>
            </w:r>
          </w:p>
        </w:tc>
        <w:tc>
          <w:tcPr>
            <w:tcW w:w="340" w:type="dxa"/>
            <w:vAlign w:val="bottom"/>
          </w:tcPr>
          <w:p>
            <w:pPr>
              <w:spacing w:after="0"/>
              <w:rPr>
                <w:sz w:val="12"/>
                <w:szCs w:val="12"/>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(5,676 )</w:t>
            </w:r>
          </w:p>
        </w:tc>
      </w:tr>
      <w:tr>
        <w:trPr>
          <w:trHeight w:val="14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Taxes paid related to net share settlements of equity awards</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(9,657 )</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(3,443 )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(1,302 )</w:t>
            </w:r>
          </w:p>
        </w:tc>
      </w:tr>
      <w:tr>
        <w:trPr>
          <w:trHeight w:val="14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issuance costs</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(35,748 )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(41,536 )</w:t>
            </w:r>
          </w:p>
        </w:tc>
      </w:tr>
      <w:tr>
        <w:trPr>
          <w:trHeight w:val="1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the sale of treasury shares</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5,750</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stock options exercised</w:t>
            </w:r>
          </w:p>
        </w:tc>
        <w:tc>
          <w:tcPr>
            <w:tcW w:w="340" w:type="dxa"/>
            <w:vAlign w:val="bottom"/>
          </w:tcPr>
          <w:p>
            <w:pPr>
              <w:spacing w:after="0"/>
              <w:rPr>
                <w:sz w:val="12"/>
                <w:szCs w:val="12"/>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8,192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66</w:t>
            </w:r>
          </w:p>
        </w:tc>
      </w:tr>
      <w:tr>
        <w:trPr>
          <w:trHeight w:val="1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in connection with ESPP</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158</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198</w:t>
            </w:r>
          </w:p>
        </w:tc>
      </w:tr>
      <w:tr>
        <w:trPr>
          <w:trHeight w:val="14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for call premiums</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(35,558 )</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6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3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(168,888 )</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(208,083 )</w:t>
            </w:r>
          </w:p>
        </w:tc>
        <w:tc>
          <w:tcPr>
            <w:tcW w:w="1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(699,100 )</w:t>
            </w:r>
          </w:p>
        </w:tc>
      </w:tr>
      <w:tr>
        <w:trPr>
          <w:trHeight w:val="142"/>
        </w:trPr>
        <w:tc>
          <w:tcPr>
            <w:tcW w:w="66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Effect of Exchange Rate Changes on Cash, Cash Equivalents and Restricted Cash and Cash Equivalents</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(5,633 )</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(256 )</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(4,751 )</w:t>
            </w:r>
          </w:p>
        </w:tc>
      </w:tr>
      <w:tr>
        <w:trPr>
          <w:trHeight w:val="142"/>
        </w:trPr>
        <w:tc>
          <w:tcPr>
            <w:tcW w:w="6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Net (Decrease) Increase in Cash, Cash Equivalents and Restricted Cash and Cash Equivalents</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(34,003 )</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16,024</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(404,479 )</w:t>
            </w:r>
          </w:p>
        </w:tc>
      </w:tr>
      <w:tr>
        <w:trPr>
          <w:trHeight w:val="14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Cash, Cash Equivalents and Restricted Cash and Cash Equivalents, beginning of period</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159,867</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143,843</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548,322</w:t>
            </w:r>
          </w:p>
        </w:tc>
      </w:tr>
      <w:tr>
        <w:trPr>
          <w:trHeight w:val="182"/>
        </w:trPr>
        <w:tc>
          <w:tcPr>
            <w:tcW w:w="6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Cash, Cash Equivalents and Restricted Cash and Cash Equivalents, end of period</w:t>
            </w:r>
          </w:p>
        </w:tc>
        <w:tc>
          <w:tcPr>
            <w:tcW w:w="340" w:type="dxa"/>
            <w:vAlign w:val="bottom"/>
            <w:shd w:val="clear" w:color="auto" w:fill="CFF0FC"/>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125,864</w:t>
            </w:r>
          </w:p>
        </w:tc>
        <w:tc>
          <w:tcPr>
            <w:tcW w:w="30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159,867</w:t>
            </w:r>
          </w:p>
        </w:tc>
        <w:tc>
          <w:tcPr>
            <w:tcW w:w="440" w:type="dxa"/>
            <w:vAlign w:val="bottom"/>
            <w:gridSpan w:val="2"/>
            <w:shd w:val="clear" w:color="auto" w:fill="CFF0FC"/>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143,843</w:t>
            </w:r>
          </w:p>
        </w:tc>
      </w:tr>
      <w:tr>
        <w:trPr>
          <w:trHeight w:val="129"/>
        </w:trPr>
        <w:tc>
          <w:tcPr>
            <w:tcW w:w="66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Supplemental Disclosures</w:t>
            </w: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14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Cash paid during the year for:</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r>
      <w:tr>
        <w:trPr>
          <w:trHeight w:val="14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15,684</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19,227</w:t>
            </w:r>
          </w:p>
        </w:tc>
        <w:tc>
          <w:tcPr>
            <w:tcW w:w="44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44,612</w:t>
            </w: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66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Interest</w:t>
            </w:r>
          </w:p>
        </w:tc>
        <w:tc>
          <w:tcPr>
            <w:tcW w:w="340" w:type="dxa"/>
            <w:vAlign w:val="bottom"/>
            <w:shd w:val="clear" w:color="auto" w:fill="CFF0FC"/>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190,606</w:t>
            </w:r>
          </w:p>
        </w:tc>
        <w:tc>
          <w:tcPr>
            <w:tcW w:w="300" w:type="dxa"/>
            <w:vAlign w:val="bottom"/>
            <w:gridSpan w:val="2"/>
            <w:shd w:val="clear" w:color="auto" w:fill="CFF0FC"/>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198,710</w:t>
            </w:r>
          </w:p>
        </w:tc>
        <w:tc>
          <w:tcPr>
            <w:tcW w:w="440" w:type="dxa"/>
            <w:vAlign w:val="bottom"/>
            <w:gridSpan w:val="2"/>
            <w:shd w:val="clear" w:color="auto" w:fill="CFF0FC"/>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103,752</w:t>
            </w:r>
          </w:p>
        </w:tc>
      </w:tr>
      <w:tr>
        <w:trPr>
          <w:trHeight w:val="169"/>
        </w:trPr>
        <w:tc>
          <w:tcPr>
            <w:tcW w:w="6600" w:type="dxa"/>
            <w:vAlign w:val="bottom"/>
            <w:tcBorders>
              <w:top w:val="single" w:sz="8" w:color="CFF0FC"/>
              <w:bottom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Non-cash investing and financing activities:</w:t>
            </w: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CFF0FC"/>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CFF0FC"/>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r>
      <w:tr>
        <w:trPr>
          <w:trHeight w:val="169"/>
        </w:trPr>
        <w:tc>
          <w:tcPr>
            <w:tcW w:w="6600" w:type="dxa"/>
            <w:vAlign w:val="bottom"/>
            <w:tcBorders>
              <w:bottom w:val="single" w:sz="8" w:color="CFF0FC"/>
            </w:tcBorders>
            <w:shd w:val="clear" w:color="auto" w:fill="CFF0FC"/>
          </w:tcPr>
          <w:p>
            <w:pPr>
              <w:ind w:left="20"/>
              <w:spacing w:after="0" w:line="114" w:lineRule="exact"/>
              <w:rPr>
                <w:sz w:val="20"/>
                <w:szCs w:val="20"/>
                <w:color w:val="auto"/>
              </w:rPr>
            </w:pPr>
            <w:r>
              <w:rPr>
                <w:rFonts w:ascii="Times New Roman" w:cs="Times New Roman" w:eastAsia="Times New Roman" w:hAnsi="Times New Roman"/>
                <w:sz w:val="13"/>
                <w:szCs w:val="13"/>
                <w:color w:val="auto"/>
              </w:rPr>
              <w:t>Principal Exchanges of Debt</w:t>
            </w:r>
          </w:p>
        </w:tc>
        <w:tc>
          <w:tcPr>
            <w:tcW w:w="340" w:type="dxa"/>
            <w:vAlign w:val="bottom"/>
            <w:tcBorders>
              <w:bottom w:val="single" w:sz="8" w:color="auto"/>
            </w:tcBorders>
            <w:shd w:val="clear" w:color="auto" w:fill="CFF0FC"/>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FF0FC"/>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1,620,318</w:t>
            </w:r>
          </w:p>
        </w:tc>
      </w:tr>
      <w:tr>
        <w:trPr>
          <w:trHeight w:val="129"/>
        </w:trPr>
        <w:tc>
          <w:tcPr>
            <w:tcW w:w="66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Debt Issuance Costs in Accrued Expenses</w:t>
            </w:r>
          </w:p>
        </w:tc>
        <w:tc>
          <w:tcPr>
            <w:tcW w:w="34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11,245</w:t>
            </w: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660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Right-of-use assets obtained from operating lease liabilities</w:t>
            </w:r>
          </w:p>
        </w:tc>
        <w:tc>
          <w:tcPr>
            <w:tcW w:w="340" w:type="dxa"/>
            <w:vAlign w:val="bottom"/>
            <w:tcBorders>
              <w:bottom w:val="single" w:sz="8" w:color="auto"/>
            </w:tcBorders>
            <w:shd w:val="clear" w:color="auto" w:fill="CFF0FC"/>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FF0FC"/>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21,324</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35,233</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11,697</w:t>
            </w:r>
          </w:p>
        </w:tc>
      </w:tr>
      <w:tr>
        <w:trPr>
          <w:trHeight w:val="129"/>
        </w:trPr>
        <w:tc>
          <w:tcPr>
            <w:tcW w:w="66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Capital expenditures in accounts payable and accrued expenses</w:t>
            </w:r>
          </w:p>
        </w:tc>
        <w:tc>
          <w:tcPr>
            <w:tcW w:w="34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5,708</w:t>
            </w:r>
          </w:p>
        </w:tc>
        <w:tc>
          <w:tcPr>
            <w:tcW w:w="300" w:type="dxa"/>
            <w:vAlign w:val="bottom"/>
            <w:gridSpan w:val="2"/>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675</w:t>
            </w:r>
          </w:p>
        </w:tc>
        <w:tc>
          <w:tcPr>
            <w:tcW w:w="440" w:type="dxa"/>
            <w:vAlign w:val="bottom"/>
            <w:gridSpan w:val="2"/>
          </w:tcPr>
          <w:p>
            <w:pPr>
              <w:jc w:val="right"/>
              <w:ind w:right="1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6,127</w:t>
            </w: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-4902835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-4902835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-3188335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-3188335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-2605405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-2605405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-1456690</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-1456690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-1053465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-1036320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-1053465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-1036320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-624840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-607695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-624840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-607695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-505460</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-488315</wp:posOffset>
            </wp:positionV>
            <wp:extent cx="857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-385445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-367665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-505460</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-488315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-385445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-367665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-145415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-128270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-145415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-128270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1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6"/>
          </w:tcPr>
          <w:p>
            <w:pPr>
              <w:jc w:val="center"/>
              <w:ind w:left="426"/>
              <w:spacing w:after="0"/>
              <w:rPr>
                <w:sz w:val="20"/>
                <w:szCs w:val="20"/>
                <w:color w:val="auto"/>
              </w:rPr>
            </w:pPr>
            <w:r>
              <w:rPr>
                <w:rFonts w:ascii="Times New Roman" w:cs="Times New Roman" w:eastAsia="Times New Roman" w:hAnsi="Times New Roman"/>
                <w:sz w:val="11"/>
                <w:szCs w:val="11"/>
                <w:b w:val="1"/>
                <w:bCs w:val="1"/>
                <w:color w:val="auto"/>
                <w:w w:val="98"/>
              </w:rPr>
              <w:t>GEO Group Inc. Shareholders</w:t>
            </w: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1660" w:type="dxa"/>
            <w:vAlign w:val="bottom"/>
            <w:gridSpan w:val="4"/>
            <w:vMerge w:val="restart"/>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3"/>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Accumulate</w:t>
            </w:r>
          </w:p>
        </w:tc>
        <w:tc>
          <w:tcPr>
            <w:tcW w:w="1680" w:type="dxa"/>
            <w:vAlign w:val="bottom"/>
            <w:gridSpan w:val="4"/>
            <w:vMerge w:val="restart"/>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160" w:type="dxa"/>
            <w:vAlign w:val="bottom"/>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168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320"/>
              <w:spacing w:after="0" w:line="100"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100" w:type="dxa"/>
            <w:vAlign w:val="bottom"/>
          </w:tcPr>
          <w:p>
            <w:pPr>
              <w:spacing w:after="0"/>
              <w:rPr>
                <w:sz w:val="10"/>
                <w:szCs w:val="10"/>
                <w:color w:val="auto"/>
              </w:rPr>
            </w:pPr>
          </w:p>
        </w:tc>
        <w:tc>
          <w:tcPr>
            <w:tcW w:w="84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ive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20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80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366"/>
              <w:spacing w:after="0" w:line="122" w:lineRule="exact"/>
              <w:rPr>
                <w:sz w:val="20"/>
                <w:szCs w:val="20"/>
                <w:color w:val="auto"/>
              </w:rPr>
            </w:pPr>
            <w:r>
              <w:rPr>
                <w:rFonts w:ascii="Times New Roman" w:cs="Times New Roman" w:eastAsia="Times New Roman" w:hAnsi="Times New Roman"/>
                <w:sz w:val="11"/>
                <w:szCs w:val="11"/>
                <w:b w:val="1"/>
                <w:bCs w:val="1"/>
                <w:color w:val="auto"/>
              </w:rPr>
              <w:t>g</w:t>
            </w:r>
          </w:p>
        </w:tc>
        <w:tc>
          <w:tcPr>
            <w:tcW w:w="100" w:type="dxa"/>
            <w:vAlign w:val="bottom"/>
          </w:tcPr>
          <w:p>
            <w:pPr>
              <w:spacing w:after="0"/>
              <w:rPr>
                <w:sz w:val="10"/>
                <w:szCs w:val="10"/>
                <w:color w:val="auto"/>
              </w:rPr>
            </w:pPr>
          </w:p>
        </w:tc>
        <w:tc>
          <w:tcPr>
            <w:tcW w:w="880" w:type="dxa"/>
            <w:vAlign w:val="bottom"/>
            <w:gridSpan w:val="2"/>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8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3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3"/>
              </w:rPr>
              <w:t>(In thousands)</w:t>
            </w:r>
          </w:p>
        </w:tc>
        <w:tc>
          <w:tcPr>
            <w:tcW w:w="1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Borders>
              <w:bottom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Balance, January 1, 2022</w:t>
            </w:r>
          </w:p>
        </w:tc>
        <w:tc>
          <w:tcPr>
            <w:tcW w:w="8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122,472</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1,273</w:t>
            </w: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1,276,213</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(175,960 )</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(20,216 )</w:t>
            </w:r>
          </w:p>
        </w:tc>
        <w:tc>
          <w:tcPr>
            <w:tcW w:w="1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4,852</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(105,099 )</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(1,195 )</w:t>
            </w: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975,016</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Proceeds from stock options exercised</w:t>
            </w:r>
          </w:p>
        </w:tc>
        <w:tc>
          <w:tcPr>
            <w:tcW w:w="8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 based compensation expense</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16,204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16,204</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withheld for net settlements of share-based awards [1]</w:t>
            </w: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(229 )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(1,300 )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(1,302 )</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Restricted stock granted</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1,836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(18 )</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Restricted stock canceled</w:t>
            </w: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(53 )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adjustment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(89 )</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(89 )</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(ESPP)</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198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198</w:t>
            </w:r>
          </w:p>
        </w:tc>
        <w:tc>
          <w:tcPr>
            <w:tcW w:w="0" w:type="dxa"/>
            <w:vAlign w:val="bottom"/>
          </w:tcPr>
          <w:p>
            <w:pPr>
              <w:spacing w:after="0"/>
              <w:rPr>
                <w:sz w:val="1"/>
                <w:szCs w:val="1"/>
                <w:color w:val="auto"/>
              </w:rPr>
            </w:pPr>
          </w:p>
        </w:tc>
      </w:tr>
      <w:tr>
        <w:trPr>
          <w:trHeight w:val="121"/>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income (loss)</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171,813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(121 )</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171,692</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3,297</w:t>
            </w:r>
          </w:p>
        </w:tc>
        <w:tc>
          <w:tcPr>
            <w:tcW w:w="120" w:type="dxa"/>
            <w:vAlign w:val="bottom"/>
          </w:tcPr>
          <w:p>
            <w:pPr>
              <w:spacing w:after="0"/>
              <w:rPr>
                <w:sz w:val="10"/>
                <w:szCs w:val="10"/>
                <w:color w:val="auto"/>
              </w:rPr>
            </w:pPr>
          </w:p>
        </w:tc>
        <w:tc>
          <w:tcPr>
            <w:tcW w:w="8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3,303</w:t>
            </w:r>
          </w:p>
        </w:tc>
        <w:tc>
          <w:tcPr>
            <w:tcW w:w="0" w:type="dxa"/>
            <w:vAlign w:val="bottom"/>
          </w:tcPr>
          <w:p>
            <w:pPr>
              <w:spacing w:after="0"/>
              <w:rPr>
                <w:sz w:val="1"/>
                <w:szCs w:val="1"/>
                <w:color w:val="auto"/>
              </w:rPr>
            </w:pPr>
          </w:p>
        </w:tc>
      </w:tr>
      <w:tr>
        <w:trPr>
          <w:trHeight w:val="115"/>
        </w:trPr>
        <w:tc>
          <w:tcPr>
            <w:tcW w:w="3160" w:type="dxa"/>
            <w:vAlign w:val="bottom"/>
            <w:tcBorders>
              <w:bottom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Balance, December 31, 2022</w:t>
            </w:r>
          </w:p>
        </w:tc>
        <w:tc>
          <w:tcPr>
            <w:tcW w:w="8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124,061</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1,289</w:t>
            </w: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1,291,363</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(4,236 )</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(16,919 )</w:t>
            </w:r>
          </w:p>
        </w:tc>
        <w:tc>
          <w:tcPr>
            <w:tcW w:w="1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4,852</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(105,099 )</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(1,310 )</w:t>
            </w: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1,165,088</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Proceeds from stock options exercised</w:t>
            </w:r>
          </w:p>
        </w:tc>
        <w:tc>
          <w:tcPr>
            <w:tcW w:w="8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239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239</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 based compensation expense</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15,065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15,065</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withheld for net settlements of share-based awards [1]</w:t>
            </w: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(383 )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(3,439 )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(3,443 )</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Restricted stock granted</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1,758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(18 )</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Restricted stock canceled</w:t>
            </w: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(ESPP)</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157</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Sale of treasury shares [2]</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642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(4,174 )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(643 )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9,924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5,750</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income (loss)</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107,325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(142 )</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107,183</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comprehensive income (loss)</w:t>
            </w:r>
          </w:p>
        </w:tc>
        <w:tc>
          <w:tcPr>
            <w:tcW w:w="8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277</w:t>
            </w:r>
          </w:p>
        </w:tc>
        <w:tc>
          <w:tcPr>
            <w:tcW w:w="120" w:type="dxa"/>
            <w:vAlign w:val="bottom"/>
          </w:tcPr>
          <w:p>
            <w:pPr>
              <w:spacing w:after="0"/>
              <w:rPr>
                <w:sz w:val="10"/>
                <w:szCs w:val="10"/>
                <w:color w:val="auto"/>
              </w:rPr>
            </w:pPr>
          </w:p>
        </w:tc>
        <w:tc>
          <w:tcPr>
            <w:tcW w:w="8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275</w:t>
            </w:r>
          </w:p>
        </w:tc>
        <w:tc>
          <w:tcPr>
            <w:tcW w:w="0" w:type="dxa"/>
            <w:vAlign w:val="bottom"/>
          </w:tcPr>
          <w:p>
            <w:pPr>
              <w:spacing w:after="0"/>
              <w:rPr>
                <w:sz w:val="1"/>
                <w:szCs w:val="1"/>
                <w:color w:val="auto"/>
              </w:rPr>
            </w:pPr>
          </w:p>
        </w:tc>
      </w:tr>
      <w:tr>
        <w:trPr>
          <w:trHeight w:val="115"/>
        </w:trPr>
        <w:tc>
          <w:tcPr>
            <w:tcW w:w="3160" w:type="dxa"/>
            <w:vAlign w:val="bottom"/>
            <w:tcBorders>
              <w:bottom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Balance, December 31, 2023</w:t>
            </w:r>
          </w:p>
        </w:tc>
        <w:tc>
          <w:tcPr>
            <w:tcW w:w="8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126,087</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1,303</w:t>
            </w: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1,299,193</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103,089</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(16,642 )</w:t>
            </w:r>
          </w:p>
        </w:tc>
        <w:tc>
          <w:tcPr>
            <w:tcW w:w="1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4,209</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(95,175 )</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(1,454 )</w:t>
            </w: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1,290,314</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Proceeds from stock options exercised</w:t>
            </w:r>
          </w:p>
        </w:tc>
        <w:tc>
          <w:tcPr>
            <w:tcW w:w="8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584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8,186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8,192</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 based compensation expense</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18,107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18,107</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withheld for net settlements of share-based awards [1]</w:t>
            </w: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(698 )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(9,650 )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(9,657 )</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Restricted stock granted</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1,827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(18 )</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Restricted stock canceled</w:t>
            </w: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(60 )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Reissuance of treasury shares [3]</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4,209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(95,175 )</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(4,209 )</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95,175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shares [3]</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8,220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(1,696 )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(1,614 )</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(ESPP)</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158</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adjustments to Additional Paid-In-Capital</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976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976</w:t>
            </w:r>
          </w:p>
        </w:tc>
        <w:tc>
          <w:tcPr>
            <w:tcW w:w="0" w:type="dxa"/>
            <w:vAlign w:val="bottom"/>
          </w:tcPr>
          <w:p>
            <w:pPr>
              <w:spacing w:after="0"/>
              <w:rPr>
                <w:sz w:val="1"/>
                <w:szCs w:val="1"/>
                <w:color w:val="auto"/>
              </w:rPr>
            </w:pPr>
          </w:p>
        </w:tc>
      </w:tr>
      <w:tr>
        <w:trPr>
          <w:trHeight w:val="121"/>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income (loss)</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31,966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(70 )</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31,896</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comprehensive income (loss)</w:t>
            </w:r>
          </w:p>
        </w:tc>
        <w:tc>
          <w:tcPr>
            <w:tcW w:w="8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(4,960 )</w:t>
            </w:r>
          </w:p>
        </w:tc>
        <w:tc>
          <w:tcPr>
            <w:tcW w:w="120" w:type="dxa"/>
            <w:vAlign w:val="bottom"/>
          </w:tcPr>
          <w:p>
            <w:pPr>
              <w:spacing w:after="0"/>
              <w:rPr>
                <w:sz w:val="10"/>
                <w:szCs w:val="10"/>
                <w:color w:val="auto"/>
              </w:rPr>
            </w:pPr>
          </w:p>
        </w:tc>
        <w:tc>
          <w:tcPr>
            <w:tcW w:w="8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(4,958 )</w:t>
            </w:r>
          </w:p>
        </w:tc>
        <w:tc>
          <w:tcPr>
            <w:tcW w:w="0" w:type="dxa"/>
            <w:vAlign w:val="bottom"/>
          </w:tcPr>
          <w:p>
            <w:pPr>
              <w:spacing w:after="0"/>
              <w:rPr>
                <w:sz w:val="1"/>
                <w:szCs w:val="1"/>
                <w:color w:val="auto"/>
              </w:rPr>
            </w:pPr>
          </w:p>
        </w:tc>
      </w:tr>
      <w:tr>
        <w:trPr>
          <w:trHeight w:val="155"/>
        </w:trPr>
        <w:tc>
          <w:tcPr>
            <w:tcW w:w="3160" w:type="dxa"/>
            <w:vAlign w:val="bottom"/>
            <w:tcBorders>
              <w:bottom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Balance, December 31, 2024</w:t>
            </w:r>
          </w:p>
        </w:tc>
        <w:tc>
          <w:tcPr>
            <w:tcW w:w="8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140,181</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1,402</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1,315,256</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39,880</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(21,602 )</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(1,522 )</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1,333,414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-2545080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-2545080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-2545080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-2545080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-2545080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-2545080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-2545080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-2545080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-1757045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-1757045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-1757045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-1757045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-1757045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-1757045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-1757045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-1757045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-968375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-968375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-968375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-968375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-968375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-968375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-968375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-968375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ind w:right="20" w:firstLine="8"/>
        <w:spacing w:after="0" w:line="298" w:lineRule="auto"/>
        <w:tabs>
          <w:tab w:leader="none" w:pos="2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2024, 2023 and 2022, the Company withheld shares through net share settlements to satisfy statutory tax withholding requirements upon vesting of shares of restricted stock held by employees.</w:t>
      </w:r>
    </w:p>
    <w:p>
      <w:pPr>
        <w:spacing w:after="0" w:line="29" w:lineRule="exact"/>
        <w:rPr>
          <w:rFonts w:ascii="Times New Roman" w:cs="Times New Roman" w:eastAsia="Times New Roman" w:hAnsi="Times New Roman"/>
          <w:sz w:val="16"/>
          <w:szCs w:val="16"/>
          <w:color w:val="auto"/>
        </w:rPr>
      </w:pPr>
    </w:p>
    <w:p>
      <w:pPr>
        <w:ind w:right="100" w:firstLine="8"/>
        <w:spacing w:after="0" w:line="298" w:lineRule="auto"/>
        <w:tabs>
          <w:tab w:leader="none" w:pos="2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sold treasury shares to partially fund its obligation under its Amended and Restated Executive Retirement Agreement with its Executive Chairman. Refer to Note 13 – Benefit Plans for further information.</w:t>
      </w:r>
    </w:p>
    <w:p>
      <w:pPr>
        <w:spacing w:after="0" w:line="42" w:lineRule="exact"/>
        <w:rPr>
          <w:rFonts w:ascii="Times New Roman" w:cs="Times New Roman" w:eastAsia="Times New Roman" w:hAnsi="Times New Roman"/>
          <w:sz w:val="16"/>
          <w:szCs w:val="16"/>
          <w:color w:val="auto"/>
        </w:rPr>
      </w:pPr>
    </w:p>
    <w:p>
      <w:pPr>
        <w:ind w:right="120" w:firstLine="8"/>
        <w:spacing w:after="0" w:line="281" w:lineRule="auto"/>
        <w:tabs>
          <w:tab w:leader="none" w:pos="2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2024, the Company retired $229.9 million in aggregate principal amount of its outstanding 6.50% Exchangeable Senior Notes in private exchange transactions for an exchange value of approximately $415 million. The consideration consisted of cash of $229.9 million and approximately 12.4 million shares of GEO common stock. Of the total amount of shares issued, the Company issued 4,209,847 shares that were previously held in treasury. Refer to Note 11-Debt for further information.</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3" w:name="page84"/>
    <w:bookmarkEnd w:id="83"/>
    <w:p>
      <w:pPr>
        <w:ind w:left="4640"/>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03"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Organization, Operations and Significant Accounting Policies</w:t>
      </w:r>
    </w:p>
    <w:p>
      <w:pPr>
        <w:spacing w:after="0" w:line="1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GEO Group, Inc., a Florida corporation, and subsidiaries (the “Company” or “GEO”) specializes in the ownership, leasing and management of secure facilities, processing centers and reentry centers in the United States, Australia and South Africa. The Company owns, leases and operates a broad range of facilities including maximum, medium and minimum-security facilities, processing centers, as well as community-based reentry facilities and offers an expanded delivery of rehabilitation services under its 'GEO Continuum of Care' platform. The 'GEO Continuum of Care' platform integrates enhanced rehabilitative programs, which are evidence-based and include cognitive behavioral treatment and post-release services 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offender and detainee populations as contracted domestically and in the United Kingdom through its joint venture GEOAmey Ltd. (“GEOAmey”). As of December 31, 2024, GEO's worldwide operations included the ownership and/or management of approximately 79,000 beds at 99 secure and community services facilities, including idle facilities and projects under development, and also includes the provision of reentry and electronic monitoring and supervision services for thousands of individuals, including an array of technology products including radio frequency, GPS, and alcohol monitoring devices.</w:t>
      </w:r>
    </w:p>
    <w:p>
      <w:pPr>
        <w:spacing w:after="0" w:line="197"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of America. The significant accounting policies of the Company are described below.</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The equity method of accounting is used for investments in non-controlled affiliates in which the Company’s ownership ranges from 20 to 50 percent, or in instances in which the Company is able to exercise significant influence but not control. The Company reports South Africa Custodial Services ("SACS") and its 50% owned joint venture in the United Kingdom, GEOAmey, under the equity method of accounting. Noncontrolling interests in consolidated entities represent equity that other investors have contributed to South Africa Custodial Management ("SACM"). Non-controlling interests are adjusted for income and losses allocable to the other shareholders in these entities. All significant intercompany balances and transactions have been eliminated.</w:t>
      </w:r>
    </w:p>
    <w:p>
      <w:pPr>
        <w:spacing w:after="0" w:line="3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ind w:firstLine="250"/>
        <w:spacing w:after="0" w:line="266" w:lineRule="auto"/>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current period financial statements. These reclassifications had no effect on the previously reported results of operations and represent the reclassification of certain expenses from operating expenses to other income/expense that were not significant.</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reserves for self-insured retention related to general liability and workers’ compensation insurance, projected cash flows used to evaluate asset impairment, useful lives of its property, equipment and intangible assets. These estimates and assumptions affect the reported amounts of assets and liabilities at the date of the financial statements and the reported amounts of revenues and expenses during the reporting period. While the Company believes that such estimates are reasonable when considered in conjunction with the consolidated financial statements taken as a whole, the actual amounts of such estimates, when known, will vary from these estimates. If actual results significantly differ from the Company’s estimates, the Company’s financial condition and results of operations could be materially impacted.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4" w:name="page85"/>
    <w:bookmarkEnd w:id="84"/>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all interest-bearing deposits or investments with original maturities of three months or less when purchased. The Company maintains cash and cash equivalents with various financial institutions. These financial institutions are located throughout the United States, Australia, South Africa and the United Kingdom. As of December 31, 2024 and 2023, the Company had $28.4 million and $35.8 million in cash and cash equivalents held by its international subsidiaries, respectively.</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deposits of cash in excess of federally insured limits with certain financial institutions and accordingly the Company is subject to credit risk. Other than cash, financial instruments that potentially subject the Company to concentrations of credit risk consist principally of trade accounts receivable, investments in marketable securities, long-term debt and financial instruments used in hedging activities. The Company’s cash management and investment policies restrict investments to low-risk, highly liquid securities, and the Company performs periodic evaluations of the credit standing of the financial institutions with which it deals.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Accounts receivable consists primarily of trade accounts receivable due from federal, state, local and international government agencies for operating and managing secure facilities, providing community-based services, providing electronic monitoring and supervision services, providing construction and design services and providing residential and transportation services. The Company generates receivables with its governmental clients and with other parties in the normal course of business as a result of billing and receiving payment. The Company regularly reviews outstanding receivables and provides for estimated losses through a credit loss reserve. In evaluating the level of credit loss reserves, the Company makes judgments regarding its customers’ ability to make required payments, economic events and other factors. As the financial condition of these parties change, circumstances develop or additional information becomes available, adjustments to the credit loss reserve may be required. The Company also performs ongoing credit evaluations for some of its customers’ financial conditions and generally does not require collateral. Generally, the Company receives payment for these services thirty to sixty days in arrears. However, certain of the Company’s accounts receivable are paid by customers after the completion of their program year and therefore can be aged in excess of one year. The Company maintains reserves for potential credit losses, and such losses traditionally have been within its expectations. Actual write-offs are charged against the credit loss reserve when collection efforts have been unsuccessful. As of December 31, 2024 and 2023, the Company's trade receivables that were considered to be long-term were not significant.</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and cash equivalents reported on the consolidated balance sheets that sum to the total of the same such amounts shown in the 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76,896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93,971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95,073</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 current</w:t>
            </w:r>
          </w:p>
        </w:tc>
        <w:tc>
          <w:tcPr>
            <w:tcW w:w="14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and investments - non-current</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145,366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135,968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111,691</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Restricted investments - non-current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(99,183 )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(70,072 )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(62,921 )</w:t>
            </w:r>
          </w:p>
        </w:tc>
        <w:tc>
          <w:tcPr>
            <w:tcW w:w="0" w:type="dxa"/>
            <w:vAlign w:val="bottom"/>
          </w:tcPr>
          <w:p>
            <w:pPr>
              <w:spacing w:after="0"/>
              <w:rPr>
                <w:sz w:val="1"/>
                <w:szCs w:val="1"/>
                <w:color w:val="auto"/>
              </w:rPr>
            </w:pPr>
          </w:p>
        </w:tc>
      </w:tr>
      <w:tr>
        <w:trPr>
          <w:trHeight w:val="191"/>
        </w:trPr>
        <w:tc>
          <w:tcPr>
            <w:tcW w:w="63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and cash equivalents shown in the</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125,864</w:t>
            </w:r>
          </w:p>
        </w:tc>
        <w:tc>
          <w:tcPr>
            <w:tcW w:w="1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159,867</w:t>
            </w:r>
          </w:p>
        </w:tc>
        <w:tc>
          <w:tcPr>
            <w:tcW w:w="14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143,843</w:t>
            </w:r>
          </w:p>
        </w:tc>
        <w:tc>
          <w:tcPr>
            <w:tcW w:w="0" w:type="dxa"/>
            <w:vAlign w:val="bottom"/>
          </w:tcPr>
          <w:p>
            <w:pPr>
              <w:spacing w:after="0"/>
              <w:rPr>
                <w:sz w:val="1"/>
                <w:szCs w:val="1"/>
                <w:color w:val="auto"/>
              </w:rPr>
            </w:pPr>
          </w:p>
        </w:tc>
      </w:tr>
      <w:tr>
        <w:trPr>
          <w:trHeight w:val="234"/>
        </w:trPr>
        <w:tc>
          <w:tcPr>
            <w:tcW w:w="632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statement of cash flows</w:t>
            </w: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14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85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included in restricted cash and cash equivalents are attributable to certain contractual cash restriction requirements at the</w:t>
      </w:r>
    </w:p>
    <w:p>
      <w:pPr>
        <w:spacing w:after="0" w:line="2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Company's wholly owned Australian subsidiary related to asset replacement funds contractually required to be maintained and other guarantees as well as cash held in the Company's captive insurance company, Florina. Restricted investments - non-current (included in Restricted Cash and Investments in the accompanying consolidated balance sheets) consists of the Company's rabbi trust established for an employee and employer contributions to The GEO Group, Inc. Non-qualified Deferred Compensation Plan, its rabbi trust established for its Executive Chairman's retirement account held in a money market fund, investments in equity and fixed income mutual funds and money market funds held in the Company’s captive insurance subsidiary, Florina, and certain contractual cash requirements at the Company’s wholly owned Australian subsidiary related to certain performance guarantees at its Ravenhall facility. The investments held in the rabbi trust related to The GEO Group, Inc. Non-Qualified Deferred Compensation Plan and the investments in equity and fixed income mutual funds held in Florina are restricted investments that are not considered to be restricted cash and cash equivalents in the accompanying consolidated statements of cash flows. Refer to Note 8 - Financial Instruments.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7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include assets that are expected to be realized within the next fiscal year. Prepaid expenses represents $37.4 million and $40.2 million of the total balance as of December 31, 2024 and 2023. Other current assets consist primarily of food and uniform inventory. Included in the balance at December 31, 2024 is approximately $8.9 million of federal, state and international tax overpayments that will be applied against tax payments in 2025. Included in the balance at December 31, 2023 is approximately $5.8 million of federal, state and international tax overpayments that were applied against tax payments in 2024.</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Inventory, which consists primarily of component parts related to electronic monitoring equipment, is stated at the lower of average cost or net realizable value and is approximately $35.9 million and $25.1 million at December 31, 2024 and 2023, respectively. Inventory is included in Other Non-Current Assets in the accompanying consolidated balance sheets.</w:t>
      </w: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ind w:right="80" w:firstLine="509"/>
        <w:spacing w:after="0" w:line="270"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amortization and depreciation. Depreciation is computed using the straight-line method over the estimated useful lives of the related assets. Buildings and improvements are depreciated over 2 to 50 years. Equipment and furniture and fixtures are depreciated over 3 to 10 years. Leasehold improvements are amortized on a straight-line basis over the shorter of the useful life of the improvement or the term of the lease. The Company performs ongoing evaluations of the estimated useful lives of the property and equipment for depreciation purposes.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estimated useful lives are determined and continually evaluated based on the period over which services are expected to be rendered by the asset. If the assessment indicates that assets will be used for a longer or shorter period than previously anticipated, the useful lives of the assets are revised, resulting in a change in estimate. The Company has not made any such changes in estimates during the years ended December 31, 2024, 2023 and 2022. Maintenance and repairs are expensed as incurred. Interest is capitalized in connection with the construction of company-owned secure facilities. Cost for self-constructed secure facilities includes direct materials and labor, capitalized interest and certain other indirect costs associated with construction of the facility, such as property taxes, other indirect labor and related benefits and payroll taxes. The Company begins the capitalization of costs during the pre-construction phase, which is the period during which costs are incurred to evaluate the site and continues until the facility is substantially complete and ready for occupancy. Labor costs capitalized for the years ended December 31, 2024 were approximately $0.8 million. Labor costs capitalized for the years ended 2023 and 2022 were not significant. The capitalized costs of real estate projects are assigned to individual components of the project based on specific identification. Capitalized interest is recorded as part of the asset to which it relates and is amortized over the asset’s estimated useful life. Refer to Note 5 - Property and Equipment.</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and 2023, the Company had no properties classified as assets held for sale.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7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summarizes the Company’s idled facilities as of December 31, 2024 and their respective carrying values, excluding equipment and other assets that can be easily transferred to other facilities.</w:t>
      </w:r>
    </w:p>
    <w:tbl>
      <w:tblPr>
        <w:tblLayout w:type="fixed"/>
        <w:tblInd w:w="0" w:type="dxa"/>
        <w:tblCellMar>
          <w:top w:w="0" w:type="dxa"/>
          <w:left w:w="0" w:type="dxa"/>
          <w:bottom w:w="0" w:type="dxa"/>
          <w:right w:w="0" w:type="dxa"/>
        </w:tblCellMar>
      </w:tblPr>
      <w:tr>
        <w:trPr>
          <w:trHeight w:val="131"/>
        </w:trPr>
        <w:tc>
          <w:tcPr>
            <w:tcW w:w="3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Secure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Reentry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Secure</w:t>
            </w:r>
          </w:p>
        </w:tc>
        <w:tc>
          <w:tcPr>
            <w:tcW w:w="100" w:type="dxa"/>
            <w:vAlign w:val="bottom"/>
          </w:tcPr>
          <w:p>
            <w:pPr>
              <w:spacing w:after="0"/>
              <w:rPr>
                <w:sz w:val="12"/>
                <w:szCs w:val="12"/>
                <w:color w:val="auto"/>
              </w:rPr>
            </w:pPr>
          </w:p>
        </w:tc>
        <w:tc>
          <w:tcPr>
            <w:tcW w:w="98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2"/>
                <w:szCs w:val="12"/>
                <w:color w:val="auto"/>
              </w:rPr>
            </w:pPr>
          </w:p>
        </w:tc>
        <w:tc>
          <w:tcPr>
            <w:tcW w:w="98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100" w:type="dxa"/>
            <w:vAlign w:val="bottom"/>
          </w:tcPr>
          <w:p>
            <w:pPr>
              <w:spacing w:after="0"/>
              <w:rPr>
                <w:sz w:val="12"/>
                <w:szCs w:val="12"/>
                <w:color w:val="auto"/>
              </w:rPr>
            </w:pPr>
          </w:p>
        </w:tc>
        <w:tc>
          <w:tcPr>
            <w:tcW w:w="9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Idled</w:t>
            </w:r>
          </w:p>
        </w:tc>
        <w:tc>
          <w:tcPr>
            <w:tcW w:w="120" w:type="dxa"/>
            <w:vAlign w:val="bottom"/>
          </w:tcPr>
          <w:p>
            <w:pPr>
              <w:spacing w:after="0"/>
              <w:rPr>
                <w:sz w:val="12"/>
                <w:szCs w:val="12"/>
                <w:color w:val="auto"/>
              </w:rPr>
            </w:pPr>
          </w:p>
        </w:tc>
        <w:tc>
          <w:tcPr>
            <w:tcW w:w="96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2"/>
                <w:szCs w:val="12"/>
                <w:color w:val="auto"/>
              </w:rPr>
            </w:pPr>
          </w:p>
        </w:tc>
        <w:tc>
          <w:tcPr>
            <w:tcW w:w="9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31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(beds)</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(beds)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Ray James Correctional Facility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48,079</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Northlake Correctional Facility</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1,800</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71,883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71,883</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Rivers Correctional Facility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1,450</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34,608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34,608</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Big Spring Correctional Facility</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1,732</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27,471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27,471</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Flightline Correctional Facility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1,800</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31,915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31,915</w:t>
            </w:r>
          </w:p>
        </w:tc>
        <w:tc>
          <w:tcPr>
            <w:tcW w:w="0" w:type="dxa"/>
            <w:vAlign w:val="bottom"/>
          </w:tcPr>
          <w:p>
            <w:pPr>
              <w:spacing w:after="0"/>
              <w:rPr>
                <w:sz w:val="1"/>
                <w:szCs w:val="1"/>
                <w:color w:val="auto"/>
              </w:rPr>
            </w:pPr>
          </w:p>
        </w:tc>
      </w:tr>
      <w:tr>
        <w:trPr>
          <w:trHeight w:val="198"/>
        </w:trPr>
        <w:tc>
          <w:tcPr>
            <w:tcW w:w="31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McFarland Female Community</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Reentry Facility</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9,848</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Cheyenne Mountain Recovery Center [1]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750</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16,772</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Hector Garza Center</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4,188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Delaney Hall [3]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1,054</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29,890</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Philadelphia Residential [2]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6,716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Coleman Hall [2]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260,618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26,832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287,450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under a contract that is yet to be activated.</w:t>
      </w:r>
    </w:p>
    <w:p>
      <w:pPr>
        <w:spacing w:after="0" w:line="171"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entered into a purchase and sale agreement in the second quarter of 2024 for these facilities that was less than the net carrying values. As such, the Company recorded a total impairment loss for both facilities of approximately $2.3 million during the second quarter of 2024 which is included in (loss) gain on asset divestitures/impairment in the accompanying consolidated statements of operations. The purchase and sale agreement was later terminated. There was no indication of impairment related to the Company's idle facilities during the years ended December 31, 2023 or 2022.</w:t>
      </w:r>
    </w:p>
    <w:p>
      <w:pPr>
        <w:spacing w:after="0" w:line="1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2025, the Company announced that it has been awarded a 15-year ICE contract for this facility.</w:t>
      </w:r>
    </w:p>
    <w:p>
      <w:pPr>
        <w:spacing w:after="0" w:line="22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the Company performs a recoverability test to determine whether or not an impairment loss should be measured.</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tests idle facilities for impairment upon notification that the facilities will no longer be utilized by the customer. If a long-lived asset is part of a group that includes other assets, the unit of accounting for the long-lived asset is its group. Generally, the Company groups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achieved in the past at that facility or at similar facilities and probability weighted cash flows. The Company's probability weighted cash flows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The Company performs the impairment analysis on an annual basis, or more frequently as needed, for each of the idle facilities and takes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the Company's most recent impairment analysis, or changes in legislation surrounding a particular facility that could impact the Company's ability to house certain types of individuals at such facility. Further, a substantial increase in the number of available beds at other facilities the Company owns, or in the marketplace, could lead to deterioration in market conditions and projected cash flows. Although they are not frequently received, an unsolicited offer to purchase any of the Company's idle facilities, at amounts that are less than their carrying value could also cause the Company to reconsider the assumptions used in the most recent impairment analysis. The Company has identified marketing prospects to utilize each of the remaining currently idled facilities and has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3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determined that no current impairment exists. The Company has also received valuations from a third party on certain facilities. However, the Company can provide no assurance that it will be able to secure management contracts to utilize its idle facilities, or that it will not incur impairment charges in the future. In all cases, the undiscounted cash flows in the Company’s analysis as of December 31, 2024, exceeded the carrying amounts of each facility, therefore no impairment charges were recorded.</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evaluations also take into consideration historical experience in securing new facility management contracts to utilize facilities that had been previously idled for periods comparable to or in excess of the periods the Company's currently idle facilities have been idle. Such previously idled facilities are currently being operated under contracts that generate cash flows resulting in the recoverability of the net book value of the previously idled facilities by substantial amounts. Due to a variety of factors, the lead time to negotiate contracts with federal and state agencies to utilize idle bed capacity is generally lengthy which has historically resulted in periods of idleness similar to the ones the Company is currently experiencing.</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By their nature, these estimates contain uncertainties with respect to the extent and timing of the respective cash flows due to potential delays or material changes to forecasted terms and conditions in contracts with prospective customers that could impact the estimate of projected cash flows. Notwithstanding the effects the current economy has had on the Company's customers for available beds in the short term which has led to the Company’s decision to idle certain facilities, the Company believes the long-term trends favor an increase in the utilization of its idle facilities. This belief is also based on the Company's experience in working with governmental agencies faced with significant budgetary challenges which is a primary contributing factor to the lack of appropriated funding to build new bed capacity by federal and state agencies.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22"/>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if the contract conveys the right to control the use of identified property, plant or equipment (an identified asset) for a period of time in exchange for consideration. For leases with terms greater than 12 months, the Company records the related asset and obligation at the present value of the lease payments over the term of the lease. Many of GEO's leases include rental escalation clauses, renewal options and/or termination options that are factored into the determination of lease payments when appropriate. Only renewal or termination options that are reasonably certain to be exercised by the Company are included in the lease term which is used in the calculation of lease liabilities and right-of-use assets.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 does not typically enter into lease agreements that contain a residual guarantee or that provide for variable lease payments.</w:t>
      </w:r>
    </w:p>
    <w:p>
      <w:pPr>
        <w:spacing w:after="0" w:line="18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When available, the Company uses the rate implicit in the lease to discount lease payments to present value, however, most of GEO's lease agreements do not provide a readily determinable implicit rate. Therefore, the Company must estimate its incremental borrowing rate to discount the lease payments based on information available at lease commencement.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leases where the Company is the lessor, upon adoption of ASC 842, the Company elected to also apply the practical expedient to not</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separate non-lease components from the associated lease component if certain criteria are met for each class of underlying assets. 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The Company assessed and concluded that the timing and pattern of transfer for non-lease components and the associated lease component are the same. The Company determined that the predominant component was the lease component and as such its leases continue to qualify as operating leases. The Company made a policy election to account for and present the lease component and the non-lease component as a single component in revenue.</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Assets Held under Finance Leases</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Assets held under finance leases are recorded at the lower of the net present value of the minimum lease payments or the fair value of the leased asset at the inception of the lease. Amortization expense is recognized using the straight-line method over the shorter of the estimated useful life of the asset or the term of the related lease and is included in depreciation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Net</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has recorded goodwill as a result of its business combinations. Goodwill is recorded as the difference, if any, between the aggregate consideration paid for an acquisition and the fair value of the net tangible assets and other intangible assets acquired. The Company's goodwill is not amortized and is tested for impairment annually on the first day of the fourth quarter, and whenever events or circumstances arise that indicate impairment may have occurred. Impairment testing is performed for all reporting units that contain goodwill. The reporting units are the same as the reportable segments for U.S. Secure Services, Electronic Monitoring and Supervision Services, Reentry Services and International Services.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the annual measurement date of October 1, 2024, the Company's management elected to qualitatively assess the Company's goodwill for impairment for its Electronic Monitoring and Supervision Services reporting unit. Under provisions of the qualitative analysis, when testing goodwill for impairment, the Company first assesses qualitative factors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 Company performs a quantitative impairment test to identify goodwill impairment and measures the amount of goodwill impairment loss to be recognized, if any. The Company will also perform a quantitative test if it has been several years since the last one. The qualitative factors used by the Company’s management to determine the likelihood that the fair value of the reporting unit is less than the carrying amount include, among other things, a review of overall economic conditions and their current and future impact on the Company’s existing business, the Company’s financial performance and stock price, industry outlook and market competition. With respect to the qualitative assessment, management determined that, as of October 1, 2024, it was more likely than not that the fair value of the Electronic Monitoring and Supervision Services reporting unit exceeded its carrying values. The Company performed a quantitative analysis for its U.S. Secure Services and Reentry Services reporting units using a third-party valuation firm to determine the estimated fair value of the reporting unit using a discounted cash flow model. For U.S. Secure Services and Reentry Services reporting units, a discount rate of 13.5% and 12.0%, respectively, was utilized to adjust the cash flow forecasts based on the Company’s estimate of a market participant’s weighted-average cost of capital. Growth rates for sales and profits were determined using inputs from the Company’s long-term planning process. The Company also made estimates for discount rates and other factors based on market conditions, historical experience and other economic factors. Changes in these factors could significantly impact the fair value of the reporting unit. With respect to the U.S. Secure Services and Reentry Services reporting units that were assessed quantitatively, management determined that the fair values exceeded their carrying values by a significant amount. A significant change in one or combination of the assumptions discussed above could have impacted the estimated fair value of the reporting unit. If the Company’s expectations of future results and cash flows decrease significantly or other economic conditions deteriorate, goodwill may be further impaired. Goodwill recorded at the Company's International Services reporting unit is not significant. No impairment charges were recorded for the years ended December 31, 2024, 2023 or 2022.</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1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has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the Company’s intent to do so. The Company’s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represented BI’s innovation with respect to its GPS tracking, monitoring, radio frequency monitoring, voice verification monitoring and alcohol compliance systems which became fully amortized as of December 31, 2023. When establishing useful lives, the Company considers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The Company also considers the impact of renewal terms when establishing useful lives. The Company currently amortizes its acquired facility management contracts over periods ranging from three to twenty-one years and its acquired technology over seven years to eight years. There is no residual value associated with the Company’s finite-lived intangible assets. The Company reviews its trade name assets for impairment whenever events or changes in circumstances indicate that the carrying amount of such assets may not be fully recoverable. The Company does not amortize its indefinite lived intangible assets. The Company reviews its indefinite lived intangible assets annually or more frequently if events or changes in circumstances indicate that the asset might be impaired. The qualitative factors used by GEO’s management to determine the likelihood that the fair value of the reporting unit is less than the carrying amount include, among other things, a review of overall economic conditions and their current and future impact on our existing business, our financial performance and stock price, industry outlook and market competition. These reviews resulted in no significant impairment to the carrying value of the indefinite lived intangible assets for all periods presented. The Company records the costs associated with renewal and extension of facility management contracts as expenses in the period they are incurred.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Costs incurred to develop software for internal use are capitalized and amortized over the estimated useful lives of the software. Costs related to design or maintenance of internal-use software are expensed as incurred. As of December 31, 2024 and 2023, included in Property and Equipment, Net is approximately $18.8 million and $12.6 million of capitalized internal-use software costs, respectively.</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Debt issuance costs, net of accumulated amortization of $4.5 million and $15.3 million, totaling $34.6 million and $43.8 million at December 31, 2024 and 2023, respectively, are included in Long-Term Debt, Non-Recourse Debt and Other Non-Current Assets in the accompanying Consolidated Balance Sheets and are amortized to interest expense using the effective interest method over the term of the related debt. Refer to Note 11 - Debt for discussion of debt issuance costs written off in connection with the Company's private exchange transactions.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 Revenue</w:t>
      </w:r>
    </w:p>
    <w:p>
      <w:pPr>
        <w:spacing w:after="0" w:line="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leases nine of its owned facilities to unrelated parties. Six of which have a month-to-month term through June 2025. The carrying value of these leased facilities as of December 31, 2024 is $45.5 million, net of accumulated depreciation of $26.0 million. For the additional three leased facilities, one facility has a term that expires in October 2026. The carrying value of this leased facility as of December 31, 2024 was $2.2 million, net of accumulated depreciation of $0.9 million. One facility has a term of sixty-six months with one-year renewal options which base term expires in October 2028. The carrying value of this leased facility as of December 31, 2024 was $74.8 million, net of accumulated depreciation of $36.7 million. The remaining facility has a term of twenty years with renewals and expires in October 2041. The carrying value of this leased facility as of December 31, 2024 was $20.6 million, net of accumulated depreciation of $18.3 million. Rental income, included in Revenues, for leased facilities for the years ended December 31, 2024, 2023 and 2022 was approximately $15.0 million, $11.4 million and $5.6 million, respectively. As of December 31, 2024, future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rentals to be received on these leases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Annual Rental</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13,361</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13,375</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11,911</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16"/>
        </w:trPr>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53,903</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110,495</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evaluates its joint ventures and other entities in which it has a variable interest (a “VIE”), generally in the form of investments, loans, guarantees, or equity in order to determine if it has a controlling financial interest and is required to consolidate the entity as a result. The reporting entity with a variable interest that provides the entity with a controlling financial interest in the VIE will have both of the following characteristics: (i) the power to direct the activities of a VIE that most significantly impact the VIE's economic performance and (ii) the obligation to absorb the losses of the VIE that could potentially be significant to the VIE or the right to receive benefits from the VIE that could potentially be significant to the VIE.</w:t>
      </w:r>
    </w:p>
    <w:p>
      <w:pPr>
        <w:spacing w:after="0" w:line="18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The Company does not consolidate its 50% owned South African joint venture interest in SACS, a VIE. SACS joint venture investors are GEO and Kensani Corrections, Pty. Ltd (an independent third party); each partner owns a 50% share. The Company has determined it is not the primary beneficiary of SACS since it does not have the power to direct the activities of SACS that most significantly impact its performance. As such, the Company's investment in this entity is accounted for under the equity method of accounting. SACS was established and subsequently, in 2001, was awarded a 25-year contract to design, finance and build the Kutama Sinthumule Correctional Centre in Louis Trichardt, South Africa. To fund the construction of the prison, SACS obtained long-term financing from its equity partners and lenders, the repayment of which is fully guaranteed by the South African government, except in the event of default, in which case the government guarantee is reduced to 80%. The Company's maximum exposure for loss under this contract is limited to its investment in the joint venture of approximately $7.2 million at December 31, 2024.</w:t>
      </w:r>
    </w:p>
    <w:p>
      <w:pPr>
        <w:spacing w:after="0" w:line="18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does not consolidate its 50% owned joint venture in the United Kingdom. In February 2011, GEO UK, executed a Shareholders Agreement (the “Shareholders Agreement”) with Amey Community Limited (“Amey”) and Amey UK PLC (“Amey Guarantor”) to form GEOAmey, a private company limited by shares incorporated in England and Wales. GEOAmey was formed by GEO UK and Amey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 independent third party) for the purpose of performing escort and related custody services in England, Wales and Scotland. In order to form this private company, GEOAmey issued share capital of £100 divided into 100 shares of £1 each and allocated the shares 50/50 to GEO UK and Amey. GEO UK and Amey each have three directors appointed to the Board of Directors and neither party has the power to direct the activities that most significantly impact the performance of GEOAmey. As such, the Company's investment in this entity is accounted for under the equity method of accounting. The Company's maximum exposure for loss under this contract is limited to its investment in the joint venture of approximately $10.3 million at December 31, 2024.</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paid to transfer a liability in an orderly transaction between market participants at the measurement date (“exit price”). The Company carries certain of its assets and liabilities at fair value, measured on a recurring basis, in the accompanying Consolidated Balance Sheets. The Company also has certain assets and liabilities which are not carried at fair value in its accompanying Consolidated Balance Sheets and discloses the fair value measurements compared to the carrying values as of each balance sheet date. The Company’s fair value measurements are disclosed in Note 8 - Financial Instruments and Note 9 - Fair Value of Assets and Liabilities. The Company establishes fair value of its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 Level 3 inputs are unobservable inputs for the assets or liabilities that reflect management’s own assumptions about the assumptions market participants would use in pricing the asset or liability. The Company recognizes transfers between Levels 1, 2 and 3 as of the actual date of the event or change in circumstances that cause the transfer.</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GEO's customers, in an amount that reflects the consideration GEO expects to be entitled to in exchange for those goods or services. Sales, value-added and other taxes GEO collects concurrent with revenue producing activities and that are subsequently remitted to governmental authorities are excluded from revenues. The guidance distinguishes between goods and services. The definition of services under the guidance includes everything other than goods. As such, in the case of GEO, this guidance views the provision of housing and electronic monitoring as a service.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When a contract includes variable consideration, GEO determines an estimate of the variable consideration and evaluates whether the estimate needs to be constrained; therefore, GEO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One of GEO's international contracts, related to its Ravenhall facility (discussed further below), contains a provision where a significant portion of the revenue for the contract is based on the performance of certain targets. These performance targets are based on specific criteria to be met over specific periods of time. Such criteria include the Company's ability to achieve certain contractual benchmarks relative to the quality of service it provides, non-occurrence of certain disruptive events, effectiveness of its quality control programs and its responsiveness to customer requirements. The performance of these targets is measured quarterly and there was no significant constraint on the estimate of such variable consideration for this contract during the years ended December 31, 2024, 2023 and 2022.</w:t>
      </w:r>
    </w:p>
    <w:p>
      <w:pPr>
        <w:spacing w:after="0" w:line="1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GEO does not disclose the value of unsatisfied performance obligations for (i) contracts with an expected length of one year or less and (ii) contracts for which revenue is recognized at the amount to which GEO has the right to invoice for services performed, which is generally the case for all of GEO's contracts. Incidental items that are immaterial in the context of the contract are recognized as expense. GEO generally does not incur incremental costs related to obtaining a contract with its customers that would meet the requirement for capitalization. There were no assets recognized from costs to obtain a contract with a customer at December 31, 2024 or 2023.</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GEO records a receivable when services are performed which are due from its customers based on the passage of time. GEO records a contract liability if consideration is received in advance of the performance of services. Generally, GEO's customers do not provide payment in advance of the performance of services. Therefore, any contract liability is not significant at December 31, 2024 or 2023. Revenue recognized during the years ended December 31, 2024 and 2023 that was included in the opening balance of unearned revenue was not significant. There have been no significant amounts of revenue recorded in the periods presented from performance obligations either wholly or partially satisfied in prior periods.</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right to consideration under GEO's contracts is only dependent on the passage of time and is therefore considered to be unconditional. Payment terms and conditions vary by contract type although terms generally include a requirement of payment within 30 days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3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after performance obligations are satisfied and generally do not include a significant financing component. There have been no significant changes in receivables or unearned revenue balances during the periods other than regular invoicing and collection activity.</w:t>
      </w:r>
    </w:p>
    <w:p>
      <w:pPr>
        <w:spacing w:after="0" w:line="16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GEO's revenue by major source and also provides a reconciliation with revenue information disclosed for reportable segments in Note 14 - Business Segments and Geographic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7"/>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 2024 (in thousands)</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219"/>
              <w:spacing w:after="0" w:line="118" w:lineRule="exact"/>
              <w:rPr>
                <w:sz w:val="20"/>
                <w:szCs w:val="20"/>
                <w:color w:val="auto"/>
              </w:rPr>
            </w:pPr>
            <w:r>
              <w:rPr>
                <w:rFonts w:ascii="Times New Roman" w:cs="Times New Roman" w:eastAsia="Times New Roman" w:hAnsi="Times New Roman"/>
                <w:sz w:val="13"/>
                <w:szCs w:val="13"/>
                <w:b w:val="1"/>
                <w:bCs w:val="1"/>
                <w:color w:val="auto"/>
              </w:rPr>
              <w:t>Electronic</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140" w:type="dxa"/>
            <w:vAlign w:val="bottom"/>
          </w:tcPr>
          <w:p>
            <w:pPr>
              <w:spacing w:after="0"/>
              <w:rPr>
                <w:sz w:val="12"/>
                <w:szCs w:val="12"/>
                <w:color w:val="auto"/>
              </w:rPr>
            </w:pPr>
          </w:p>
        </w:tc>
        <w:tc>
          <w:tcPr>
            <w:tcW w:w="1280" w:type="dxa"/>
            <w:vAlign w:val="bottom"/>
            <w:gridSpan w:val="2"/>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Reentry Services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Owned and Leased: Secure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1,207,979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1,207,979</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and Leased: Community-based</w:t>
            </w:r>
          </w:p>
        </w:tc>
        <w:tc>
          <w:tcPr>
            <w:tcW w:w="16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163,911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163,911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Only</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396,407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208,924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611,752</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Monitoring Services and Other Reentry</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332,826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107,234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440,060</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1,604,386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332,826</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277,566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208,924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2,423,702</w:t>
            </w:r>
          </w:p>
        </w:tc>
        <w:tc>
          <w:tcPr>
            <w:tcW w:w="0" w:type="dxa"/>
            <w:vAlign w:val="bottom"/>
          </w:tcPr>
          <w:p>
            <w:pPr>
              <w:spacing w:after="0"/>
              <w:rPr>
                <w:sz w:val="1"/>
                <w:szCs w:val="1"/>
                <w:color w:val="auto"/>
              </w:rPr>
            </w:pPr>
          </w:p>
        </w:tc>
      </w:tr>
      <w:tr>
        <w:trPr>
          <w:trHeight w:val="372"/>
        </w:trPr>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 2023 (in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219"/>
              <w:spacing w:after="0" w:line="118" w:lineRule="exact"/>
              <w:rPr>
                <w:sz w:val="20"/>
                <w:szCs w:val="20"/>
                <w:color w:val="auto"/>
              </w:rPr>
            </w:pPr>
            <w:r>
              <w:rPr>
                <w:rFonts w:ascii="Times New Roman" w:cs="Times New Roman" w:eastAsia="Times New Roman" w:hAnsi="Times New Roman"/>
                <w:sz w:val="13"/>
                <w:szCs w:val="13"/>
                <w:b w:val="1"/>
                <w:bCs w:val="1"/>
                <w:color w:val="auto"/>
              </w:rPr>
              <w:t>Electronic</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140" w:type="dxa"/>
            <w:vAlign w:val="bottom"/>
          </w:tcPr>
          <w:p>
            <w:pPr>
              <w:spacing w:after="0"/>
              <w:rPr>
                <w:sz w:val="12"/>
                <w:szCs w:val="12"/>
                <w:color w:val="auto"/>
              </w:rPr>
            </w:pPr>
          </w:p>
        </w:tc>
        <w:tc>
          <w:tcPr>
            <w:tcW w:w="1280" w:type="dxa"/>
            <w:vAlign w:val="bottom"/>
            <w:gridSpan w:val="2"/>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Reentry Services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Owned and Leased - Secure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1,140,548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1,140,548</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and Leased - Community-based</w:t>
            </w:r>
          </w:p>
        </w:tc>
        <w:tc>
          <w:tcPr>
            <w:tcW w:w="16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166,987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166,987</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Only</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377,744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5,093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193,894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576,731</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Monitoring Services and Other Reentry</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425,879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528,901</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1,518,292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425,879</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275,102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193,894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2,413,167</w:t>
            </w:r>
          </w:p>
        </w:tc>
        <w:tc>
          <w:tcPr>
            <w:tcW w:w="0" w:type="dxa"/>
            <w:vAlign w:val="bottom"/>
          </w:tcPr>
          <w:p>
            <w:pPr>
              <w:spacing w:after="0"/>
              <w:rPr>
                <w:sz w:val="1"/>
                <w:szCs w:val="1"/>
                <w:color w:val="auto"/>
              </w:rPr>
            </w:pPr>
          </w:p>
        </w:tc>
      </w:tr>
      <w:tr>
        <w:trPr>
          <w:trHeight w:val="372"/>
        </w:trPr>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 2022 (in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219"/>
              <w:spacing w:after="0" w:line="118" w:lineRule="exact"/>
              <w:rPr>
                <w:sz w:val="20"/>
                <w:szCs w:val="20"/>
                <w:color w:val="auto"/>
              </w:rPr>
            </w:pPr>
            <w:r>
              <w:rPr>
                <w:rFonts w:ascii="Times New Roman" w:cs="Times New Roman" w:eastAsia="Times New Roman" w:hAnsi="Times New Roman"/>
                <w:sz w:val="13"/>
                <w:szCs w:val="13"/>
                <w:b w:val="1"/>
                <w:bCs w:val="1"/>
                <w:color w:val="auto"/>
              </w:rPr>
              <w:t>Electronic</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140" w:type="dxa"/>
            <w:vAlign w:val="bottom"/>
          </w:tcPr>
          <w:p>
            <w:pPr>
              <w:spacing w:after="0"/>
              <w:rPr>
                <w:sz w:val="12"/>
                <w:szCs w:val="12"/>
                <w:color w:val="auto"/>
              </w:rPr>
            </w:pPr>
          </w:p>
        </w:tc>
        <w:tc>
          <w:tcPr>
            <w:tcW w:w="1280" w:type="dxa"/>
            <w:vAlign w:val="bottom"/>
            <w:gridSpan w:val="2"/>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Reentry Services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Owned and Leased - Secure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1,109,923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1,109,923</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and Leased - Community-based</w:t>
            </w:r>
          </w:p>
        </w:tc>
        <w:tc>
          <w:tcPr>
            <w:tcW w:w="16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155,932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155,932</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Only</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327,908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187,200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522,021</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Monitoring Services and Other Reentry</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496,268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92,583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588,851</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1,437,831</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496,268</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255,428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187,200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2,376,727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-2734310</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-2716530</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-2734310</wp:posOffset>
            </wp:positionV>
            <wp:extent cx="85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-2716530</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-2734310</wp:posOffset>
            </wp:positionV>
            <wp:extent cx="857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-2716530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-2734310</wp:posOffset>
            </wp:positionV>
            <wp:extent cx="85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-2716530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-1379220</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-1362075</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-1379220</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-1362075</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-1379220</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-1362075</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-1379220</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-1362075</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-24765</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85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857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857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85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857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Owned and Leased - Secure Services</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GEO recognizes revenue for secure housing services where GEO owns or leases the facility as services are performed. GEO provides for the safe and secure housing and care of incarcerated individuals under public-private partnerships with federal, state and local government agencies. This includes providing 24-hour care and supervision, including but not limited to, such services as medical, transportation, food service, laundry services and various programming activities. These tasks are considered to be activities to fulfill the safe and secure housing performance obligation and are not considered to be individually separate promises in the contract. Each of these activities is highly interrelated and GEO performs a significant level of integration of these activities. GEO has identified these activities as a bundle of services and determined that each day of the promised service is distinct. The services provided are part of a series of distinct services that are substantially the same and are measured using the same measure of progress (time-based output method). GEO has determined that revenue for these services are recognized over time as its customers simultaneously receive and consume the benefits as the services are performed, which is on a continual daily basis, and GEO has a right to payment for performance completed to date. Time-based output methods of revenue recognition are considered to be a faithful depiction of GEO's efforts to fulfill its obligations under its contracts and therefore reflect the transfer of services to its customers. GEO's customers generally pay for these services based on a net rate per day per individual or on a fixed monthly 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Owned and Leased - Community-based</w:t>
      </w:r>
    </w:p>
    <w:p>
      <w:pPr>
        <w:spacing w:after="0" w:line="175"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GEO recognizes revenue for community-based reentry services where GEO owns or leases the facility in a manner similar to its secure services discussed above. GEO provides individuals nearing the end of their judicially imposed sentence with the resources necessary to productively transition back into society. Through its residential reentry centers, GEO provides federal and state parolees and probationers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temporary housing, rehabilitation, substance abuse counseling and vocational and educational programs. These activities are considered to be a bundle of services which are a part of a series of distinct services recognized over time based on the same criteria as discussed above for secure services revenues. GEO's customers also generally pay for these services based on a net rate per day per individual or on a fixed monthly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Only</w:t>
      </w:r>
    </w:p>
    <w:p>
      <w:pPr>
        <w:spacing w:after="0" w:line="175"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GEO recognizes revenue for its managed only contracts in the same manner as its Owned and Leased Secure Services and Owned and Leased Community-based contracts as discussed above. The primary exception is that GEO does not own or lease the facility. The facility is owned by the customer. In certain circumstances, GEO's customers may request that GEO make certain capital improvements to the facility or make other payments related to the facility. These payments are amortized as a reduction of revenues over the life of the contract. GEO's customers generally pay for these services based on a net rate per day per individual or a fixed monthly 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 and Other Reentry</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Electronic Monitoring and Supervision Services and Other Reentry revenue consist of the Company's contracts with federal and various state and local governments to provide location, alcohol and drug detecting electronic monitoring and case management services to individuals on an as needed or as requested basis. This category also includes the Company's day reporting centers.</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GEO recognizes revenues for electronic monitoring and case management services as the services are performed. Services provided consist of community-based supervision (home visits), in-person reporting, telephonic reporting and GPS and other electronic monitoring as well as overall contract management services. The rates for the various services are considered to be stated at their individual stand-alone selling prices. GEO has determined that the services to be provided are recognized over time based on the unit of occurrence of the various services as its customer simultaneously receives and consumes the benefits as the services are performed and GEO has a right to payment for performance completed to date. Generally, these services are paid based on a net rate per occurrence and a monthly fee for management services.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Certain of the Company's electronic monitoring contracts include providing monitoring equipment and related monitoring services activities (using internal proprietary software platforms) to its customers. These tasks are considered to be activities to fulfill the promise to provide electronic monitoring services to individuals and are not considered to be individually separate promises in the contract. In the context of the contract, the equipment and monitoring service is not considered to be capable of being distinct as the customer typically cannot benefit from the equipment or monitoring service on its own or with other readily available resources. Management has identified these activities as a bundle of services and determined that each day or unit of the promised service is distinct. These services are part of a series of distinct services that are substantially the same and are measured using the same measure of progress (time-based output method) and are therefore accounted for as a single performance obligation. GEO has determined that services are recognized over time as the customer simultaneously receives and consumes the benefits as the services are performed and GEO has a right to payment for performance completed to date.</w:t>
      </w:r>
    </w:p>
    <w:p>
      <w:pPr>
        <w:spacing w:after="0" w:line="18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Services provided for GEO's day reporting centers are similar to its Owned and Leased Community-based services discussed above with the exception of temporary housing.</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as income in the period that includes the enactment date. Refer to Note 15 - Income Taxes.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Deferred income taxes are determined based on the estimated future tax effects of differences between the financial statement and tax basis of assets and liabilities given the provisions of enacted tax laws. Significant judgments are required to determine the consolidated provision for income taxes. Deferred income tax provisions and benefits are based on changes to the assets or liabilities from year to year. Realization of the Company’s deferred tax assets is dependent upon many factors such as tax regulations applicable to the jurisdictions in which the Company operates, estimates of future taxable income and the character of such taxable income.</w:t>
      </w:r>
    </w:p>
    <w:p>
      <w:pPr>
        <w:spacing w:after="0" w:line="183" w:lineRule="exact"/>
        <w:rPr>
          <w:sz w:val="20"/>
          <w:szCs w:val="20"/>
          <w:color w:val="auto"/>
        </w:rPr>
      </w:pPr>
    </w:p>
    <w:p>
      <w:pPr>
        <w:ind w:right="160" w:firstLine="555"/>
        <w:spacing w:after="0" w:line="271" w:lineRule="auto"/>
        <w:rPr>
          <w:sz w:val="20"/>
          <w:szCs w:val="20"/>
          <w:color w:val="auto"/>
        </w:rPr>
      </w:pPr>
      <w:r>
        <w:rPr>
          <w:rFonts w:ascii="Times New Roman" w:cs="Times New Roman" w:eastAsia="Times New Roman" w:hAnsi="Times New Roman"/>
          <w:sz w:val="18"/>
          <w:szCs w:val="18"/>
          <w:color w:val="auto"/>
        </w:rPr>
        <w:t>Additionally, the Company must use judgment in addressing uncertainties in the application of complex tax laws and regulations. If actual circumstances differ from the Company’s assumptions, adjustments to the carrying value of deferred tax assets or liabilities may be required, which may result in an adverse impact on the results of its operations and its effective tax rate. Valuation allowances are recorded related to deferred tax assets based on the “more likely than not” criteria. The Company has not made any significant changes to the way it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93" w:name="page94"/>
    <w:bookmarkEnd w:id="93"/>
    <w:p>
      <w:pPr>
        <w:spacing w:after="0" w:line="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accounts for its deferred tax assets and liabilities in any year presented in the consolidated financial statements. Based on its estimate of future earnings and its favorable earnings history, the Company currently expects full realization of the deferred tax assets net of any recorded valuation allowances. Furthermore, tax positions taken by the Company may not be fully sustained upon examination by the taxing authorities. In determining the adequacy of our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Reserves for Insurance Losses</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nature of the Company’s business exposes it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the escape of an individual in the Company’s care or from a disturbance or riot at a facility. In addition, the Company’s management contracts generally require it to indemnify the governmental agency against any damages to which the governmental agency may be subject in connection with such claims or litigation. The Company maintains a broad program of insurance coverage for these general types of claims, except for claims relating to employment matters, for which the Company carries no insurance. There can be no assurance that the Company’s insurance coverage will be adequate to cover all claims to which it may be exposed. It is the Company’s general practice to bring merged or acquired companies into its corporate master policies in order to take advantage of certain economies of scale.</w:t>
      </w:r>
    </w:p>
    <w:p>
      <w:pPr>
        <w:spacing w:after="0" w:line="190"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On October 1, 2021, GEO formed a wholly owned captive insurance subsidiary, Florina Insurance Company, Inc. (“Florina”), to enhance its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the option of procuring insurance policies for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spacing w:after="0" w:line="17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Company currently maintains a general liability policy and excess liability policies with total limits of $75.0 million per occurrence and $95.0 million total general liability annual aggregate limits covering the operations of U.S. Secure Services, Reentry Services and Electronic Monitoring and Supervision Services through commercial and captive insurance policies. The Company has a professional liability program with a specific loss limit of $45.0 million per occurrence and in the aggregate related to medical professional liability claims arising out of correctional healthcare services. The Company is uninsured for any claims in excess of these limits. We also maintain insurance to cover property and other casualty risks including, workers’ compensation, environmental liability, cybersecurity liability and automobile liability.</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most casualty insurance policies, the Company carries substantial deductibles or self-insured retentions of $4.0 million per occurrence for general liability and $5.0 million per occurrence for medical professional liability, $2.0 million per occurrence for workers’ compensation, $2.3 million per occurrence for directors' and officers’ liability and $1.0 million per occurrence for automobile liability. In addition, certain of the Company’s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the Company from insuring some of its facilities to full replacement value.</w:t>
      </w:r>
    </w:p>
    <w:p>
      <w:pPr>
        <w:spacing w:after="0" w:line="189"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With respect to operations in South Africa and Australia, the Company utilizes locally procured insurance to meet contractual insurance requirements and protect the Company.</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Of the insurance policies discussed above, the Company’s most significant insurance reserves relate to workers’ compensation, general liability and auto claims. These reserves, which include Florina’s reserves and GEO’s legacy reserves and administrative costs for the plans, are undiscounted and were $56.9 million and $65.6 million as of December 31, 2024 and 2023, respectively, and are included in Accrued Expenses in the accompanying Consolidated Balance Sheets. The Company uses statistical and actuarial methods to estimate amounts for claims that have been reported but not paid and claims incurred but not reported. In applying these methods and assessing their results, the Company considers such factors as historical frequency and severity of claims at each of its facilities, claim development, payment patterns and changes in the nature of its business, among other factors. Such factors are analyzed for each of the Company’s business segments. The Company estimates may be impacted by such factors as increases in the market price for medical services and unpredictability of the size of jury awards. The Company also may experience variability between its estimates and the actual settlement due to limitations inherent in the estimation process, including its ability to estimate costs of processing and settling claims in a timely manner as well as its ability to accurately estimate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3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exposure at the onset of a claim. Because the Company has high deductible insurance policies, the amount of its insurance expense is dependent on its ability to control its claims experience. If actual losses related to insurance claims significantly differ from the Company’s estimates, its financial condition, results of operations and cash flows could be materially adversely impacted.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Comprehensive income (loss) represents the change in shareholders’ equity from transactions and other events and circumstances arising from non-shareholder sources. The Company’s total comprehensive income is comprised of net income attributable to GEO, net income attributable to noncontrolling interests, foreign currency translation adjustments that arise from consolidating foreign operations that do not impact cash flows, net unrealized gains and/ or losses on derivative instruments, and pension liability adjustments in the consolidated statements of shareholders’ equity.</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components of accumulated other comprehensive loss attributable to GEO included in the consolidated statement of shareholders' equity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gain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 GEO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 Inc.</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net of tax</w:t>
            </w:r>
          </w:p>
        </w:tc>
        <w:tc>
          <w:tcPr>
            <w:tcW w:w="1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(19,755 )</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3,041</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(16,642 )</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 (loss)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(7,184 )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1,447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(4,960 )</w:t>
            </w: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(26,939 )</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3,833</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1,519</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(21,602 )</w:t>
            </w:r>
          </w:p>
        </w:tc>
        <w:tc>
          <w:tcPr>
            <w:tcW w:w="0" w:type="dxa"/>
            <w:vAlign w:val="bottom"/>
          </w:tcPr>
          <w:p>
            <w:pPr>
              <w:spacing w:after="0"/>
              <w:rPr>
                <w:sz w:val="1"/>
                <w:szCs w:val="1"/>
                <w:color w:val="auto"/>
              </w:rPr>
            </w:pPr>
          </w:p>
        </w:tc>
      </w:tr>
      <w:tr>
        <w:trPr>
          <w:trHeight w:val="347"/>
        </w:trPr>
        <w:tc>
          <w:tcPr>
            <w:tcW w:w="44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2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398"/>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to The GEO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2"/>
                <w:szCs w:val="12"/>
                <w:color w:val="auto"/>
              </w:rPr>
            </w:pPr>
          </w:p>
        </w:tc>
        <w:tc>
          <w:tcPr>
            <w:tcW w:w="130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net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Group, Inc.</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tax</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net of tax</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1,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3,645</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(953 )</w:t>
            </w:r>
          </w:p>
        </w:tc>
        <w:tc>
          <w:tcPr>
            <w:tcW w:w="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(16,919 )</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 (loss)</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(19,755 )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-1293495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-1276350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-1293495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-1276350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-1293495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-1276350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-1293495</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-1276350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reclassifications out of accumulated other comprehensive income (loss) during the years ended December 31, 2024 or 2023.</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adjustment, net of tax, related to noncontrolling interests was not significant for the years ended December 31, 2024 or 2023.</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Company’s foreign operations use their local currencies as their functional currencies. Assets and liabilities of the operations are translated at the exchange rates in effect on the balance sheet date and shareholders’ equity is translated at historical rates. Income statement items are translated at the average exchange rates for the year. Any adjustment resulting from translating the financial statements of the foreign subsidia</w:t>
      </w:r>
      <w:r>
        <w:rPr>
          <w:rFonts w:ascii="Times New Roman" w:cs="Times New Roman" w:eastAsia="Times New Roman" w:hAnsi="Times New Roman"/>
          <w:sz w:val="18"/>
          <w:szCs w:val="18"/>
          <w:color w:val="252525"/>
        </w:rPr>
        <w:t>ry is reflected as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comprehensive income, net of related tax. Gains and losses on foreign currency transactions are included in the statement of operations.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75"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8"/>
          <w:szCs w:val="18"/>
          <w:color w:val="auto"/>
        </w:rPr>
        <w:t>The Company’s primary objective in holding derivatives is to reduce the volatility of earnings and cash flows associated with changes in interest rates. The Company measures its derivative financial instruments at fair value and records derivatives as either assets or liabilities on the balance sheet. For derivatives that are designed as and qualify as effective cash flow hedges, the portion of gain or loss on the derivative instrument effective at offsetting changes in the hedged item is reported as a component of accumulated other comprehensive income and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18"/>
          <w:szCs w:val="18"/>
          <w:color w:val="auto"/>
        </w:rPr>
        <w:t>reclassified into earnings when the hedged transaction affects earnings. For derivative instruments that are designated as and qualify as effective fair value hedges, the gain or loss on the derivative instruments as well as the offsetting gain or loss on the hedged items attributable to the hedged risk is recognized in current earnings as interest income (expense) during the period of the change in fair values. For derivative instruments that do not meet the requirements for hedge accounting, changes in fair value are recorded in earnings. Derivative instruments are classified in the same category as cash flows from the items being hedged and any related gains and losses are reported as financing activities in the Consolidated Statement of Cash Flows.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formally documents all relationships between hedging instruments and hedge items, as well as its risk-management objective and strategy for undertaking various hedge transactions. This process includes attributing all derivatives that are designated as cash flow hedges to floating rate liabilities and attributing all derivatives that are designated as fair value hedges to fixed rate liabilities. The Company also assesses whether each derivative is highly effective in offsetting changes in the cash flows of the hedged item. Fluctuations in the value of the derivative instruments are generally offset by changes in the hedged item; however, if it is determined that a derivative is not highly effective as a hedge or if a derivative ceases to be a highly effective hedge, the Company will discontinue hedge accounting prospectively for the affected derivative.</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the cost of stock-based compensation awards based upon the grant date fair value of those awards. The impact of forfeitures that may occur prior to vesting is also estimated and considered in the amount recognized. Stock-based compensation expense is recognized ratably over the requisite service period, which is typically the vesting period.</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stock-based option awards was estimated using the Black-Scholes option-pricing model with the following weighted average assumptions for options awarded during years 2024,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free interest rates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1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4-5 years</w:t>
            </w:r>
          </w:p>
        </w:tc>
        <w:tc>
          <w:tcPr>
            <w:tcW w:w="10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4-5 years</w:t>
            </w:r>
          </w:p>
        </w:tc>
        <w:tc>
          <w:tcPr>
            <w:tcW w:w="10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4-5 years</w:t>
            </w:r>
          </w:p>
        </w:tc>
      </w:tr>
      <w:tr>
        <w:trPr>
          <w:trHeight w:val="216"/>
        </w:trPr>
        <w:tc>
          <w:tcPr>
            <w:tcW w:w="6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00" w:lineRule="exact"/>
        <w:rPr>
          <w:sz w:val="20"/>
          <w:szCs w:val="20"/>
          <w:color w:val="auto"/>
        </w:rPr>
      </w:pPr>
    </w:p>
    <w:p>
      <w:pPr>
        <w:spacing w:after="0" w:line="24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uses historical data to estimate award exercises and employee terminations/forfeitures within the valuation model. The expected term of the awards represents the period of time that awards granted are expected to be outstanding and is based on historical data and expected holding periods. The maximum contractual term of stock-based option awards is ten years. The Company issues shares of its common stock upon the exercise of stock-based option awards out of its reserve established for its Amended 2018 Plan.</w:t>
      </w:r>
    </w:p>
    <w:p>
      <w:pPr>
        <w:spacing w:after="0" w:line="18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For restricted stock share-based awards that contain a performance condition, the achievement of the targets must be probable before any share-based compensation is recorded.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w:t>
      </w:r>
    </w:p>
    <w:p>
      <w:pPr>
        <w:spacing w:after="0" w:line="183"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For restricted stock share-based awards that contain a market condition, the probability of satisfying the market condition is considered in the estimate of grant-date fair value and previously recorded compensation expense is not reversed if the market condition is never met. The fair value of restricted stock awards granted in 2024, 2023 and 2022 with market-based performance conditions was determined based on a Monte Carlo simulation, which calculates a range of possible outcomes and the probabilities that they will occur, using the following average key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4"/>
              </w:rPr>
              <w:t>52.0 %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7"/>
              </w:rPr>
              <w:t>62.9 %</w:t>
            </w:r>
          </w:p>
        </w:tc>
        <w:tc>
          <w:tcPr>
            <w:tcW w:w="176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7"/>
              </w:rPr>
              <w:t>57.5 %</w:t>
            </w:r>
          </w:p>
        </w:tc>
      </w:tr>
      <w:tr>
        <w:trPr>
          <w:trHeight w:val="216"/>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Beta</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0.92</w:t>
            </w:r>
          </w:p>
        </w:tc>
        <w:tc>
          <w:tcPr>
            <w:tcW w:w="17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4"/>
              </w:rPr>
              <w:t>4.30 %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7"/>
              </w:rPr>
              <w:t>4.60 %</w:t>
            </w:r>
          </w:p>
        </w:tc>
        <w:tc>
          <w:tcPr>
            <w:tcW w:w="176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7"/>
              </w:rPr>
              <w:t>1.45 %</w:t>
            </w:r>
          </w:p>
        </w:tc>
      </w:tr>
    </w:tbl>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the net income attributable to The GEO Group, Inc. available to common stockholders by the weighted-average number of common shares outstanding for the period. Net income attributable to The GEO Group, Inc. available to common stockholders represents net income attributable to The GEO Group, Inc. reduced by an allocation of earnings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ind w:right="60"/>
        <w:spacing w:after="0" w:line="258" w:lineRule="auto"/>
        <w:rPr>
          <w:sz w:val="20"/>
          <w:szCs w:val="20"/>
          <w:color w:val="auto"/>
        </w:rPr>
      </w:pPr>
      <w:r>
        <w:rPr>
          <w:rFonts w:ascii="Times New Roman" w:cs="Times New Roman" w:eastAsia="Times New Roman" w:hAnsi="Times New Roman"/>
          <w:sz w:val="18"/>
          <w:szCs w:val="18"/>
          <w:color w:val="auto"/>
        </w:rPr>
        <w:t>to participating securities. The 6.50% Exchangeable Notes due 2026, which contain non-forfeitable rights to dividends declared and paid on the shares of common stock, are participating securities and are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accounting standard was adopted in the current period:</w:t>
      </w:r>
    </w:p>
    <w:p>
      <w:pPr>
        <w:spacing w:after="0" w:line="229" w:lineRule="exact"/>
        <w:rPr>
          <w:sz w:val="20"/>
          <w:szCs w:val="20"/>
          <w:color w:val="auto"/>
        </w:rPr>
      </w:pPr>
    </w:p>
    <w:p>
      <w:pPr>
        <w:ind w:right="40" w:firstLine="749"/>
        <w:spacing w:after="0" w:line="272"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The Company adopted the new standard effective December 31, 2024. As a result, the Company has enhanced its segment disclosures to include the presentation of significant expenses by segment and the disclosure of its CODM. The adoption of this ASU affects only the Company's disclosures, with no impacts to its financial condition and results of operations. Refer to Note 14 - Business Segments and Geographic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accounting standards will be adopted in future periods: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this ASU will impact only the Company's disclosures and not its financial condition and results of operations, the Company is currently evaluating when it will adopt the ASU.</w:t>
      </w:r>
    </w:p>
    <w:p>
      <w:pPr>
        <w:spacing w:after="0" w:line="19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The Company will adopt this ASU prospectively for the period ending December 31, 2025, and it will impact only its disclosures with no impacts to its financial condition and results of operations.</w:t>
      </w:r>
    </w:p>
    <w:p>
      <w:pPr>
        <w:spacing w:after="0" w:line="200" w:lineRule="exact"/>
        <w:rPr>
          <w:sz w:val="20"/>
          <w:szCs w:val="20"/>
          <w:color w:val="auto"/>
        </w:rPr>
      </w:pPr>
    </w:p>
    <w:p>
      <w:pPr>
        <w:spacing w:after="0" w:line="21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 did not, or are not expected to, have a material effect on our results of operations or financial position.</w:t>
      </w: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ind w:left="520" w:hanging="512"/>
        <w:spacing w:after="0"/>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holder of the Company’s common stock is entitled to one vote per share on all matters to be voted upon by the Company’s shareholders. Upon any liquidation, dissolution or winding up of the Company, the holders of common stock are entitled to share equally in all assets available for distribution after payment of all liabilities, subject to the liquidation preference of shares of preferred stock, if any, then outstanding.</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April 1994, the Company’s Board authorized 30 million shares of “blank check” preferred stock. The Board is authorized to determine the rights and privileges of any future issuance of preferred stock such as voting and dividend rights, liquidation privileges, redemption rights and conversion privileges. As of December 31, 2024 and 2023, there were no shares of preferred stock outstanding.</w:t>
      </w:r>
    </w:p>
    <w:p>
      <w:pPr>
        <w:spacing w:after="0" w:line="3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Automatic Shelf Registration on Form S-3</w:t>
      </w:r>
    </w:p>
    <w:p>
      <w:pPr>
        <w:spacing w:after="0" w:line="162"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On October 30, 2023,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December 28, 2023, in connection with the shelf registration, the Company filed with the SEC a prospectus supplement related to the offer and sale from time to time of our common stock at an aggregate offering price of up to $300 million through sales agents. Sales of shares of GEO's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year ended December 31, 2024.</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5" w:lineRule="exact"/>
        <w:rPr>
          <w:sz w:val="20"/>
          <w:szCs w:val="20"/>
          <w:color w:val="auto"/>
        </w:rPr>
      </w:pPr>
    </w:p>
    <w:p>
      <w:pPr>
        <w:ind w:right="380" w:firstLine="509"/>
        <w:spacing w:after="0" w:line="255" w:lineRule="auto"/>
        <w:rPr>
          <w:sz w:val="20"/>
          <w:szCs w:val="20"/>
          <w:color w:val="auto"/>
        </w:rPr>
      </w:pPr>
      <w:r>
        <w:rPr>
          <w:rFonts w:ascii="Times New Roman" w:cs="Times New Roman" w:eastAsia="Times New Roman" w:hAnsi="Times New Roman"/>
          <w:sz w:val="18"/>
          <w:szCs w:val="18"/>
          <w:color w:val="auto"/>
        </w:rPr>
        <w:t>The Company includes the results of operations and financial position of SACM or the “joint venture”, its majority-owned subsidiary, in its consolidated financial statements. SACM was established in 2001 to operate correctional centers in South Africa. The joint venture currently provides security and other management services for the Kutama Sinthumule Correctional Centre in the Republic of South Africa under a 25-year management contract which commenced in February 2002. The Company’s and the joint venture partner’s shares in the profits of the joint venture are 88.75%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11.25%, respectively. There were no changes in the Company’s ownership percentage of the consolidated subsidiary during the years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2023 and 2022.</w:t>
      </w:r>
    </w:p>
    <w:p>
      <w:pPr>
        <w:spacing w:after="0" w:line="230"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Board adopted The GEO Group, Inc. Second Amended and Restated 2018 Stock Incentive Plan (the “Amended 2018 Plan”), which was approved by the Company's shareholders and became effective on May 3, 2024. The Amended 2018 Plan supersedes the previous 2018 Stock Incentive Plan. As of the date the Amended 2018 Plan was approved by the Company’s shareholders, it provided for a reserve of an additional 12,400,000 shares of common stock that may be issued pursuant to awards granted under the Amended 2018 Plan. The Company filed a Form S-8 registration statement related to the Amended 2018 Plan on May 7, 2024.</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0" w:right="379" w:bottom="1440" w:gutter="0" w:footer="0" w:header="0"/>
        </w:sectPr>
      </w:pPr>
    </w:p>
    <w:bookmarkStart w:id="98" w:name="page99"/>
    <w:bookmarkEnd w:id="98"/>
    <w:p>
      <w:pPr>
        <w:spacing w:after="0" w:line="3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Amended 2018 Plan, the vesting period and, in the case of stock options, the exercise price per share, are determined by the terms of each grant agreement. All stock options that have been granted under the Company plans are exercisable at the fair market value of the common stock at the date of the grant. Generally, the stock options vest and become exercisable ratably over a four-year period. All stock options awarded under the Amended 2018 Plan expire no later than ten years after the date of the grant. When options are exercised, the Company issues shares of common stock related to the exercised options.</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related to the Amended 2018 Plan for the years ended December 31, 2024, 2023 and 2022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 plan expense</w:t>
            </w:r>
          </w:p>
        </w:tc>
        <w:tc>
          <w:tcPr>
            <w:tcW w:w="1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17,115</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14,433</w:t>
            </w:r>
          </w:p>
        </w:tc>
        <w:tc>
          <w:tcPr>
            <w:tcW w:w="14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15,652</w:t>
            </w:r>
          </w:p>
        </w:tc>
        <w:tc>
          <w:tcPr>
            <w:tcW w:w="0" w:type="dxa"/>
            <w:vAlign w:val="bottom"/>
          </w:tcPr>
          <w:p>
            <w:pPr>
              <w:spacing w:after="0"/>
              <w:rPr>
                <w:sz w:val="1"/>
                <w:szCs w:val="1"/>
                <w:color w:val="auto"/>
              </w:rPr>
            </w:pPr>
          </w:p>
        </w:tc>
      </w:tr>
      <w:tr>
        <w:trPr>
          <w:trHeight w:val="468"/>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A summary of the activity of the Company’s stock options is presented below:</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40" w:type="dxa"/>
            <w:vAlign w:val="bottom"/>
          </w:tcPr>
          <w:p>
            <w:pPr>
              <w:spacing w:after="0"/>
              <w:rPr>
                <w:sz w:val="24"/>
                <w:szCs w:val="24"/>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January 1, 2024</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2,038</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3"/>
              </w:rPr>
              <w:t>16.94</w:t>
            </w:r>
          </w:p>
        </w:tc>
        <w:tc>
          <w:tcPr>
            <w:tcW w:w="1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2,558</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3"/>
              </w:rPr>
              <w:t>13.08</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(584 )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3"/>
              </w:rPr>
              <w:t>14.77</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3"/>
              </w:rPr>
              <w:t>17.53</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2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1,632</w:t>
            </w:r>
          </w:p>
        </w:tc>
        <w:tc>
          <w:tcPr>
            <w:tcW w:w="3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3"/>
              </w:rPr>
              <w:t>16.64</w:t>
            </w:r>
          </w:p>
        </w:tc>
        <w:tc>
          <w:tcPr>
            <w:tcW w:w="132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5.59</w:t>
            </w:r>
          </w:p>
        </w:tc>
        <w:tc>
          <w:tcPr>
            <w:tcW w:w="32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19,520</w:t>
            </w: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 December 31, 2024</w:t>
            </w:r>
          </w:p>
        </w:tc>
        <w:tc>
          <w:tcPr>
            <w:tcW w:w="1240" w:type="dxa"/>
            <w:vAlign w:val="bottom"/>
            <w:tcBorders>
              <w:bottom w:val="single" w:sz="8" w:color="auto"/>
            </w:tcBorders>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1,567</w:t>
            </w:r>
          </w:p>
        </w:tc>
        <w:tc>
          <w:tcPr>
            <w:tcW w:w="3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52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w w:val="93"/>
              </w:rPr>
              <w:t>16.86</w:t>
            </w:r>
          </w:p>
        </w:tc>
        <w:tc>
          <w:tcPr>
            <w:tcW w:w="132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18,436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2024</w:t>
            </w:r>
          </w:p>
        </w:tc>
        <w:tc>
          <w:tcPr>
            <w:tcW w:w="1240" w:type="dxa"/>
            <w:vAlign w:val="bottom"/>
            <w:tcBorders>
              <w:bottom w:val="single" w:sz="8" w:color="auto"/>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902</w:t>
            </w:r>
          </w:p>
        </w:tc>
        <w:tc>
          <w:tcPr>
            <w:tcW w:w="380" w:type="dxa"/>
            <w:vAlign w:val="bottom"/>
            <w:tcBorders>
              <w:bottom w:val="single" w:sz="8" w:color="CFF0FC"/>
            </w:tcBorders>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gridSpan w:val="3"/>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w w:val="93"/>
              </w:rPr>
              <w:t>21.81</w:t>
            </w:r>
          </w:p>
        </w:tc>
        <w:tc>
          <w:tcPr>
            <w:tcW w:w="1320" w:type="dxa"/>
            <w:vAlign w:val="bottom"/>
            <w:tcBorders>
              <w:bottom w:val="single" w:sz="8" w:color="CFF0FC"/>
            </w:tcBorders>
            <w:gridSpan w:val="3"/>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320" w:type="dxa"/>
            <w:vAlign w:val="bottom"/>
            <w:tcBorders>
              <w:bottom w:val="single" w:sz="8" w:color="CFF0FC"/>
            </w:tcBorders>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-350520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-334010</wp:posOffset>
            </wp:positionV>
            <wp:extent cx="857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pretax intrinsic value (i.e., the difference between the Company’s closing stock price on the last trading day of 2024 and the exercise price, times the number of shares that are “in the money”) that would have been received by the option holders had all option holders exercised their options on December 31, 2024. This amount changes based on the fair value of the Company’s stock.</w:t>
      </w:r>
    </w:p>
    <w:p>
      <w:pPr>
        <w:spacing w:after="0" w:line="158"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relative to stock option activity during the years ended December 31, 2024, 2023 and 2022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4,804</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658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600</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information about the exercise prices and related information of stock options outstanding under the Amended 2018</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at December 31,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Wtd. Avg.</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Wtd. Avg.</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2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Exercise Prices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2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5"/>
                <w:szCs w:val="15"/>
                <w:color w:val="auto"/>
              </w:rPr>
            </w:pP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160" w:type="dxa"/>
            <w:vAlign w:val="bottom"/>
          </w:tcPr>
          <w:p>
            <w:pPr>
              <w:spacing w:after="0"/>
              <w:rPr>
                <w:sz w:val="12"/>
                <w:szCs w:val="12"/>
                <w:color w:val="auto"/>
              </w:rPr>
            </w:pPr>
          </w:p>
        </w:tc>
        <w:tc>
          <w:tcPr>
            <w:tcW w:w="1200" w:type="dxa"/>
            <w:vAlign w:val="bottom"/>
            <w:tcBorders>
              <w:top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0-8.75</w:t>
            </w:r>
          </w:p>
        </w:tc>
        <w:tc>
          <w:tcPr>
            <w:tcW w:w="2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6.53</w:t>
            </w:r>
          </w:p>
        </w:tc>
        <w:tc>
          <w:tcPr>
            <w:tcW w:w="13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8.75-18.23</w:t>
            </w:r>
          </w:p>
        </w:tc>
        <w:tc>
          <w:tcPr>
            <w:tcW w:w="2160" w:type="dxa"/>
            <w:vAlign w:val="bottom"/>
          </w:tcPr>
          <w:p>
            <w:pPr>
              <w:spacing w:after="0"/>
              <w:rPr>
                <w:sz w:val="18"/>
                <w:szCs w:val="18"/>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702</w:t>
            </w:r>
          </w:p>
        </w:tc>
        <w:tc>
          <w:tcPr>
            <w:tcW w:w="13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12.00</w:t>
            </w:r>
          </w:p>
        </w:tc>
        <w:tc>
          <w:tcPr>
            <w:tcW w:w="13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155</w:t>
            </w:r>
          </w:p>
        </w:tc>
        <w:tc>
          <w:tcPr>
            <w:tcW w:w="13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18.23-27.35</w:t>
            </w:r>
          </w:p>
        </w:tc>
        <w:tc>
          <w:tcPr>
            <w:tcW w:w="2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290</w:t>
            </w:r>
          </w:p>
        </w:tc>
        <w:tc>
          <w:tcPr>
            <w:tcW w:w="13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21.55</w:t>
            </w:r>
          </w:p>
        </w:tc>
        <w:tc>
          <w:tcPr>
            <w:tcW w:w="13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290</w:t>
            </w:r>
          </w:p>
        </w:tc>
        <w:tc>
          <w:tcPr>
            <w:tcW w:w="13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27.35-34.42</w:t>
            </w:r>
          </w:p>
        </w:tc>
        <w:tc>
          <w:tcPr>
            <w:tcW w:w="2160" w:type="dxa"/>
            <w:vAlign w:val="bottom"/>
          </w:tcPr>
          <w:p>
            <w:pPr>
              <w:spacing w:after="0"/>
              <w:rPr>
                <w:sz w:val="18"/>
                <w:szCs w:val="18"/>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340</w:t>
            </w:r>
          </w:p>
        </w:tc>
        <w:tc>
          <w:tcPr>
            <w:tcW w:w="13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340</w:t>
            </w:r>
          </w:p>
        </w:tc>
        <w:tc>
          <w:tcPr>
            <w:tcW w:w="13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49"/>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1,632</w:t>
            </w:r>
          </w:p>
        </w:tc>
        <w:tc>
          <w:tcPr>
            <w:tcW w:w="13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16.64</w:t>
            </w:r>
          </w:p>
        </w:tc>
        <w:tc>
          <w:tcPr>
            <w:tcW w:w="13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902</w:t>
            </w:r>
          </w:p>
        </w:tc>
        <w:tc>
          <w:tcPr>
            <w:tcW w:w="13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629"/>
        </w:trPr>
        <w:tc>
          <w:tcPr>
            <w:tcW w:w="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340" w:type="dxa"/>
            <w:vAlign w:val="bottom"/>
            <w:tcBorders>
              <w:top w:val="single" w:sz="8" w:color="CFF0FC"/>
            </w:tcBorders>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-933450</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-916305</wp:posOffset>
            </wp:positionV>
            <wp:extent cx="768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-933450</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-916305</wp:posOffset>
            </wp:positionV>
            <wp:extent cx="774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 ended December 31, 2024, 2023 and 2022 was $6.64, $4.53 and $2.49 per share, respectively. There were 0.4 million, 0.4 million and 0.3 million options granted during the year ended December 31, 2024, 2023 and 2022,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status of non-vested stock options as of December 31, 2024 and changes during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Wtd. Avg. Grant</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68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non-vested at January 1, 2024</w:t>
            </w:r>
          </w:p>
        </w:tc>
        <w:tc>
          <w:tcPr>
            <w:tcW w:w="16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non-vested at December 31, 2024</w:t>
            </w:r>
          </w:p>
        </w:tc>
        <w:tc>
          <w:tcPr>
            <w:tcW w:w="16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$2.7 million of unrecognized compensation costs related to non-vested stock option awards that are expected to be recognized over a weighted average period of 2.9 years.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1,820,838 shares of restricted stock to certain employees and executive officers. Of these awards, 908,992 are market and performance-based awards that will be forfeited if the Company does not achieve certain annual metrics during 2024, 2025 and 2026. The fair value of restricted stock awards, which do not contain a market-based condition, is determined using the closing price of the Company’s common stock on the date of the grant and compensation expense is recognized over the vesting period. Generally, the restricted stock awards vest in equal increments over either a three or four-year period.</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vesting of market and performance-based restricted stock grants awarded in 2024 are subject to the achievement by GEO of two annual performance metrics as follows: (i) up to 50% of the shares of restricted stock ("TSR Target Award") can vest at the end of a three-year performance period if GEO meets certain total shareholder return ("TSR") performance targets, as compared to the total shareholder return of a peer group of companies, over a three year period from January 1, 2024 to December 31, 2026 and (ii) up to 50% of the shares of restricted stock ("ROCE Target Award") can vest at the end of a three-year period if GEO meets certain return on capital employed ("ROCE") performance targets over a three year period from January 1, 2024 to December 31, 2026. These market and performance awards can vest at between 0% and 200% of the target awards for both metrics. The number of shares shown for the market and performance-based awards is based on the target awards for both metrics.</w:t>
      </w:r>
    </w:p>
    <w:p>
      <w:pPr>
        <w:spacing w:after="0" w:line="18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1,758,455 shares of restricted stock to certain employees and executive officers. Of these awards, 422,121 are market and performance-based awards that will be forfeited if the Company does not achieve certain annual metrics over a three-year period from January 1, 2023 to December 31, 2025.</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vesting of the market and performance-based restricted stock grants awarded in 2023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2023 to December 31, 2025; and (ii) up to 50% of the ROCE Target Award can vest at the end of a three-year performance period if GEO meets certain ROCE performance targets over a three year period from January 1, 2023 to December 31, 2025. These market and performance-based awards can vest at between 0% and 200% of the target awards for both metrics. The number of shares shown for the market and performance-based awards is based on the target awards for both metrics.</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approximately 1,835,592 shares of restricted stock to its executive officers and to certain senior employees. Of these awards, 1,025,000 are market and performance-based awards that will be forfeited if the Company does not achieve certain annual metrics over a three-year period from January 1, 2022 to December 31, 2024.</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vesting of the market and performance-based restricted stock grants awarded in 2022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2022 to December 31, 2024; and (ii) up to 50% of the ROCE Target Award can vest at the end of a three-year period if GEO meets certain ROCE performance targets over a three year period from January 1, 2022 to December 31, 2024. These market and performance-based awards can vest at the end of the three-year performance period at between 0% and 200% of the target awards for both metrics. The number of shares shown for the performance-based awards is based on the target awards for both metrics.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0" w:name="page101"/>
    <w:bookmarkEnd w:id="100"/>
    <w:p>
      <w:pPr>
        <w:spacing w:after="0" w:line="3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metric related to TSR is considered to be a market condition. For share-based awards that contain a market condition, the probability of satisfying the market condition must be considered in the estimate of grant-date fair value. Compensation expense is recognized over the vesting period and previously recorded compensation expense is not reversed if the market condition is never met. Refer to Note 1 - Summary of Business Organization, Operations and Significant Accounting Policies-</w:t>
      </w: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the assumptions and method used to value these awards.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During 2024, 2023 and 2022, the Company deemed the achievement of the target award to be probable and there were no significant changes in the estimated quantity of awards expected to vest. The fair value of these awards was determined based on the closing price of the Company's common stock on the date of grant.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status of restricted stock awards as of December 31, 2024 and changes during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68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outstanding at January 1, 2024</w:t>
            </w:r>
          </w:p>
        </w:tc>
        <w:tc>
          <w:tcPr>
            <w:tcW w:w="16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3,999</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outstanding at December 31, 2024</w:t>
            </w:r>
          </w:p>
        </w:tc>
        <w:tc>
          <w:tcPr>
            <w:tcW w:w="16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3,658</w:t>
            </w:r>
          </w:p>
        </w:tc>
        <w:tc>
          <w:tcPr>
            <w:tcW w:w="4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$19.7 million of unrecognized compensation cost that is expected to be recognized over a weighted average period of 2.49 years.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previously adopted The GEO Group, Inc. 2011 Employee Stock Purchase Plan (the “Plan" or "ESPP”) effective July 9, 2011. The Company has since amended and restated the Plan (the “Amended ESPP”) which was approved by the Company’s shareholders on April 28, 2021, and became effective on July 9, 2021. The purpose of the Amended ESPP, which is qualified under Section 423 of the Code,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maximum number of shares of common stock reserved for issuance over the term of the Amended ESPP on the amended effective date shall not exceed 506,023 shares.</w:t>
      </w:r>
    </w:p>
    <w:p>
      <w:pPr>
        <w:spacing w:after="0" w:line="18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Amended ESPP is considered to be non-compensatory. As such, there is no compensation expense required to be recognized. Share purchases under the Amended ESPP are made on the last day of each month. During the years ended December 31, 2024, 2023 and 2022, 10,923, 20,630 and 25,573 shares of common stock, respectively, were issued in connection with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5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the net income attributable to The GEO Group, Inc. available to common stockholders by the weighted-average number of common shares outstanding for the period. Net income attributable to The GEO Group, Inc. available to common stockholders represents net income attributable to The GEO Group, Inc. reduced by an allocation of earnings to participating securities. The 6.50% Exchangeable Notes due 2026, which contain non-forfeitable rights to dividends declared and paid on the shares of common stock, are participating securities and are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 The if-converted method includes the dilutive effect of potential common shares related to the 6.50% Exchangeable Notes due 2026, if any. Basic and diluted earnings per share were calculated for the years ended December 31, 2024, 2023 and 2022 as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 except per share</w:t>
            </w:r>
          </w:p>
        </w:tc>
        <w:tc>
          <w:tcPr>
            <w:tcW w:w="5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data)</w:t>
            </w:r>
          </w:p>
        </w:tc>
        <w:tc>
          <w:tcPr>
            <w:tcW w:w="1060" w:type="dxa"/>
            <w:vAlign w:val="bottom"/>
          </w:tcPr>
          <w:p>
            <w:pPr>
              <w:spacing w:after="0"/>
              <w:rPr>
                <w:sz w:val="12"/>
                <w:szCs w:val="12"/>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31,896</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107,183</w:t>
            </w:r>
          </w:p>
        </w:tc>
        <w:tc>
          <w:tcPr>
            <w:tcW w:w="5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171,692</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attributable to noncontrolling interests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Undistributed income allocable to participating securities</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(18,223 )</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(29,346 )</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GEO Group, Inc. available to common stockholders</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29,859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89,102</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142,467</w:t>
            </w:r>
          </w:p>
        </w:tc>
      </w:tr>
      <w:tr>
        <w:trPr>
          <w:trHeight w:val="198"/>
        </w:trPr>
        <w:tc>
          <w:tcPr>
            <w:tcW w:w="64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Basic earnings per share attributable to The GEO Group, Inc. available to common</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3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131,318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121,908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121,040</w:t>
            </w:r>
          </w:p>
        </w:tc>
      </w:tr>
      <w:tr>
        <w:trPr>
          <w:trHeight w:val="24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 share amount-basic</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0.73</w:t>
            </w:r>
          </w:p>
        </w:tc>
        <w:tc>
          <w:tcPr>
            <w:tcW w:w="5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r>
      <w:tr>
        <w:trPr>
          <w:trHeight w:val="178"/>
        </w:trPr>
        <w:tc>
          <w:tcPr>
            <w:tcW w:w="648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Diluted earnings per share attributable to The GEO Group, Inc. available to common</w:t>
            </w: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131,318</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121,908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121,040</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equity incentive plans</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2,746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1,790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1,241</w:t>
            </w:r>
          </w:p>
        </w:tc>
      </w:tr>
      <w:tr>
        <w:trPr>
          <w:trHeight w:val="209"/>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assuming dilution</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134,064</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123,698</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122,281</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amount-diluted</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0.72</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-1593850</wp:posOffset>
            </wp:positionV>
            <wp:extent cx="93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-1593850</wp:posOffset>
            </wp:positionV>
            <wp:extent cx="946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-890905</wp:posOffset>
            </wp:positionV>
            <wp:extent cx="93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-873760</wp:posOffset>
            </wp:positionV>
            <wp:extent cx="93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-890905</wp:posOffset>
            </wp:positionV>
            <wp:extent cx="946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-873760</wp:posOffset>
            </wp:positionV>
            <wp:extent cx="946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1,214,934 weighted average shares of common stock underlying options were excluded from the computation of diluted EPS because the effect would be anti-dilutive. For the same period, 13,470 common stock equivalents from restricted shares were anti-dilutive and excluded from the computation of diluted EPS.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1,560,715 weighted average shares of common stock underlying options were excluded from the computation of diluted EPS because the effect would be anti-dilutive. For the same period, 201,946 common stock equivalents from restricted shares were anti-dilutive and excluded from the computation of diluted EPS.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1,958,443 weighted average shares of common stock underlying options were excluded from the computation of diluted EPS because the effect would be anti-dilutive. For the same period, 312,963 common stock equivalents from restricted shares were anti-dilutive and excluded from the computation of diluted EPS.</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24, 2021, the Company’s wholly owned subsidiary, GEO Corrections Holdings, Inc. (“GEOCH”), completed a private offering of $230 million aggregate principal amount of 6.50% Exchangeable Senior Notes. During 2024, the Company issued 12,430,285 shares of GEO common stock in connection with private exchange transactions involving approximately $229.9 million in aggregate principal amount of its outstanding 6.50% Exchangeable Senior Notes. Refer to Note 11 - Debt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5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 at fiscal year-end: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640" w:type="dxa"/>
            <w:vAlign w:val="bottom"/>
          </w:tcPr>
          <w:p>
            <w:pPr>
              <w:spacing w:after="0"/>
              <w:rPr>
                <w:sz w:val="12"/>
                <w:szCs w:val="12"/>
                <w:color w:val="auto"/>
              </w:rPr>
            </w:pPr>
          </w:p>
        </w:tc>
        <w:tc>
          <w:tcPr>
            <w:tcW w:w="142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119,056</w:t>
            </w:r>
          </w:p>
        </w:tc>
        <w:tc>
          <w:tcPr>
            <w:tcW w:w="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119,969</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 to 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2,327,392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2,314,018</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 to 29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280,296</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276,596</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 to 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245,591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239,825</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computer software</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 to 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86,064</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75,370</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construction in progress</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21,544</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23,938</w:t>
            </w:r>
          </w:p>
        </w:tc>
      </w:tr>
      <w:tr>
        <w:trPr>
          <w:trHeight w:val="20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3,079,943</w:t>
            </w:r>
          </w:p>
        </w:tc>
        <w:tc>
          <w:tcPr>
            <w:tcW w:w="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3,049,716</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(1,180,253 )</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(1,105,438 )</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1,899,690</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1,944,278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-25400</wp:posOffset>
            </wp:positionV>
            <wp:extent cx="939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939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amortizes its leasehold improvements over the shorter of their estimated useful lives or the terms of the leases including renewal periods that are reasonably assured. The Company’s construction in progress primarily consists of new construction and renovations to facilities that are owned by the Company. There was no Interest capitalized in property and equipment for the years ended December 31, 2024 and 2023.</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$113.2 million, $111.0 million and $111.6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Company’s primary objective in holding derivatives is to reduce the volatility of earnings and cash flows associated with changes in interest rates. The Company measures its derivative financial instruments at fair value.</w:t>
      </w:r>
    </w:p>
    <w:p>
      <w:pPr>
        <w:spacing w:after="0" w:line="1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August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(loss), net of applicable taxes. Total unrealized gain (loss) recorded in total other comprehensive income (loss), net of tax, related to these cash flow hedges was $0.8 million, $(0.6) million and $6.2 million during the years ended December 31, 2024, 2023 and 2022, respectively. The total fair value of the swap assets as of December 31, 2024 and 2023 was $4.9 million and $3.8 million, respectively, and is recorded as a component of Other Non-Current assets within the accompanying balance sheet.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11 - Debt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5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recognized during the years ended December 31, 2024 and 2023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Additions [1]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Secure Services</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316,366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316,366</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Monitoring and Supervision Services</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289,570</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Reentry Services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148,873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148,873</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Services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755,199</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756,001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-25400</wp:posOffset>
            </wp:positionV>
            <wp:extent cx="857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857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1111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857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857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4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Secure Services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316,366</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316,366</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Monitoring and Supervision Services</w:t>
            </w:r>
          </w:p>
        </w:tc>
        <w:tc>
          <w:tcPr>
            <w:tcW w:w="14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289,570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289,570</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Reentry Services</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148,873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148,873</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Services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755,199</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755,199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939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93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5" w:lineRule="exact"/>
        <w:rPr>
          <w:sz w:val="20"/>
          <w:szCs w:val="20"/>
          <w:color w:val="auto"/>
        </w:rPr>
      </w:pPr>
    </w:p>
    <w:p>
      <w:pPr>
        <w:ind w:right="200" w:firstLine="8"/>
        <w:spacing w:after="0" w:line="261"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2024, the Company completed an acquisition of all of the ownership shares of Correct Care Australasia Pty Ltd, an entity that performed health care services located in Australia. The purchase price was approximately AUD6.0 million, or approximately $3.9 million, based on exchange rates on the date of acquisition subject to certain adjustments. The purpose of the acquisition was to expand GEO's health care services in Australia. The net assets acquired and operations were not material to our results from operations during the year ended December 31, 2024.</w:t>
      </w:r>
    </w:p>
    <w:p>
      <w:pPr>
        <w:spacing w:after="0" w:line="3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2024 and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0"/>
                <w:szCs w:val="10"/>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0"/>
                <w:szCs w:val="10"/>
                <w:color w:val="auto"/>
              </w:rPr>
            </w:pPr>
          </w:p>
        </w:tc>
        <w:tc>
          <w:tcPr>
            <w:tcW w:w="7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0"/>
                <w:szCs w:val="10"/>
                <w:color w:val="auto"/>
              </w:rPr>
            </w:pPr>
          </w:p>
        </w:tc>
        <w:tc>
          <w:tcPr>
            <w:tcW w:w="8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20" w:type="dxa"/>
            <w:vAlign w:val="bottom"/>
          </w:tcPr>
          <w:p>
            <w:pPr>
              <w:spacing w:after="0"/>
              <w:rPr>
                <w:sz w:val="12"/>
                <w:szCs w:val="12"/>
                <w:color w:val="auto"/>
              </w:rPr>
            </w:pPr>
          </w:p>
        </w:tc>
        <w:tc>
          <w:tcPr>
            <w:tcW w:w="7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20" w:type="dxa"/>
            <w:vAlign w:val="bottom"/>
          </w:tcPr>
          <w:p>
            <w:pPr>
              <w:spacing w:after="0"/>
              <w:rPr>
                <w:sz w:val="12"/>
                <w:szCs w:val="12"/>
                <w:color w:val="auto"/>
              </w:rPr>
            </w:pPr>
          </w:p>
        </w:tc>
        <w:tc>
          <w:tcPr>
            <w:tcW w:w="8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9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management contracts</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223,790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(142,414 )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81,376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223,781</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(133,095 )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90,686</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Indefinite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45,200</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acquired intangible assets</w:t>
            </w: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268,990</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(142,414 )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126,576</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268,981</w:t>
            </w: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(133,095 )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135,886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accounting for recognized intangible assets is based on the useful lives to the reporting entity. Intangible assets with finite useful lives are amortized over their useful lives and intangible assets with indefinite useful lives are not amortized. The Company estimates the useful lives of its intangible assets taking into consideration (i) the expected use of the asset by the Company, (ii) the expected useful lives of other related assets or groups of assets, (iii) legal or contractual limitations, (iv) the Company's historical experience in renewing or extending similar arrangements, (v) the effects of obsolescence, demand, competition and other economic factors and (vi) the level of maintenance expenditures required to obtain the expected cash flows from the asset.</w:t>
      </w:r>
    </w:p>
    <w:p>
      <w:pPr>
        <w:spacing w:after="0" w:line="18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Amortization expense was $9.3 million, $11.8 million and $18.4 million for the years ended December 31, 2024, 2023 and 2022, respectively, and primarily related to the U.S. Secure Services and Reentry Services segments’ amortization of intangible assets for acquired management contracts. The Company relies on its historical experience in determining the useful life of facility management contracts. The Company makes assumptions related to acquired facility management contracts based on the competitive environment for individual contracts, our historical success rates in retaining contracts, the supply of available beds in the market, changes in legislation, the projected profitability of the facilities and other market conditions. As of December 31, 2024, the weighted average period before the next contract renewal or extension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3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facility management contracts was approximately 2.6 years. Although the facility management contracts acquired have renewal and extension terms in the near term, the Company has historically maintained these relationships beyond the contractual periods.</w:t>
      </w:r>
    </w:p>
    <w:p>
      <w:pPr>
        <w:spacing w:after="0" w:line="16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Estimated amortization expense related to the Company’s finite-lived intangible assets for 2025 through 2029 and thereafter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center"/>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73"/>
        </w:trPr>
        <w:tc>
          <w:tcPr>
            <w:tcW w:w="20" w:type="dxa"/>
            <w:vAlign w:val="bottom"/>
          </w:tcPr>
          <w:p>
            <w:pPr>
              <w:spacing w:after="0"/>
              <w:rPr>
                <w:sz w:val="15"/>
                <w:szCs w:val="15"/>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5"/>
                <w:szCs w:val="15"/>
                <w:color w:val="auto"/>
              </w:rPr>
            </w:pPr>
          </w:p>
        </w:tc>
        <w:tc>
          <w:tcPr>
            <w:tcW w:w="1680" w:type="dxa"/>
            <w:vAlign w:val="bottom"/>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5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9,167</w:t>
            </w:r>
          </w:p>
        </w:tc>
      </w:tr>
      <w:tr>
        <w:trPr>
          <w:trHeight w:val="21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7,162</w:t>
            </w:r>
          </w:p>
        </w:tc>
      </w:tr>
      <w:tr>
        <w:trPr>
          <w:trHeight w:val="216"/>
        </w:trPr>
        <w:tc>
          <w:tcPr>
            <w:tcW w:w="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6,912</w:t>
            </w:r>
          </w:p>
        </w:tc>
      </w:tr>
      <w:tr>
        <w:trPr>
          <w:trHeight w:val="21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6,854</w:t>
            </w:r>
          </w:p>
        </w:tc>
      </w:tr>
      <w:tr>
        <w:trPr>
          <w:trHeight w:val="216"/>
        </w:trPr>
        <w:tc>
          <w:tcPr>
            <w:tcW w:w="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6,854</w:t>
            </w:r>
          </w:p>
        </w:tc>
      </w:tr>
      <w:tr>
        <w:trPr>
          <w:trHeight w:val="216"/>
        </w:trPr>
        <w:tc>
          <w:tcPr>
            <w:tcW w:w="9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44,427</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85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81,376</w:t>
            </w:r>
          </w:p>
        </w:tc>
      </w:tr>
    </w:tbl>
    <w:p>
      <w:pPr>
        <w:spacing w:after="0" w:line="248"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7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Company’s significant financial assets carried at fair value and measured on a recurring basis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460" w:type="dxa"/>
            <w:vAlign w:val="bottom"/>
            <w:gridSpan w:val="2"/>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46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investments: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Rabbi Trusts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59,495</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12,635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46,860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equity and fixed income securities</w:t>
            </w:r>
          </w:p>
        </w:tc>
        <w:tc>
          <w:tcPr>
            <w:tcW w:w="120" w:type="dxa"/>
            <w:vAlign w:val="bottom"/>
          </w:tcPr>
          <w:p>
            <w:pPr>
              <w:spacing w:after="0"/>
              <w:rPr>
                <w:sz w:val="18"/>
                <w:szCs w:val="18"/>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54,392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52,323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19,345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19,345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swap derivatives</w:t>
            </w:r>
          </w:p>
        </w:tc>
        <w:tc>
          <w:tcPr>
            <w:tcW w:w="12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3"/>
        </w:trPr>
        <w:tc>
          <w:tcPr>
            <w:tcW w:w="4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460" w:type="dxa"/>
            <w:vAlign w:val="bottom"/>
            <w:gridSpan w:val="2"/>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46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investments: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Rabbi Trusts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51,247</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9,547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41,700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equity and fixed income securities</w:t>
            </w:r>
          </w:p>
        </w:tc>
        <w:tc>
          <w:tcPr>
            <w:tcW w:w="120" w:type="dxa"/>
            <w:vAlign w:val="bottom"/>
          </w:tcPr>
          <w:p>
            <w:pPr>
              <w:spacing w:after="0"/>
              <w:rPr>
                <w:sz w:val="18"/>
                <w:szCs w:val="18"/>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47,382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18,887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18,887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 derivatives</w:t>
            </w:r>
          </w:p>
        </w:tc>
        <w:tc>
          <w:tcPr>
            <w:tcW w:w="12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The Company’s Level 2 financial instruments included in the tables above as of December 31, 2024 and December 31, 2023 consist of interest rate swap derivative assets/liabilities held by GEO, investments in equity and fixed income mutual funds held in the Company’s captive insurance subsidiary, Florina, the Company's rabbi trust established for employer contributions to The GEO Group, Inc. Non-qualified Deferred Compensation Plan and other non-current assets which include the cash surrender value of company-owned life insurance policies. The Company's Level 1 financial instruments included in the table above as of December 31, 2024 and 2023 consist of money market funds held in Florina and money market funds held in the Company's rabbi trust established for its Executive Chairman's retirement account.</w:t>
      </w:r>
    </w:p>
    <w:p>
      <w:pPr>
        <w:spacing w:after="0" w:line="133"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The interest rate swap derivative assets are valued using a discounted cash flow model based on projected borrowing rates. The Company's restricted investment in the rabbi trust for The GEO Group, Inc. Non-qualified Deferred Compensation Plan is invested in Company-owned life insurance policies which are recorded at their cash surrender values. These investments are valued based on the underlying investments held in the policies' separate accounts. The underlying assets are equity and fixed income pooled funds. The marketable equity and fixed income securities are valued using quoted rates. The company-owned life insurance policies included in other non-current assets are valued at their cash surrender values.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ind w:right="26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held certain equity securities within its investments and approximately $1.0 million and $(1.0) million were including as an unrealized holding gain (loss) during the respective periods included within the statement of other comprehensive income. The unrealized holding gain was not significant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Assets and Liabilities</w:t>
      </w:r>
    </w:p>
    <w:p>
      <w:pPr>
        <w:spacing w:after="0" w:line="1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reflect certain financial instruments at carrying value. The following table presents the carrying values of those instruments and the corresponding estimated fair values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0"/>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Estimated Fair Value Measurements at December 31, 2024</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1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 Value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76,896</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76,896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76,896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48,968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48,968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Borrowings under credit agreement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430,823</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436,838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436,838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8.625% Senior Secured Notes due 2029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687,239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687,239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10.250% Senior Notes due 2031</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682,281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682,281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6.50% Exchangeable Senior Notes due 2026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3"/>
        </w:trPr>
        <w:tc>
          <w:tcPr>
            <w:tcW w:w="5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0"/>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Estimated Fair Value Measurements at December 31, 2023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1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 Value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93,971</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93,971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93,971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65,896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65,896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under exchange credit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906,712</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926,445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926,445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10.500% Public Second Lien Notes due 2028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293,049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293,049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9.500% Private Second Lien Notes due 2028</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239,142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231,692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231,692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5.875% Senior Notes due 2024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6.00% Senior Notes due 2026</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106,541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106,541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6.50% Exchangeable Senior Notes due 2026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319,920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319,920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fair values of the Company’s cash and cash equivalents, and restricted cash and investments approximates the carrying values of these assets at December 31, 2024 and December 31, 2023. Restricted cash consists of money market funds, bank deposits, commercial paper and time deposits used for asset replacement funds and other funds contractually required to be maintained at the Company's Australian subsidiary. The fair value of the money market funds and bank deposits is based on quoted market prices (Level 1).</w:t>
      </w:r>
    </w:p>
    <w:p>
      <w:pPr>
        <w:spacing w:after="0" w:line="3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18, 2024, the Company announced the closing of its previously announced private offering of $1.275 billion aggregate principal amount of senior notes (the “Senior Notes Offering”), comprised of $650.0 million aggregate principal amount of 8.625% senior secured notes due 2029 (the “Secured Notes” or "8.625% Secured Notes Due 2029") and $625.0 million aggregate principal amount of 10.250% senior notes due 2031 (the “Unsecured Notes” or "10.250% Unsecured Notes due 2031"). The Company used the net proceeds of the Senior Notes Offering, borrowings under the new Term Loan (defined below), and cash on hand to refinance approximately $1.5 billion of existing indebtedness, including to fund the repurchase, redemption or other discharge of the Company’s existing Tranche 1 Term Loan and Tranche 2 Term Loan under its prior senior credit facility, the 9.500% senior second lien secured notes due 2028 (the "9.500% Private Second Lien Notes due 2028"), the 10.500% senior second lien secured notes due 2028 (the "10.500% Public Second Lien Notes due 2028"), and the 6.00% senior notes due 2026 (the "6.00% Senior Notes due 2026"), to pay related premiums, transaction fees and expenses, and for general corporate purposes of the Company.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p>
      <w:pPr>
        <w:ind w:right="220" w:firstLine="60"/>
        <w:spacing w:after="0" w:line="261" w:lineRule="auto"/>
        <w:rPr>
          <w:sz w:val="20"/>
          <w:szCs w:val="20"/>
          <w:color w:val="auto"/>
        </w:rPr>
      </w:pPr>
      <w:r>
        <w:rPr>
          <w:rFonts w:ascii="Times New Roman" w:cs="Times New Roman" w:eastAsia="Times New Roman" w:hAnsi="Times New Roman"/>
          <w:sz w:val="18"/>
          <w:szCs w:val="18"/>
          <w:color w:val="auto"/>
        </w:rPr>
        <w:t>The Company also entered into a Credit Agreement, dated April 18, 2024 (the “Credit Agreement”) to, among other things, evidence and govern a first-lien senior secured revolving credit facility and the commitments thereunder, and a first-lien senior secured term loan facility. The aggregate principal amount of revolving credit commitments under the revolving credit facility is $310 million (including a $175 million letter of credit subfacility) and the aggregate principal amount of the new term loan facility is $450.0 million.</w:t>
      </w:r>
    </w:p>
    <w:p>
      <w:pPr>
        <w:spacing w:after="0" w:line="1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also retired the majority of its 6.50% exchangeable senior notes due 2026 (the "Convertible Notes" or 6.50% Exchangeable Senior Notes") during the second quarter of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 Debt for further information.</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2024, the recurring fair values of the Company's 8.625% Secured Notes due 2029, 10.250% Unsecured Notes due 2028, and the 6.50% Exchangeable Senior Notes are based on Level 2 inputs using quotations by major market news services, such as Bloomberg. The fair value of the Company's Credit Agreement was also based on quotations by major market news services and also estimates of trading value considering the Company's borrowing rate, the undrawn spread and similar instruments.</w:t>
      </w:r>
    </w:p>
    <w:p>
      <w:pPr>
        <w:spacing w:after="0" w:line="11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2023, the recurring fair values of the Company's 10.500% Public Second Lien Notes due 2028 and the 9.500% Private Second Lien Notes due 2028 are based on Level 2 inputs using quotations by major market news services, such as Bloomberg. The fair value of the Company's exchange credit facility was also based on quotations by major market new services and also estimates of trading value considering the Company's borrowing rate, the undrawn spread and similar instruments.</w:t>
      </w:r>
    </w:p>
    <w:p>
      <w:pPr>
        <w:spacing w:after="0" w:line="9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2023, the fair values of the Company's 5.875% senior unsecured notes due 2024 ("5.875% Senior Notes due 2024"), 6.00% Senior Notes due 2026, and the 6.50% Exchangeable Senior Notes are based on Level 2 inputs by major market news services.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6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26,029</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34,275</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compensation</w:t>
            </w: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22,082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21,249</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insurance</w:t>
            </w:r>
          </w:p>
        </w:tc>
        <w:tc>
          <w:tcPr>
            <w:tcW w:w="3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65,490</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71,217</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other taxes</w:t>
            </w: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32,920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63,172</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3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2,898</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retainage</w:t>
            </w: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27,976</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30,312</w:t>
            </w:r>
          </w:p>
        </w:tc>
        <w:tc>
          <w:tcPr>
            <w:tcW w:w="0" w:type="dxa"/>
            <w:vAlign w:val="bottom"/>
          </w:tcPr>
          <w:p>
            <w:pPr>
              <w:spacing w:after="0"/>
              <w:rPr>
                <w:sz w:val="1"/>
                <w:szCs w:val="1"/>
                <w:color w:val="auto"/>
              </w:rPr>
            </w:pPr>
          </w:p>
        </w:tc>
      </w:tr>
      <w:tr>
        <w:trPr>
          <w:trHeight w:val="20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177,768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228,059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8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-1079500</wp:posOffset>
            </wp:positionV>
            <wp:extent cx="1117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7" w:name="page108"/>
    <w:bookmarkEnd w:id="107"/>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 consisted of the following (in thousands):</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Exchange Credit Agreement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Tranche 1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791,480</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premium on tranche 1 loans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18,359</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 on tranche 1 loans</w:t>
            </w: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Tranche 2 Loans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115,232</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discount on tranche 2 loans</w:t>
            </w: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 on tranche 2 loans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Revolver</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Exchange Credit Agreement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903,569</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320,823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discount on term loan</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 on term loan</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Revolver</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110,000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Credit Agreement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422,885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8.625% Secured Notes due 2029</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Due in 2029</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650,000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8.625% Secured Notes due 2029</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637,961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10.250% Unsecured Notes due 2031</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Due in 2031</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625,000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10.25% Unsecured Notes due 2031</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613,478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10.500% Public Second Lien Notes due 2028</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Due in 2028</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286,521</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discount</w:t>
            </w: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(7,237 )</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10.500% Public Second Lien Notes due 2028</w:t>
            </w: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265,898</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9.500% Private Second Lien Notes due 2028</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Due in 2028</w:t>
            </w: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239,142</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discount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(19,843 )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9.500% Private Second Lien Notes due 2028</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213,063</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6.50% Exchangeable Senior Notes: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Due in 2026</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6.50% Exchangeable Senior Notes Due in 2026</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225,405</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6.00% Senior Notes: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Due in 2026</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110,858</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6.00% Senior Notes Due in 2026</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110,301</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5.875% Senior Notes: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Due in 2024</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23,253</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5.875% Senior Notes Due in 2024</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23,209</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38,048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39,208</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1,713,028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1,781,933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 long-term debt and non-recourse debt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(55,882 )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long-term portion</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(549 )</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1,711,197</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1,725,502</w:t>
            </w:r>
          </w:p>
        </w:tc>
      </w:tr>
      <w:tr>
        <w:trPr>
          <w:trHeight w:val="844"/>
        </w:trPr>
        <w:tc>
          <w:tcPr>
            <w:tcW w:w="7720" w:type="dxa"/>
            <w:vAlign w:val="bottom"/>
            <w:tcBorders>
              <w:top w:val="single" w:sz="8" w:color="CFF0FC"/>
            </w:tcBorders>
          </w:tcPr>
          <w:p>
            <w:pPr>
              <w:ind w:left="548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-4431030</wp:posOffset>
            </wp:positionV>
            <wp:extent cx="1117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-1645285</wp:posOffset>
            </wp:positionV>
            <wp:extent cx="1117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-1070610</wp:posOffset>
            </wp:positionV>
            <wp:extent cx="1117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1117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Offering</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18, 2024, GEO announced the closing of its previously announced private offering of $1.275 billion aggregate principal amount of senior notes (the “Senior Notes Offering”), comprised of $650.0 million aggregate principal amount of 8.625% senior secured notes due 2029 (the “Secured Notes”), issued under the Indenture, dated as of April 18, 2024 (the “2029 Indenture”), among GEO, the Guarantors (defined below) and Ankura Trust Company, LLC, as trustee and collateral agent (the “Trustee and Collateral Agent”) and $625.0 million aggregate principal amount of 10.25% senior notes due 2031 (the “Unsecured Notes” and, together with the Secured Notes, the “Notes”), issued under the Indenture, dated as of April 18, 2024 (the “2031 Indenture” and, together with the 2029 Indenture, the “Indentures”), among GEO, the Guarantors and Ankura Trust Company, LLC as Trustee. The Notes are guaranteed (the “Secured Note Guarantees” and the “Unsecured Note Guarantees” and collectively, the “Guarantees”) by GEO’s domestic subsidiaries that are guarantors under a new senior secured credit facility and outstanding senior notes (the “Guarantors”).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GEO used the net proceeds of the Senior Notes Offering, borrowings under the new Term Loan (defined below), and cash on hand to refinance approximately $1.5 billion of existing indebtedness, including to fund the repurchase, redemption or other discharge of the Company’s existing Tranche 1 Term Loan and Tranche 2 Term Loan under its prior senior credit facility, the 9.500% Private Second Lien Notes due 2028, the 10.500% Public Second Lien Notes due 2028, and the 6.00% Senior Notes due 2026, to pay related premiums, transaction fees and expenses, and for general corporate purposes of the Company.</w:t>
      </w:r>
    </w:p>
    <w:p>
      <w:pPr>
        <w:spacing w:after="0" w:line="18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Notes were offered and sold in the United States only to persons reasonably believed to be “qualified institutional buyers” pursuant to Rule 144A under the Securities Act of 1933 (the “Securities Act”), and outside the United States only to non-U.S. persons pursuant to Regulation S under the Securities Act. As discussed below, GEO filed a registration statement on Form S-4 and conducted a registered exchange offer under the terms of a Registration Rights Agreement to issue and deliver in exchange for the Notes and Guarantees that were issued on April 18, 2024 an equal aggregate principal amount of Notes and Guarantees that were registered pursuant to the registration statement on Form S-4.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and conditions of the 2029 Indenture and the Secured Notes are as follows: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color w:val="auto"/>
        </w:rPr>
        <w:t>. The Secured Notes mature on April 15, 2029.</w:t>
      </w:r>
    </w:p>
    <w:p>
      <w:pPr>
        <w:spacing w:after="0" w:line="225" w:lineRule="exact"/>
        <w:rPr>
          <w:sz w:val="20"/>
          <w:szCs w:val="20"/>
          <w:color w:val="auto"/>
        </w:rPr>
      </w:pPr>
    </w:p>
    <w:p>
      <w:pPr>
        <w:ind w:left="4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The Secured Notes accrue interest at a rate of 8.625% per year. Interest on the Secured Notes is payable semi-annually on each April 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October 15, commencing October 15, 2024.</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The Secured Notes were issued at par.</w:t>
      </w:r>
    </w:p>
    <w:p>
      <w:pPr>
        <w:spacing w:after="0" w:line="225" w:lineRule="exact"/>
        <w:rPr>
          <w:sz w:val="20"/>
          <w:szCs w:val="20"/>
          <w:color w:val="auto"/>
        </w:rPr>
      </w:pPr>
    </w:p>
    <w:p>
      <w:pPr>
        <w:ind w:left="46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 The Secured Notes are fully and unconditionally guaranteed by each of the Initial Guarantors (as defined in the 2029 Indenture)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may be guaranteed by additional </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color w:val="auto"/>
        </w:rPr>
        <w:t>ubsidiaries of the Company when a subsidiary guarantees debt under the credit facilities (other than debt securities) and debt securities in an aggregate principal amount of at least $100.0 million.</w:t>
      </w:r>
    </w:p>
    <w:p>
      <w:pPr>
        <w:spacing w:after="0" w:line="171" w:lineRule="exact"/>
        <w:rPr>
          <w:sz w:val="20"/>
          <w:szCs w:val="20"/>
          <w:color w:val="auto"/>
        </w:rPr>
      </w:pPr>
    </w:p>
    <w:p>
      <w:pPr>
        <w:ind w:left="460" w:right="3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Ranking</w:t>
      </w:r>
      <w:r>
        <w:rPr>
          <w:rFonts w:ascii="Times New Roman" w:cs="Times New Roman" w:eastAsia="Times New Roman" w:hAnsi="Times New Roman"/>
          <w:sz w:val="18"/>
          <w:szCs w:val="18"/>
          <w:color w:val="auto"/>
        </w:rPr>
        <w:t>. The Secured Notes and the Secured Note Guarantees are GEO and the Guarantors’ respective senior, secured obligations,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indebtedness evidenced by the Secured Notes and the Secured Note Guarantees will rank equal in right of payment to all of GEO’s and the Guarantors’ other existing and future senior obligations, including the indebtedness under the Credit Agreement and the guarantees thereof; effectively senior in right of payment to all of GEO’s and the Guarantors’ existing and future unsecured indebtedness, including the Unsecured Notes, the 2026 Exchangeable Senior Notes and, in each case, the guarantees thereof, to the extent of the value of the Collateral (as defined below); senior in right of payment to any of GEO’s and the Guarantors’ future subordinated indebtedness; effectively junior in right of payment to any of GEO’s and the Guarantors’ future secured indebtedness that is secured by a lien on any assets not constituting Collateral, to the extent of the value of such assets; and structurally subordinated to all existing and future indebtedness and other liabilities of Subsidiaries that do not guarantee the Secured Notes and joint ventures, including trade payables.</w:t>
      </w:r>
    </w:p>
    <w:p>
      <w:pPr>
        <w:spacing w:after="0" w:line="188" w:lineRule="exact"/>
        <w:rPr>
          <w:sz w:val="20"/>
          <w:szCs w:val="20"/>
          <w:color w:val="auto"/>
        </w:rPr>
      </w:pPr>
    </w:p>
    <w:p>
      <w:pPr>
        <w:ind w:left="460" w:right="400" w:firstLine="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The Secured Notes and the Secured Note Guarantees are secured on a first-priority basis by the same collateral (the “Collateral”)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secures the obligations under the Credit Agreement in accordance with the terms of the 2029 Indenture and security agreements relating to the Collateral and instruments filed and recorded in appropriate jurisdictions to preserve and protect the liens on the Collateral (including, without limitation, mortgages, deeds of trust or deed to secure debt and financing statements under the Uniform Commercial Code of the relevant states applicable to the Collateral), each for the benefit of the Trustee, Collateral Agent and the holders of the Secured Notes.</w:t>
      </w:r>
    </w:p>
    <w:p>
      <w:pPr>
        <w:spacing w:after="0" w:line="179" w:lineRule="exact"/>
        <w:rPr>
          <w:sz w:val="20"/>
          <w:szCs w:val="20"/>
          <w:color w:val="auto"/>
        </w:rPr>
      </w:pPr>
    </w:p>
    <w:p>
      <w:pPr>
        <w:ind w:left="46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Mandatory Redemption</w:t>
      </w:r>
      <w:r>
        <w:rPr>
          <w:rFonts w:ascii="Times New Roman" w:cs="Times New Roman" w:eastAsia="Times New Roman" w:hAnsi="Times New Roman"/>
          <w:sz w:val="18"/>
          <w:szCs w:val="18"/>
          <w:color w:val="auto"/>
        </w:rPr>
        <w:t>. The Company is not required to make mandatory redemption or sinking fund payments with respect to the 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10" w:name="page111"/>
    <w:bookmarkEnd w:id="110"/>
    <w:p>
      <w:pPr>
        <w:ind w:left="460"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color w:val="auto"/>
        </w:rPr>
        <w:t>. On or after April 15, 2026, the Company may redeem all or a part of the Secured Notes (which includes Additional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2029 Indenture), if any), upon not less than 10 nor more than 60 days’ notice, at the fixed redemption prices expressed as percentages of the principal amount set forth in the 2029 Indenture, plus accrued and unpaid interest, if any, on the Secured Notes redeemed, to, but excluding, the applicable redemption date, subject to the rights of holders of Secured Notes on the relevant record date to receive interest due on the relevant interest payment date if the Secured Notes have not been redeemed prior to such date. In addition, the Company may redeem up to 35% of the aggregate principal amount of the Secured Notes at any time and from time to time before April 15, 2026, with an amount up to the net proceeds of certain equity offerings at a redemption price of 108.625% of the principal amount plus accrued and unpaid interest, if any, to, but excluding, the redemption date provided, that (1) at least 65% of the aggregate principal amount of Secured Notes remains outstanding immediately after the occurrence of that redemption and (2) the redemption occurs within 90 days of the date of the closing of the equity offering. The Company may also redeem the Secured Notes, in whole or in part, at any time and from time to time before April 15, 2026, at a redemption price equal to 100% of the principal amount of the Secured Notes (which includes Additional Notes, if any), plus the Applicable Premium (as defined in the 2029 Indenture) as of the applicable redemption date, plus accrued and unpaid interest, if any, to, but excluding, the redemption date, subject to the rights of holders of Secured Notes on the relevant record date to receive interest due on the relevant interest payment date if the Secured Notes have not been redeemed prior to such date. Additionally, during any twelve-month period prior to April 15, 2026, the Company shall be entitled at its option on one or more occasions to redeem the Secured Notes (which includes Additional Notes, if any) in an aggregate principal amount not to exceed 10% of the aggregate principal amount of the outstanding Secured Notes (which includes Additional Notes, if any) at a redemption price (calculated by the Company and expressed as a percentage of principal amount) of 103.000%, plus accrued and unpaid interest, if any, to, but excluding, the redemption date.</w:t>
      </w:r>
    </w:p>
    <w:p>
      <w:pPr>
        <w:spacing w:after="0" w:line="192" w:lineRule="exact"/>
        <w:rPr>
          <w:sz w:val="20"/>
          <w:szCs w:val="20"/>
          <w:color w:val="auto"/>
        </w:rPr>
      </w:pPr>
    </w:p>
    <w:p>
      <w:pPr>
        <w:jc w:val="both"/>
        <w:ind w:left="460"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If a Change of Control (as defined in the 2029 Indenture) occurs, the Company will offer a payment in cash equal to 101%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aggregate principal amount of Secured Notes repurchased, plus accrued and unpaid interest, if any, on the Secured Notes repurchased, to (but not including) the date of purchase, subject to the right of holders on the relevant record date to receive interest due on the relevant interest payment date if the Secured Notes have not been redeemed or repurchased prior to such date.</w:t>
      </w:r>
    </w:p>
    <w:p>
      <w:pPr>
        <w:spacing w:after="0" w:line="176" w:lineRule="exact"/>
        <w:rPr>
          <w:sz w:val="20"/>
          <w:szCs w:val="20"/>
          <w:color w:val="auto"/>
        </w:rPr>
      </w:pPr>
    </w:p>
    <w:p>
      <w:pPr>
        <w:ind w:left="460" w:right="2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Certain Covenants</w:t>
      </w:r>
      <w:r>
        <w:rPr>
          <w:rFonts w:ascii="Times New Roman" w:cs="Times New Roman" w:eastAsia="Times New Roman" w:hAnsi="Times New Roman"/>
          <w:sz w:val="18"/>
          <w:szCs w:val="18"/>
          <w:color w:val="auto"/>
        </w:rPr>
        <w:t>. The 2029 Indenture contains certain covenants that will limit, among other things, the Company’s and its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(as defined in the 2029 Indenture) ability to: incur additional indebtedness (including guarantees thereof); incur or create liens, other than Permitted Liens (as defined in the 2029 Indenture); make certain Restricted Payments (as defined in the 2029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2029 Indenture); engage in certain transactions with affiliates; and engage in any business other than Permitted Businesses (as defined in the 2029 Indenture). These covenants are subject to a number of important limitations and exceptions.</w:t>
      </w:r>
    </w:p>
    <w:p>
      <w:pPr>
        <w:spacing w:after="0" w:line="183" w:lineRule="exact"/>
        <w:rPr>
          <w:sz w:val="20"/>
          <w:szCs w:val="20"/>
          <w:color w:val="auto"/>
        </w:rPr>
      </w:pPr>
    </w:p>
    <w:p>
      <w:pPr>
        <w:ind w:left="4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of Default</w:t>
      </w:r>
      <w:r>
        <w:rPr>
          <w:rFonts w:ascii="Times New Roman" w:cs="Times New Roman" w:eastAsia="Times New Roman" w:hAnsi="Times New Roman"/>
          <w:sz w:val="18"/>
          <w:szCs w:val="18"/>
          <w:color w:val="auto"/>
        </w:rPr>
        <w:t>. The 2029 Indenture contains customary events of default which could, subject to certain conditions, cause the Secured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become immediately due and payable.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Secured Notes are also subject to the terms of the First Lien Intercreditor Agreement (the “First Lien Intercreditor Agreement”), dated April 18, 2024, among GEO, GEOCH, the other grantors from time to time party thereto, Citizens Bank, N.A., as Credit Agreement Collateral Agent and Authorized Representative for the Credit Agreement Secured Parties, and Ankura Trust Company, LLC as Initial Additional Collateral Agent and Initial Additional Authorized Representative. The First Lien Intercreditor Agreement sets forth the relative rights and obligations of the holders of First Lien Secured Obligations (which means (i) all obligations as defined in the Credit Agreement, (ii) all obligations under the Secured Notes, the 2029 Indenture, the Secured Note Guarantees and the Security Documents (as defined in the 2029 Indenture), and (iii) any other indebtedness secured on a first lien pari passu basis with such obligations), in each case, with respect to shared Collateral.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and conditions of the 2031 Indenture and the Unsecured Notes are as follows: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color w:val="auto"/>
        </w:rPr>
        <w:t>. The Unsecured Notes mature on April 15, 2031.</w:t>
      </w:r>
    </w:p>
    <w:p>
      <w:pPr>
        <w:spacing w:after="0" w:line="203" w:lineRule="exact"/>
        <w:rPr>
          <w:sz w:val="20"/>
          <w:szCs w:val="20"/>
          <w:color w:val="auto"/>
        </w:rPr>
      </w:pPr>
    </w:p>
    <w:p>
      <w:pPr>
        <w:ind w:left="4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The Unsecured Notes accrue interest at a rate of 10.250% per year. Interest on the Unsecured Notes is payable semi-annually on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15 and October 15, commencing October 15, 2024.</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The Unsecured Notes were issued at par.</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1" w:right="459" w:bottom="1440" w:gutter="0" w:footer="0" w:header="0"/>
        </w:sectPr>
      </w:pPr>
    </w:p>
    <w:bookmarkStart w:id="111" w:name="page112"/>
    <w:bookmarkEnd w:id="111"/>
    <w:p>
      <w:pPr>
        <w:ind w:left="46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 The Unsecured Notes are fully and unconditionally guaranteed by each of the Initial Guarantors (as defined in the 2031 Indenture)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may be guaranteed by additional </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color w:val="auto"/>
        </w:rPr>
        <w:t>ubsidiaries of the Company when a subsidiary guarantees debt under the credit facilities (other than debt securities) and debt securities in an aggregate principal amount of at least $100.0 million.</w:t>
      </w:r>
    </w:p>
    <w:p>
      <w:pPr>
        <w:spacing w:after="0" w:line="171"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Mandatory Redemption</w:t>
      </w:r>
      <w:r>
        <w:rPr>
          <w:rFonts w:ascii="Times New Roman" w:cs="Times New Roman" w:eastAsia="Times New Roman" w:hAnsi="Times New Roman"/>
          <w:sz w:val="18"/>
          <w:szCs w:val="18"/>
          <w:color w:val="auto"/>
        </w:rPr>
        <w:t>. The Company is not required to make mandatory redemption or sinking fund payments with respect to the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w:t>
      </w:r>
    </w:p>
    <w:p>
      <w:pPr>
        <w:spacing w:after="0" w:line="155"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color w:val="auto"/>
        </w:rPr>
        <w:t>. On or after April 15, 2027, the Company may redeem all or a part of the Unsecured Notes (which includes Additional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2031 Indenture), if any), upon not less than 10 nor more than 60 days’ notice, at the fixed redemption prices expressed as percentages of the principal amount set forth in the 2031 Indenture, plus accrued and unpaid interest, if any, on the Unsecured Notes redeemed, to, but excluding, the applicable redemption date, subject to the rights of holders of Unsecured Notes on the relevant record date to receive interest due on the relevant interest payment date if the Unsecured Notes have not been redeemed prior to such date. In addition, the Company may redeem up to 35% of the aggregate principal amount of the Unsecured Notes at any time and from time to time before April 15, 2027, with an amount up to the net proceeds of certain equity offerings at a redemption price of 110.250% of the principal amount plus accrued and unpaid interest, if any, to, but excluding, the redemption date provided, that (1) at least 65% of the aggregate principal amount of Unsecured Notes remains outstanding immediately after the occurrence of that redemption and (2) the redemption occurs within 90 days of the date of the closing of the equity offering. The Company may also redeem the Unsecured Notes, in whole or in part, at any time and from time to time before April 15, 2027, at a redemption price equal to 100% of the principal amount of the Unsecured Notes (which includes Additional Notes, if any), plus the Applicable Premium (as defined in the 2031 Indenture) as of the applicable redemption date, plus accrued and unpaid interest, if any, to, but excluding, the redemption date, subject to the rights of holders of Unsecured Notes on the relevant record date to receive interest due on the relevant interest payment date if the Unsecured Notes have not been redeemed prior to such date.</w:t>
      </w:r>
    </w:p>
    <w:p>
      <w:pPr>
        <w:spacing w:after="0" w:line="185" w:lineRule="exact"/>
        <w:rPr>
          <w:sz w:val="20"/>
          <w:szCs w:val="20"/>
          <w:color w:val="auto"/>
        </w:rPr>
      </w:pPr>
    </w:p>
    <w:p>
      <w:pPr>
        <w:ind w:left="460"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If a Change of Control (as defined in the 2031 Indenture) occurs, the Company will offer a payment in cash equal to 101%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aggregate principal amount of Unsecured Notes repurchased, plus accrued and unpaid interest, if any, on the Unsecured Notes repurchased, to (but not including) the date of purchase, subject to the right of holders on the relevant record date to receive interest due on the relevant interest payment date if the Unsecured Notes have not been redeemed or repurchased prior to such date.</w:t>
      </w:r>
    </w:p>
    <w:p>
      <w:pPr>
        <w:spacing w:after="0" w:line="176" w:lineRule="exact"/>
        <w:rPr>
          <w:sz w:val="20"/>
          <w:szCs w:val="20"/>
          <w:color w:val="auto"/>
        </w:rPr>
      </w:pPr>
    </w:p>
    <w:p>
      <w:pPr>
        <w:ind w:left="460"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Certain Covenants</w:t>
      </w:r>
      <w:r>
        <w:rPr>
          <w:rFonts w:ascii="Times New Roman" w:cs="Times New Roman" w:eastAsia="Times New Roman" w:hAnsi="Times New Roman"/>
          <w:sz w:val="18"/>
          <w:szCs w:val="18"/>
          <w:color w:val="auto"/>
        </w:rPr>
        <w:t>. The 2031 Indenture contains certain covenants that will limit, among other things, the Company’s and its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(as defined in the 2031 Indenture) ability to: incur additional indebtedness (including guarantees thereof); incur or create liens, other than Permitted Liens (as defined in the 2031 Indenture); make certain Restricted Payments (as defined in the 2031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2031 Indenture); engage in certain transactions with affiliates; and engage in any business other than Permitted Businesses (as defined in the 2031 Indenture). These covenants are subject to a number of important limitations and exceptions.</w:t>
      </w:r>
    </w:p>
    <w:p>
      <w:pPr>
        <w:spacing w:after="0" w:line="183"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of Default</w:t>
      </w:r>
      <w:r>
        <w:rPr>
          <w:rFonts w:ascii="Times New Roman" w:cs="Times New Roman" w:eastAsia="Times New Roman" w:hAnsi="Times New Roman"/>
          <w:sz w:val="18"/>
          <w:szCs w:val="18"/>
          <w:color w:val="auto"/>
        </w:rPr>
        <w:t>. The 2031 Indenture contains customary events of default which could, subject to certain conditions, cause the Unsecured Notes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immediately due and payable.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 May 31, 2024, under the terms of the Registration Rights Agreement, dated as of April 18, 2024, among GEO, the Guarantors and Citizens JMP Securities, LLC, as the representative of the initial purchasers (the “Representative”) of the Notes (the “Registration Rights Agreement”), the Company filed a registration statement on Form S-4, with respect to an offer (the “Registered Exchange Offer”) to issue and deliver, in exchange for the Initial Securities (as defined in the Registration Rights Agreement, which includes the Notes issued on April 18, 2024), an equal aggregate principal amount of debt securities and related guarantees (collectively, the “Exchange Securities”) of the Company and the Guarantors, respectively, issued under the applicable Indenture. The registration statement was declared effective on June 13, 2024 and the Registered Exchange Offer was launched on June 14, 2024 and expired on July 23, 2024, as extended, in compliance with the requirements of the Registration Rights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GEO and GEOCH, as borrowers (collectively, the “Credit Facility Borrowers”), entered into a Credit Agreement, dated April 18, 2024 (the “Credit Agreement”) to, among other things, evidence and govern a first-lien senior secured revolving credit facility (the “Revolving Credit Facility”; and the commitments thereunder, the “Revolving Credit Facility Commitments”) and a first-lien senior secured term loan facility (the “Term Loan Facility” and, together with the Revolving Credit Facility, the “Credit Facility”). The aggregate principal amount of revolving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12" w:name="page113"/>
    <w:bookmarkEnd w:id="112"/>
    <w:p>
      <w:pPr>
        <w:ind w:right="260"/>
        <w:spacing w:after="0" w:line="282" w:lineRule="auto"/>
        <w:rPr>
          <w:sz w:val="20"/>
          <w:szCs w:val="20"/>
          <w:color w:val="auto"/>
        </w:rPr>
      </w:pPr>
      <w:r>
        <w:rPr>
          <w:rFonts w:ascii="Times New Roman" w:cs="Times New Roman" w:eastAsia="Times New Roman" w:hAnsi="Times New Roman"/>
          <w:sz w:val="18"/>
          <w:szCs w:val="18"/>
          <w:color w:val="auto"/>
        </w:rPr>
        <w:t>credit commitments under the Revolving Credit Facility is $310 million (including a $175 million letter of credit subfacility) and the aggregate principal amount of the New Term Loan Facility is $450.0 million.</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loans under the Revolving Credit Facility (the “Revolving Credit Loans”) bear interest at a per annum rate equal to either (i) Alternate Base Rate (as defined below) plus an applicable margin or (ii) Term SOFR (as defined below) (subject to a 0.75% floor) plus an applicable margin, which applicable margin shall, in either case, vary depending on GEO’s total leverage ratio as of the most recent determination date, and the Credit Facility Borrowers will pay a fee in respect of the unused revolving commitments under the Revolving Credit Facility at a per annum rate ranging from 0.25% to 0.50%, in each case depending on GEO’s total leverage ratio as of the most recent determination date, where “Alternate Base Rate” means, for any day, a rate per annum equal to the greatest of (a) the Prime Rate in effect on such day, (b) the Federal Funds Rate for such day plus 1/2 of 1% and (c) Term SOFR (as defined below) for a one-month tenor in effect on such day, plus 1%, and “Term SOFR” means the Term Secured Overnight Financing Rate. The loans under the Term Loan Facility (the “Term Loans”) bear interest at a per annum rate equal to either (i) Alternate Base Rate plus an applicable margin for Alternate Base Rate Loans and (ii) Term SOFR (subject to a 0.75% floor) plus an applicable margin for Term SOFR Loans.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Term Loans amortize at a rate equal to 1.25% of the original principal amount of such Term Loans per quarter. Mandatory prepayments of loans under the Credit Agreement are required in respect of certain casualty and asset sale proceeds and excess cash flow, subject to certain thresholds and exceptions. Voluntary prepayments of the Revolving Credit Loans may be made by the Credit Facility Borrowers at any time without premium or penalty (subject to reimbursement for customary breakage expenses). Voluntary prepayments of the Term Loans and any prepayments of Term Loans required in connection with any acceleration of the maturity thereof (or in connection with a foreclosure or other disposition of or realization upon any Collateral or other satisfaction or compromise of any obligations thereunder in any insolvency or other similar proceeding) will require payment of a premium equal to (i)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of the principal amount prepaid or required to be prepaid if made prior to the first anniversary of the effective date of the Term Loan Facility and (ii)</w:t>
      </w:r>
    </w:p>
    <w:p>
      <w:pPr>
        <w:spacing w:after="0" w:line="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1.00% of the principal amount prepaid or required to be prepaid if made on or after the first anniversary of the effective date of the Term Loan Facility but prior to the second anniversary of the effective date of the Term Loan Facility.</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Revolving Credit Facility Commitments under the Revolving Credit Facility will terminate, and the Revolving Credit Loans will mature, on the earliest of (i) April 15, 2029, (ii) in the event that any Term Loans remain outstanding on the date that is ninety-one days prior to the Term Loan Maturity Date (as defined below), the date that is ninety-one days prior to the Term Loan Maturity Date, (iii) in the event that an aggregate principal amount equal to or greater than $100,000,000 of any Senior Notes remains outstanding on the Senior Notes Springing Maturity Date (as defined below), such Senior Notes Springing Maturity Date, it being understood that Senior Notes shall not be considered to be outstanding for purposes of this clause (iii) to the extent GEO, shall have deposited or caused to be deposited funds into a customary irrevocable escrow in an amount sufficient to pay or redeem such Senior Notes in full on the maturity date thereof (the “Maturity Reserve Condition”), where “Senior Notes” refers to each of the Secured Notes and the Unsecured Notes and any other senior notes issued by GEO or any of its subsidiaries (excluding the 6.50% Exchangeable Senior Notes), and “Senior Notes Springing Maturity Date” means the date that is ninety-one days prior to the stated maturity date of the applicable Senior Notes. The Term Loans will mature on the earliest of</w:t>
      </w:r>
    </w:p>
    <w:p>
      <w:pPr>
        <w:spacing w:after="0" w:line="6" w:lineRule="exact"/>
        <w:rPr>
          <w:sz w:val="20"/>
          <w:szCs w:val="20"/>
          <w:color w:val="auto"/>
        </w:rPr>
      </w:pPr>
    </w:p>
    <w:p>
      <w:pPr>
        <w:ind w:right="240" w:firstLine="8"/>
        <w:spacing w:after="0" w:line="255" w:lineRule="auto"/>
        <w:tabs>
          <w:tab w:leader="none" w:pos="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15, 2029 and (ii) in the event that an aggregate principal amount equal to or greater than $100,000,000 of any series or class of Senior Notes remains outstanding on the Senior Notes Springing Maturity Date, such Senior Notes Springing Maturity Date, unless the Maturity Reserve Condition is satisfied with respect to such Senior Notes (such earliest date, the “Term Loan Maturity Date”).</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Credit Agreement contains certain customary representations and warranties, affirmative covenants and negative covenants, including restrictions on the ability of GEO and its restricted subsidiaries to, among other things, (i) create, incur or assume any indebtedness, (ii) create, incur, assume or permit liens, (iii) make loans and investments, (iv) engage in mergers, acquisitions and asset sales, (v) make certain restricted payments, (vi) engage in transactions with affiliates, (vii) cancel, forgive, make any voluntary or optional payment or prepayment on, or redeem or acquire for value any subordinated indebtedness, except as permitted under applicable subordination terms, (viii) engage in other businesses, except as permitted, and (ix) materially impair the security interests securing the obligations under the Credit Agreement. The Credit Agreement also contains certain financial covenants, including a maximum total leverage ratio covenant, a maximum first lien leverage ratio covenant and a minimum interest coverage ratio covenant. In addition, the Credit Agreement restricts GEO from electing to be taxed as a real estate investment trust under the Internal Revenue Code. The Credit Agreement also contains certain customary events of default.</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Credit Facility guarantors will guarantee the obligations in respect of the commitments and loans under the Credit Agreement. The obligations of the Credit Facility Borrowers and the Credit Facility guarantors in respect of the Credit Agreement will be secured by first-priority liens on substantially all of their assets, including real property interests with respect to which the Credit Agreement requires the execution and delivery of a mortgage. The rights of the holders of the Secured Notes in the Collateral (including the right to exercise remedies) is subject to the First Lien Intercreditor Agreement.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$110.0 million in borrowings under its revolver, and approximately $62.9 million in letters of credit which left approximately $137.1 million in additional borrowing capacity under the revolver. The weighted average interest rate on outstanding borrowings under the Credit Agreement as of December 31, 2024 was 9.17%.</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3" w:name="page114"/>
    <w:bookmarkEnd w:id="113"/>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 and Debt Issuance Fees</w:t>
      </w:r>
    </w:p>
    <w:p>
      <w:pPr>
        <w:spacing w:after="0" w:line="22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connection with the above transactions, as well as mandatory quarterly payments on its Term Loan, the Company incurred a loss on extinguishment of debt of approximately $86.6 million for the year ended December 31, 2024 which consisted of the write-off of existing deferred financing costs and net discount/premiums and the payment of call premiums. In addition, the Company incurred a total of approximately $35.6 million of debt issuance fees which were allocated to the new Secured Notes, new Unsecured Notes and the new Credit Agreement based on their relative fair values on the date of issuance. These debt issuance fees are being amortized into interest expense over the terms of the respective agreements using the effective interest method.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6.50% Exchangeable Senior Notes due 2026</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24, 2021, the Company’s wholly owned subsidiary, GEOCH, completed a private offering of $230 million aggregate principal amount of Convertible Notes. The Convertible Notes were scheduled to mature on February 23, 2026, unless earlier repurchased or exchanged. The Convertible Notes bore interest at the rate of 6.50% per year plus an additional amount based on the dividends paid by the Company on its common stock, $0.01 par value per share. Interest on the Convertible Notes is payable semi-annually in arrears on March 1 and September 1 of each year, beginning on September 1, 2021.</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Subject to certain restrictions on share ownership and transfer, holders were able to exchange the Convertible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Convertible Notes for each trading day of such measurement period was less than 98% of the product of the last reported sale price of the Company’s common stock and the exchange rate for the Convertible Notes on each such trading day; or (2) upon the occurrence of certain specified corporate events. On or after November 25, 2025, until the close of business on the second scheduled trading day immediately preceding the maturity date of the Convertible Notes, holders were able to exchange their Convertible Notes at any time, regardless of the foregoing circumstances. Upon exchange of a Convertible Note, GEO would pay or deliver, as the case may be, cash or a combination of cash and shares of the Company’s common stock.</w:t>
      </w:r>
    </w:p>
    <w:p>
      <w:pPr>
        <w:spacing w:after="0" w:line="124"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Upon conversion, the Company would pay or deliver, as the case may be, cash or a combination of cash and shares of common stock. The initial conversion rate was 108.4011 shares of common stock per $1,000 principal amount of Convertible Notes (equivalent to an initial conversion price of approximately $9.225 per share of common stock). The conversion rate was subject to adjustment in certain events. If the Company or GEOCH had undergone a fundamental change, holders could have required GEOCH to purchase the Convertible Notes in whole or in part for cash at a fundamental change purchase price equal to 100% of the principal amount of the Convertible Notes to be purchased, plus accrued and unpaid interest, if any, to, but excluding, the fundamental change purchase date.</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2024, the Company retired $229.9 million in aggregate principal amount of its outstanding 6.50% Exchangeable Senior Notes as a result of private exchange transactions with an exchange value of approximately $415 million. The consideration consisted of cash of $229.9 million, using a combination of the net proceeds from the Senior Notes Offering and cash on hand, and approximately 12.4 million shares of GEO common stock. Of the total amount of shares issued, the Company issued 4,209,847 shares that were in treasury. During the first quarter of 2025, the Company entered into the last repurchase transaction that resulted in the retirement of the remaining principal balance.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In August of 2019, the Company entered into two identical Notes in the aggregate amount of $44.3 million which are secured by loan agreements and mortgage and security agreements on certain real property and improvements. The terms of the Notes are through September 1, 2034 and bear interest at SOFR plus 205 basis points and are payable in monthly installments plus interest. The Company has entered into interest rate swap agreements to fix the interest rate to 4.22%. Included in the balance at December 31, 2024 is $0.5 million of deferred loan costs incurred in the transaction. Refer to Note 6 - Derivative Financial Instruments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outstanding borrowings under all of our outstanding debt balances as of December 31, 2024 was 9.24%.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Debt Repayment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repayment schedules under Finance Lease Obligations, Long-Term Debt, Term Loans and the Credit Agreement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Revolver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Repayment</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21,581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23,939</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651,499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278,125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1,039,624</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656,614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656,614</w:t>
            </w: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1,313,635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320,823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1,745,014</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imputed on finance leases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Original issue (discount) premium</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(2,889 )</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(1,612 )</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1,312,360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317,934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1,740,513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-25400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certain guarantees in connection with the performance of a facility in Australia. The obligations amounted to approximately AUD53.1 million, or $33.0 million, based on exchange rates in effect as of December 31, 2024.</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2024, the Company also had five letters of guarantee outstanding under separate international facilities relating to performance guarantees of its Australian subsidiary totaling $8.3 million. The guarantees exist over the term of the respective contracts.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discussed above, the Company does not have any off-balance sheet arrangements.</w:t>
      </w:r>
    </w:p>
    <w:p>
      <w:pPr>
        <w:spacing w:after="0" w:line="248"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operating and finance leases for facilities, ground leases, office space, computers, copier equipment and transportation vehicles that have remaining lease terms of one year to seventy-six years, some of which include options to extend the lease for up to ten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related assets and liabilities are recorded on the balance sheet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51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Classification on the Balance Sheet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assets</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95,327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102,204</w:t>
            </w:r>
          </w:p>
        </w:tc>
      </w:tr>
      <w:tr>
        <w:trPr>
          <w:trHeight w:val="216"/>
        </w:trPr>
        <w:tc>
          <w:tcPr>
            <w:tcW w:w="2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w:t>
            </w:r>
          </w:p>
        </w:tc>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1,205</w:t>
            </w:r>
          </w:p>
        </w:tc>
      </w:tr>
      <w:tr>
        <w:trPr>
          <w:trHeight w:val="20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5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95,841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103,409</w:t>
            </w:r>
          </w:p>
        </w:tc>
      </w:tr>
      <w:tr>
        <w:trPr>
          <w:trHeight w:val="20"/>
        </w:trPr>
        <w:tc>
          <w:tcPr>
            <w:tcW w:w="2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800" w:type="dxa"/>
            <w:vAlign w:val="bottom"/>
            <w:shd w:val="clear" w:color="auto" w:fill="CFF0FC"/>
          </w:tcPr>
          <w:p>
            <w:pPr>
              <w:spacing w:after="0"/>
              <w:rPr>
                <w:sz w:val="17"/>
                <w:szCs w:val="17"/>
                <w:color w:val="auto"/>
              </w:rPr>
            </w:pPr>
          </w:p>
        </w:tc>
        <w:tc>
          <w:tcPr>
            <w:tcW w:w="5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24,640</w:t>
            </w:r>
          </w:p>
        </w:tc>
      </w:tr>
      <w:tr>
        <w:trPr>
          <w:trHeight w:val="216"/>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[1]</w:t>
            </w:r>
          </w:p>
        </w:tc>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73,638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82,114</w:t>
            </w:r>
          </w:p>
        </w:tc>
      </w:tr>
      <w:tr>
        <w:trPr>
          <w:trHeight w:val="21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[1]</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r>
      <w:tr>
        <w:trPr>
          <w:trHeight w:val="249"/>
        </w:trPr>
        <w:tc>
          <w:tcPr>
            <w:tcW w:w="2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99,529</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-1439545</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857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857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Also refer to Note 11 -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information related to the lease costs for finance and operating leases is presented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34,359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34,262</w:t>
            </w: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753</w:t>
            </w: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13,302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10,865</w:t>
            </w:r>
          </w:p>
        </w:tc>
      </w:tr>
      <w:tr>
        <w:trPr>
          <w:trHeight w:val="250"/>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48,387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45,880</w:t>
            </w:r>
          </w:p>
        </w:tc>
      </w:tr>
      <w:tr>
        <w:trPr>
          <w:trHeight w:val="196"/>
        </w:trPr>
        <w:tc>
          <w:tcPr>
            <w:tcW w:w="72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35,085</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34,933</w:t>
            </w: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activities for finance leases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728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21,324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35,233</w:t>
            </w: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5.9 years</w:t>
            </w: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18"/>
                <w:szCs w:val="18"/>
                <w:color w:val="auto"/>
              </w:rPr>
            </w:pPr>
          </w:p>
        </w:tc>
        <w:tc>
          <w:tcPr>
            <w:tcW w:w="1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 years</w:t>
            </w: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-1670685</wp:posOffset>
            </wp:positionV>
            <wp:extent cx="939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-1653540</wp:posOffset>
            </wp:positionV>
            <wp:extent cx="939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6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and finance lease liabilities recorded on the balance sheet as of December 31,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10"/>
        </w:trPr>
        <w:tc>
          <w:tcPr>
            <w:tcW w:w="6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33,471</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1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21,457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1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8,247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13,514</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117,920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 representing interest</w:t>
            </w: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(18,947 )</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98,973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(25,335 )</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49"/>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73,638</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1289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12890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41"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17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Company’s employees participate in an Employee Retirement Savings Plan (the “Retirement Plan”) under Section 401(k) of the Internal Revenue Code that covers substantially all U.S. based salaried employees. Employees may contribute a percentage of eligible compensation to the plan, subject to certain limits under the Internal Revenue Code. For the years ended December 31, 2024, 2023 and 2022, the Company provided matching contributions of $9.5 million, $8.5 million and $7.2 million, respectively.</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two non-contributory defined benefit pension plans covering certain of the Company’s executives. Retirement benefits are based on years of service, employees’ average compensation for the last five years prior to retirement and social security benefits. Currently, the plans are not funded. The Company purchased and is the beneficiary of life insurance policies for certain participants enrolled in the plans. There were no significant transactions between the employer or related parties and the plans during 2024, 2023 or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had a non-qualified deferred compensation agreement with its Executive Chairman. The agreement provided for a lump sum payment upon retirement, no sooner than age 55. As of December 31, 2024, the Executive Chairman had reached age 55 and was eligible to receive the payment upon retirement.</w:t>
      </w:r>
    </w:p>
    <w:p>
      <w:pPr>
        <w:spacing w:after="0" w:line="3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and its Executive Chairman entered into on May 27, 2021, and effective July 1, 2021, an Amended and Restated Executive Retirement Agreement. Pursuant to the terms of the Amended and Restated Executive Retirement Agreement, upon the date that the Executive Chairman ceases to provide services to the Company, the Company will pay to the Executive Chairman an amount equal to $3,600,000 which shall be paid in cash. The payment shall be credited with interest at a rate of 5% compounded quarterly. Additionally, at the end of each calendar year provided that the Executive Chairman is still providing services to GEO pursuant to the Executive Chairman Employment Agreement, GEO will credit an amount equal to $1,000,000 (the "Employment Contributions Account"). The Employment Contributions Account will be credited with interest at the rate of 5% compounded quarterly. As the Executive Chairman's retirement payment will no longer be settled with a fixed number of shares of GEO’s common stock (as per the Executive Chairman's former retirement agreement), $3,600,000 has been reclassified from equity to other non-current liabilities in 2021. The balance of the Amended and Restated Executive Retirement Agreement was approximately $12.6 million at December 31, 2024 which is fully funded. The following table presents the balance due to the Executive Chairman at the end of the next five years under the Amended and Restated Executive Retirement Agreement provided that the Executive Chairman is still providing services to the Company under his Executive Chairman Employment Agreement:</w:t>
      </w:r>
    </w:p>
    <w:p>
      <w:pPr>
        <w:spacing w:after="0" w:line="389"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End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0" w:type="dxa"/>
            <w:vAlign w:val="bottom"/>
          </w:tcPr>
          <w:p>
            <w:pPr>
              <w:spacing w:after="0"/>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0" w:type="dxa"/>
            <w:vAlign w:val="bottom"/>
          </w:tcPr>
          <w:p>
            <w:pPr>
              <w:spacing w:after="0"/>
              <w:rPr>
                <w:sz w:val="1"/>
                <w:szCs w:val="1"/>
                <w:color w:val="auto"/>
              </w:rPr>
            </w:pPr>
          </w:p>
        </w:tc>
      </w:tr>
      <w:tr>
        <w:trPr>
          <w:trHeight w:val="142"/>
        </w:trPr>
        <w:tc>
          <w:tcPr>
            <w:tcW w:w="6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12/31/2026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12/31/2028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12/31/2029</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had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117" w:name="page118"/>
    <w:bookmarkEnd w:id="117"/>
    <w:p>
      <w:pPr>
        <w:spacing w:after="0" w:line="3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summarizes key information related to the Company’s defined benefit pension plans. The table illustrates the reconciliation of the beginning and ending balances of the benefit obligation showing the effects during the periods presented attributable to service cost, interest cost, plan amendments, termination benefits, actuarial gains and losses. The assumptions used in the Company’s calculation of accrued pension costs are based on market information and the Company’s historical rates for employment compensation and discount rates. The vested benefit obligation is determined as the actuarial present value of the vested benefits to which the employee is currently entitled to but based on the employee's expected date of separation or retirement.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10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23,882</w:t>
            </w:r>
          </w:p>
        </w:tc>
      </w:tr>
      <w:tr>
        <w:trPr>
          <w:trHeight w:val="216"/>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Beginning of Year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1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26,207</w:t>
            </w: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(1,772 )</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(928 )</w:t>
            </w: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End of Year</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10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27,790</w:t>
            </w:r>
          </w:p>
        </w:tc>
      </w:tr>
      <w:tr>
        <w:trPr>
          <w:trHeight w:val="209"/>
        </w:trPr>
        <w:tc>
          <w:tcPr>
            <w:tcW w:w="7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 Assets at Fair Value, Beginning of Year</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Contributions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(1,009 )</w:t>
            </w: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(928 )</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at Fair Value, End of Year</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Unfunded Status of the Plan</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(27,027 )</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(27,790 )</w:t>
            </w:r>
          </w:p>
        </w:tc>
      </w:tr>
      <w:tr>
        <w:trPr>
          <w:trHeight w:val="197"/>
        </w:trPr>
        <w:tc>
          <w:tcPr>
            <w:tcW w:w="75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(1,921 )</w:t>
            </w: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Pension Cost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7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2,090</w:t>
            </w:r>
          </w:p>
        </w:tc>
      </w:tr>
      <w:tr>
        <w:trPr>
          <w:trHeight w:val="20"/>
        </w:trPr>
        <w:tc>
          <w:tcPr>
            <w:tcW w:w="7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Assumptions for Expense</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-2976880</wp:posOffset>
            </wp:positionV>
            <wp:extent cx="1117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-2419985</wp:posOffset>
            </wp:positionV>
            <wp:extent cx="11176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-2128520</wp:posOffset>
            </wp:positionV>
            <wp:extent cx="1117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-2111375</wp:posOffset>
            </wp:positionV>
            <wp:extent cx="1117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-1828165</wp:posOffset>
            </wp:positionV>
            <wp:extent cx="1117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-730885</wp:posOffset>
            </wp:positionV>
            <wp:extent cx="939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long-term portion of the pension liability related to the defined benefit plan as of December 31, 2024 and 2023 was $26.2 million and $27.0 million, respectively, and is included in Other Non-Current liabilities in the accompanying consolidated balance sheets.</w:t>
      </w:r>
    </w:p>
    <w:p>
      <w:pPr>
        <w:spacing w:after="0" w:line="16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amount included in accumulated other comprehensive income as of December 31, 2024 that has not yet been recognized as a component of net periodic benefit cost is $1.9 million. There was no amount included in other accumulated comprehensive income as of December 31, 2024 that is expected to be recognized as a component of net periodic benefit cost in fiscal year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3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benefit payments reflected in the table below represent the Company’s obligations to employees that are eligible for retirement or have already retired and are receiving deferred compensation benefits: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center"/>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18,618</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also maintains The GEO Group Inc. Deferred Compensation Plan (“Deferred Compensation Plan”), a non-qualified deferred compensation plan for employees who are ineligible to participate in its qualified 401(k) plan. Eligible employees may defer a fixed percentage of their salary and the Company matches employee contributions up to a certain amount based on the employee’s years of service. Payments will be made at retirement age of 65, at termination of employment or earlier depending on the employees’ elections. The Company established a rabbi trust; the purpose of which is to segregate the assets of the Deferred Compensation Plan from the Company’s cash balances. The funds in the rabbi trust are included in Restricted Cash and Investments in the accompanying Consolidated Balance Sheets. These funds are not available to the Company for any purpose other than to fund the Deferred Compensation Plan; however, these funds may be available to the Company’s creditors in the event the Company becomes insolvent. The rabbi trust had a balance of approximately $46.9 million at December 31, 2024. All employee and employer contributions relative to the Deferred Compensation Plan are made directly to the rabbi trust. The Company recognized expense related to its contributions of $0.8 million, $0.7 million and $0.7 million for the years ended December 31, 2024, 2023 and 2022, respectively. The total liability for this plan at December 31, 2024 and 2023 was approximately $41.8 million and $38.6 million, respectively, and is included in Other Non-Current Liabilities in the accompanying Consolidated Balance Sheets. The current portion of this liability was $2.7 million and $2.8 million as of December 31, 2024 and 2023, respectively.</w:t>
      </w:r>
    </w:p>
    <w:p>
      <w:pPr>
        <w:spacing w:after="0" w:line="213"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and Reporting Segments</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segments are determined as those operations whose results are reviewed regularly by the chief operating decision maker ("CODM"), who is the Company's Chief Executive Officer, in deciding how to allocate recourses and assess performance. The Company conducts its business through four reportable business segments: the U.S. Secure Services segment; the Electronic Monitoring and Supervision Services segment; the Reentry Services segment; and the International Services segment. The Company has identified these four reportable segments to reflect the current view that the Company operates four distinct business lines, each of which constitutes a material part of its overall business.</w:t>
      </w:r>
    </w:p>
    <w:p>
      <w:pPr>
        <w:spacing w:after="0" w:line="1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U.S. Secure Services segment primarily encompasses U.S.-based secure services business. The Electronic Monitoring and Supervision Services segment, which conducts its services in the United States, represents services provided to adults for monitoring services and evidence-based supervision and treatment programs for community-based parolees, probationers, and pretrial defendants. The Reentry Services segment, which conducts its services in the United States represents services provided to adults for residential and non-residential treatment, educational and community-based programs, pre-release and half-way house programs. The International Services segment primarily consists of secure services operations in South Africa and Australia. Segment disclosures below (in thousands) reflect the results of continuing operations. All transactions between segments are eliminated. The accounting policies of the segments are the same as those described in the summary of significant accounting policies.</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Revenue and operating income for each segment are used by the CODM to assess the performance of each segment in a financial period. The performance of the operating segments is evaluated based on segment operating income, which is defined as income before income taxes before the following: unallocated corporate general and administrative expenses, interest expense, net, loss on extinguishment of debt, and certain gains and losses not allocated to the operating segments. The CODM uses segment operating income as the measure to make resource (including financial or capital resources) allocation decisions for each segment, predominantly in the annual budget and forecasting process. The CODM considers budget-to-actual variances on a monthly and quarterly basis when evaluating performance for each segment and making decisions about capital allocation.</w:t>
      </w:r>
    </w:p>
    <w:p>
      <w:pPr>
        <w:spacing w:after="0" w:line="133"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for the Company's segments is shown in the following tables including a reconciliation of the Company’s total operating income from its reportable segments to the Company’s income before income taxes and equity in earnings of affiliates, in each case, during the years ended December 31, 2024, 2023 and 2022,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Electronic</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12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40" w:type="dxa"/>
            <w:vAlign w:val="bottom"/>
          </w:tcPr>
          <w:p>
            <w:pPr>
              <w:spacing w:after="0"/>
              <w:rPr>
                <w:sz w:val="12"/>
                <w:szCs w:val="12"/>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1,604,386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332,826</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277,566</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208,924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2,423,702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Labor and Related Taxes [1]</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885,863</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91,262</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126,610</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122,039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1,225,774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Medical Services and Supplies [1]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Segment Items [2]</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352,021</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94,209</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92,659</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72,451</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611,340</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Segments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amounts:</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(213,028 )</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(181,837 )</w:t>
            </w: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(86,637 )</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on asset divestitures/impairment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(2,907 )</w:t>
            </w:r>
          </w:p>
        </w:tc>
        <w:tc>
          <w:tcPr>
            <w:tcW w:w="0" w:type="dxa"/>
            <w:vAlign w:val="bottom"/>
          </w:tcPr>
          <w:p>
            <w:pPr>
              <w:spacing w:after="0"/>
              <w:rPr>
                <w:sz w:val="1"/>
                <w:szCs w:val="1"/>
                <w:color w:val="auto"/>
              </w:rPr>
            </w:pPr>
          </w:p>
        </w:tc>
      </w:tr>
      <w:tr>
        <w:trPr>
          <w:trHeight w:val="210"/>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earnings of affiliates</w:t>
            </w:r>
          </w:p>
        </w:tc>
        <w:tc>
          <w:tcPr>
            <w:tcW w:w="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38,594</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46,837</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4"/>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Electronic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60" w:type="dxa"/>
            <w:vAlign w:val="bottom"/>
          </w:tcPr>
          <w:p>
            <w:pPr>
              <w:spacing w:after="0"/>
              <w:rPr>
                <w:sz w:val="12"/>
                <w:szCs w:val="12"/>
                <w:color w:val="auto"/>
              </w:rPr>
            </w:pPr>
          </w:p>
        </w:tc>
        <w:tc>
          <w:tcPr>
            <w:tcW w:w="12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40" w:type="dxa"/>
            <w:vAlign w:val="bottom"/>
          </w:tcPr>
          <w:p>
            <w:pPr>
              <w:spacing w:after="0"/>
              <w:rPr>
                <w:sz w:val="12"/>
                <w:szCs w:val="12"/>
                <w:color w:val="auto"/>
              </w:rPr>
            </w:pPr>
          </w:p>
        </w:tc>
        <w:tc>
          <w:tcPr>
            <w:tcW w:w="10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1,518,292</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425,879</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275,102</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193,894</w:t>
            </w:r>
          </w:p>
        </w:tc>
        <w:tc>
          <w:tcPr>
            <w:tcW w:w="10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2,413,167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Labor and Related Taxes [1]</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824,893</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96,510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125,626</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104,028</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Medical Services and Supplies [1]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71,483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Segment Items [2]</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351,927</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116,466</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100,741</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78,338</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647,472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Segments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269,989</w:t>
            </w:r>
          </w:p>
        </w:tc>
        <w:tc>
          <w:tcPr>
            <w:tcW w:w="16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212,903</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48,735</w:t>
            </w:r>
          </w:p>
        </w:tc>
        <w:tc>
          <w:tcPr>
            <w:tcW w:w="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amounts:</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(190,766 )</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(210,500 )</w:t>
            </w: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(8,532 )</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gain on asset divestitures/impairment</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earnings of affiliates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48,270</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78,917</w:t>
            </w:r>
          </w:p>
        </w:tc>
        <w:tc>
          <w:tcPr>
            <w:tcW w:w="1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28,053</w:t>
            </w:r>
          </w:p>
        </w:tc>
        <w:tc>
          <w:tcPr>
            <w:tcW w:w="18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80" w:type="dxa"/>
            <w:vAlign w:val="bottom"/>
          </w:tcPr>
          <w:p>
            <w:pPr>
              <w:spacing w:after="0"/>
              <w:rPr>
                <w:sz w:val="20"/>
                <w:szCs w:val="20"/>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-5253990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-5253990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-5253990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-5253990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-5253990</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-4422775</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-2322195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-2322195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-2322195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-2322195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20" w:name="page121"/>
    <w:bookmarkEnd w:id="120"/>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Electronic</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2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12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1,437,831</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496,268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255,428</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187,200</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2,376,727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Labor and Related Taxes [1]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755,290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1,053,357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Medical Services and Supplies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Segment Items [2]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334,396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98,856</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675,126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Segments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280,818</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238,194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42,923</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amounts: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(196,972 )</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(148,562 )</w:t>
            </w: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(37,895 )</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gain on asset divestitures/impairment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earnings of affiliates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52,613</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-1425575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-1425575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-1425575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-1425575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-1425575</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-593725</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80" w:firstLine="258"/>
        <w:spacing w:after="0" w:line="282" w:lineRule="auto"/>
        <w:tabs>
          <w:tab w:leader="none" w:pos="5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CODM. Intersegment expenses are included in the amounts shown.</w:t>
      </w:r>
    </w:p>
    <w:p>
      <w:pPr>
        <w:spacing w:after="0" w:line="188" w:lineRule="exact"/>
        <w:rPr>
          <w:rFonts w:ascii="Times New Roman" w:cs="Times New Roman" w:eastAsia="Times New Roman" w:hAnsi="Times New Roman"/>
          <w:sz w:val="18"/>
          <w:szCs w:val="18"/>
          <w:color w:val="auto"/>
        </w:rPr>
      </w:pPr>
    </w:p>
    <w:p>
      <w:pPr>
        <w:ind w:left="520" w:hanging="26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w:t>
      </w:r>
    </w:p>
    <w:p>
      <w:pPr>
        <w:spacing w:after="0" w:line="2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U.S. Secure Services </w:t>
      </w:r>
      <w:r>
        <w:rPr>
          <w:rFonts w:ascii="Times New Roman" w:cs="Times New Roman" w:eastAsia="Times New Roman" w:hAnsi="Times New Roman"/>
          <w:sz w:val="18"/>
          <w:szCs w:val="18"/>
          <w:color w:val="auto"/>
        </w:rPr>
        <w:t>- depreciation and amortization, food services and supplies, utilities, repairs and maintenance, rent and lease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 and certain other overhead expenses.</w:t>
            </w:r>
          </w:p>
        </w:tc>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0340" w:type="dxa"/>
            <w:vAlign w:val="bottom"/>
            <w:gridSpan w:val="7"/>
          </w:tcPr>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Electronic Monitoring and Supervision Services </w:t>
            </w:r>
            <w:r>
              <w:rPr>
                <w:rFonts w:ascii="Times New Roman" w:cs="Times New Roman" w:eastAsia="Times New Roman" w:hAnsi="Times New Roman"/>
                <w:sz w:val="18"/>
                <w:szCs w:val="18"/>
                <w:color w:val="auto"/>
              </w:rPr>
              <w:t>- depreciation and amortization, cost of goods sold, rent and lease expense and</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certain</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overhead expenses.</w:t>
            </w:r>
          </w:p>
        </w:tc>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0340" w:type="dxa"/>
            <w:vAlign w:val="bottom"/>
            <w:gridSpan w:val="7"/>
          </w:tcPr>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Reentry Services </w:t>
            </w:r>
            <w:r>
              <w:rPr>
                <w:rFonts w:ascii="Times New Roman" w:cs="Times New Roman" w:eastAsia="Times New Roman" w:hAnsi="Times New Roman"/>
                <w:sz w:val="18"/>
                <w:szCs w:val="18"/>
                <w:color w:val="auto"/>
              </w:rPr>
              <w:t>- depreciation and amortization, medical services and supplies, food services and supplies, rent and lease expense,</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6"/>
              </w:rPr>
              <w:t>utilities</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and certain other overhead expenses.</w:t>
            </w:r>
          </w:p>
        </w:tc>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240" w:type="dxa"/>
            <w:vAlign w:val="bottom"/>
            <w:gridSpan w:val="9"/>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International Services </w:t>
            </w:r>
            <w:r>
              <w:rPr>
                <w:rFonts w:ascii="Times New Roman" w:cs="Times New Roman" w:eastAsia="Times New Roman" w:hAnsi="Times New Roman"/>
                <w:sz w:val="18"/>
                <w:szCs w:val="18"/>
                <w:color w:val="auto"/>
              </w:rPr>
              <w:t>- medical services and supplies, food services and supplies, utilities, repairs and maintenance and certain other</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overhead expenses.</w:t>
            </w:r>
          </w:p>
        </w:tc>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Assets</w:t>
            </w:r>
          </w:p>
        </w:tc>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3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Secure Services</w:t>
            </w:r>
          </w:p>
        </w:tc>
        <w:tc>
          <w:tcPr>
            <w:tcW w:w="3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2,356,105</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2,390,803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Electronic Monitoring and Supervision Services</w:t>
            </w:r>
          </w:p>
        </w:tc>
        <w:tc>
          <w:tcPr>
            <w:tcW w:w="3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504,782</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511,984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Reentry Services</w:t>
            </w: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465,014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478,124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Services</w:t>
            </w:r>
          </w:p>
        </w:tc>
        <w:tc>
          <w:tcPr>
            <w:tcW w:w="30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71,610</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77,005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3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3,397,511</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3,457,916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2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-1079500</wp:posOffset>
            </wp:positionV>
            <wp:extent cx="1111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-1079500</wp:posOffset>
            </wp:positionV>
            <wp:extent cx="1117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Reconciliation</w:t>
      </w:r>
    </w:p>
    <w:p>
      <w:pPr>
        <w:spacing w:after="0" w:line="1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Company’s reportable segment assets to the Company’s total assets as of December 31, 2024 and 2023,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7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Reportable segment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3,397,511</w:t>
            </w:r>
          </w:p>
        </w:tc>
        <w:tc>
          <w:tcPr>
            <w:tcW w:w="6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3,457,916</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76,896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93,971</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9,522</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8,551</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investments, current and non-current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148,151</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135,968</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3,632,080</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3,696,406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During each of the years ended December 31, 2024, 2023 and 2022, the Company’s international operations were conducted through (i) the Company’s wholly owned Australian subsidiary, The GEO Group Australia Pty. Ltd., through which the Company has management contracts for three correctional facilities and a contract to provide health services for several public prisons, (ii) the Company's wholly owned subsidiaries, GEO Ravenhall Finance Holdings Pty. Ltd. and GEO Ravenhall Holdings Pty. Ltd. which, together, had a design and construction contract for a facility in Ravenhall, Australia (these subsidiaries were sold in September 2022), and (iii) the Company’s wholly-owned subsidiary in South Africa, SACM, through which the Company manages one correctional facility.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operations</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2,214,778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2,219,400</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2,189,527</w:t>
            </w: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Australia operations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190,872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177,653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168,225</w:t>
            </w:r>
          </w:p>
        </w:tc>
      </w:tr>
      <w:tr>
        <w:trPr>
          <w:trHeight w:val="216"/>
        </w:trPr>
        <w:tc>
          <w:tcPr>
            <w:tcW w:w="64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South African operations</w:t>
            </w:r>
          </w:p>
        </w:tc>
        <w:tc>
          <w:tcPr>
            <w:tcW w:w="1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18,052</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16,114</w:t>
            </w: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18,975</w:t>
            </w:r>
          </w:p>
        </w:tc>
      </w:tr>
      <w:tr>
        <w:trPr>
          <w:trHeight w:val="250"/>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2,423,702</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2,413,167</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2,376,727</w:t>
            </w:r>
          </w:p>
        </w:tc>
      </w:tr>
      <w:tr>
        <w:trPr>
          <w:trHeight w:val="196"/>
        </w:trPr>
        <w:tc>
          <w:tcPr>
            <w:tcW w:w="6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operations</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1,890,662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1,933,460</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1,991,968</w:t>
            </w: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Australia operations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9,961</w:t>
            </w:r>
          </w:p>
        </w:tc>
      </w:tr>
      <w:tr>
        <w:trPr>
          <w:trHeight w:val="216"/>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South African operations</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1,899,690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1,944,278</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2,002,021</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-744855</wp:posOffset>
            </wp:positionV>
            <wp:extent cx="939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-728345</wp:posOffset>
            </wp:positionV>
            <wp:extent cx="939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-890905</wp:posOffset>
            </wp:positionV>
            <wp:extent cx="939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-744855</wp:posOffset>
            </wp:positionV>
            <wp:extent cx="946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-728345</wp:posOffset>
            </wp:positionV>
            <wp:extent cx="946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-890905</wp:posOffset>
            </wp:positionV>
            <wp:extent cx="946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75"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Company derives most of its revenue from the management of secure facilities through public-private partnerships. The Company also derives revenue from the provision of reentry services and electronic monitoring and evidence-based supervision and treatment programs in the United States, and expansion of new and existing secure facilities, processing centers and reentry centers.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142"/>
        </w:trPr>
        <w:tc>
          <w:tcPr>
            <w:tcW w:w="7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Secure Services [1]</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1,813,310</w:t>
            </w:r>
          </w:p>
        </w:tc>
        <w:tc>
          <w:tcPr>
            <w:tcW w:w="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1,712,186</w:t>
            </w:r>
          </w:p>
        </w:tc>
        <w:tc>
          <w:tcPr>
            <w:tcW w:w="180" w:type="dxa"/>
            <w:vAlign w:val="bottom"/>
          </w:tcPr>
          <w:p>
            <w:pPr>
              <w:spacing w:after="0"/>
              <w:rPr>
                <w:sz w:val="18"/>
                <w:szCs w:val="18"/>
                <w:color w:val="auto"/>
              </w:rPr>
            </w:pPr>
          </w:p>
        </w:tc>
      </w:tr>
      <w:tr>
        <w:trPr>
          <w:trHeight w:val="216"/>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Electronic Monitoring and Supervision Services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332,826</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425,879</w:t>
            </w:r>
          </w:p>
        </w:tc>
        <w:tc>
          <w:tcPr>
            <w:tcW w:w="180" w:type="dxa"/>
            <w:vAlign w:val="bottom"/>
            <w:shd w:val="clear" w:color="auto" w:fill="CFF0FC"/>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Reentry Services</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277,566</w:t>
            </w: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275,102</w:t>
            </w:r>
          </w:p>
        </w:tc>
        <w:tc>
          <w:tcPr>
            <w:tcW w:w="180" w:type="dxa"/>
            <w:vAlign w:val="bottom"/>
          </w:tcPr>
          <w:p>
            <w:pPr>
              <w:spacing w:after="0"/>
              <w:rPr>
                <w:sz w:val="18"/>
                <w:szCs w:val="18"/>
                <w:color w:val="auto"/>
              </w:rPr>
            </w:pPr>
          </w:p>
        </w:tc>
      </w:tr>
      <w:tr>
        <w:trPr>
          <w:trHeight w:val="250"/>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2,423,702</w:t>
            </w:r>
          </w:p>
        </w:tc>
        <w:tc>
          <w:tcPr>
            <w:tcW w:w="1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2,413,167</w:t>
            </w:r>
          </w:p>
        </w:tc>
        <w:tc>
          <w:tcPr>
            <w:tcW w:w="1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1111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1111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international secured services</w:t>
      </w:r>
    </w:p>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Affiliates</w:t>
      </w:r>
    </w:p>
    <w:p>
      <w:pPr>
        <w:spacing w:after="0" w:line="1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Equity in earnings of affiliates for 2024, 2023 and 2022 includes the operating results of the Company’s joint ventures in SACS and GEOAmey. These joint ventures are accounted for under the equity method and the Company’s investments in SACS and GEOAmey are presented as a component of other non-current assets in the accompanying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22" w:name="page123"/>
    <w:bookmarkEnd w:id="122"/>
    <w:p>
      <w:pPr>
        <w:spacing w:after="0" w:line="3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has recorded $0.3 million, $1.7 million and $2.5 million in earnings, net of tax impact, for SACS operations during the years ended December 31, 2024, 2023 and 2022, respectively, which are included in equity in earnings of affiliates, net of income tax provision in the accompanying Consolidated Statements of Operations. As of December 31, 2024 and 2023, the Company’s investment in SACS was $7.2 million and $9.1 million, respectively. The investment is included in other non-current assets in the accompanying Consolidated Balance Sheets. The Company received dividend distributions of $1.9 million, $2.2 million and $1.9 million, in 2024, 2023 and 2022, respectively, from this unconsolidated joint venture.</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has recorded $2.4 million, $2.9 million and $2.2 million in earnings, net of tax impact, for GEOAmey’s operations during the years ended December 31, 2024, 2023 and 2022, respectively, which are included in equity in earnings of affiliates, net of income tax provision, in the accompanying Consolidated Statements of Operations. As of December 31, 2024 and 2023, the Company’s investment in GEOAmey was $10.3 million and $11.2 million, respectively, and represents its share of cumulative reported earnings. The Company received dividend distributions of $3.2 million, $0.8 million and $2.6 million in 2024, 2023 and 2022, respectively, from this unconsolidated joint venture.</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Concentration</w:t>
      </w:r>
    </w:p>
    <w:p>
      <w:pPr>
        <w:spacing w:after="0" w:line="17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Except for the major customer noted in the following table, no other single customer made up greater than 10% of the Company’s consolidated revenues for the following fiscal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Various agencies of the U.S Federal Government: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Concentration of credit risk related to the major customer above for accounts receivable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6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Various agencies of the U.S Federal Government:</w:t>
            </w:r>
          </w:p>
        </w:tc>
        <w:tc>
          <w:tcPr>
            <w:tcW w:w="20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concentrations above relate primarily to the Company's U.S. Secure Services and its Electronic Monitoring Supervision segments.</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our ISAP contract accounted for 10%, 14% and 17% of our consolidated revenues for the years ended December 31, 2024, 2023 and 2022, respectively.</w:t>
      </w:r>
    </w:p>
    <w:p>
      <w:pPr>
        <w:spacing w:after="0" w:line="22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United States and foreign components of income before income taxes and equity in earnings in affiliates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earnings in affiliates</w:t>
            </w:r>
          </w:p>
        </w:tc>
        <w:tc>
          <w:tcPr>
            <w:tcW w:w="1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22,723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125,495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205,360</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15,871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12,553</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24,460</w:t>
            </w:r>
          </w:p>
        </w:tc>
        <w:tc>
          <w:tcPr>
            <w:tcW w:w="0" w:type="dxa"/>
            <w:vAlign w:val="bottom"/>
          </w:tcPr>
          <w:p>
            <w:pPr>
              <w:spacing w:after="0"/>
              <w:rPr>
                <w:sz w:val="1"/>
                <w:szCs w:val="1"/>
                <w:color w:val="auto"/>
              </w:rPr>
            </w:pPr>
          </w:p>
        </w:tc>
      </w:tr>
      <w:tr>
        <w:trPr>
          <w:trHeight w:val="209"/>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before income taxes and equity in earnings in affiliates</w:t>
            </w:r>
          </w:p>
        </w:tc>
        <w:tc>
          <w:tcPr>
            <w:tcW w:w="2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38,594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138,048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229,820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vMerge w:val="restart"/>
          </w:tcPr>
          <w:p>
            <w:pPr>
              <w:jc w:val="right"/>
              <w:ind w:right="775"/>
              <w:spacing w:after="0"/>
              <w:rPr>
                <w:sz w:val="20"/>
                <w:szCs w:val="20"/>
                <w:color w:val="auto"/>
              </w:rPr>
            </w:pPr>
            <w:r>
              <w:rPr>
                <w:rFonts w:ascii="Times New Roman" w:cs="Times New Roman" w:eastAsia="Times New Roman" w:hAnsi="Times New Roman"/>
                <w:sz w:val="18"/>
                <w:szCs w:val="18"/>
                <w:color w:val="auto"/>
              </w:rPr>
              <w:t>122</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-1079500</wp:posOffset>
            </wp:positionV>
            <wp:extent cx="939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-1079500</wp:posOffset>
            </wp:positionV>
            <wp:extent cx="939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ind w:left="52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components: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income taxes (benefit):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23,107</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25,699</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3,913</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17,328</w:t>
            </w:r>
          </w:p>
        </w:tc>
      </w:tr>
      <w:tr>
        <w:trPr>
          <w:trHeight w:val="209"/>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24,363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43,027</w:t>
            </w: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(benefit):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10,422</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3,960</w:t>
            </w:r>
          </w:p>
        </w:tc>
      </w:tr>
      <w:tr>
        <w:trPr>
          <w:trHeight w:val="209"/>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6,905</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14,382</w:t>
            </w: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income taxes (benefit):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39,904</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(34,414 )</w:t>
            </w:r>
          </w:p>
        </w:tc>
      </w:tr>
      <w:tr>
        <w:trPr>
          <w:trHeight w:val="209"/>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5,195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5,490</w:t>
            </w:r>
          </w:p>
        </w:tc>
      </w:tr>
      <w:tr>
        <w:trPr>
          <w:trHeight w:val="250"/>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U.S. and foreign provision for income taxes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9,401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35,399</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62,899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-1447800</wp:posOffset>
            </wp:positionV>
            <wp:extent cx="939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-1447800</wp:posOffset>
            </wp:positionV>
            <wp:extent cx="939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-882015</wp:posOffset>
            </wp:positionV>
            <wp:extent cx="939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-882015</wp:posOffset>
            </wp:positionV>
            <wp:extent cx="939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-316230</wp:posOffset>
            </wp:positionV>
            <wp:extent cx="939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-316230</wp:posOffset>
            </wp:positionV>
            <wp:extent cx="939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939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939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statutory U.S. federal tax rate of 21% and the effective income tax rate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Provisions using statutory federal income tax rate</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8,105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28,990</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48,262</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12,738</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(1,507 )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tax rate differential in foreign jurisdictions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impact of vested equity compensation</w:t>
            </w: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2,879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5,839</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divestiture</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deduction on equity issued (convertible debt)</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(3,503 )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Political contributions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surrender value - COLI</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(1,300 )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Disallowed executive compensation - non-equity</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(904 )</w:t>
            </w: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9,401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35,399</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5"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The Company's effective tax rate differs from the U.S. statutory rate of 21% primarily due to the net tax benefit of $3.5 million ($42.5 million tax benefit of the tax deduction less $39.0 million tax expense of the related uncertain tax position as further detailed in the unrecognized tax benefits section below) related to the $174.4 million tax deduction for GEO shares issued to holders of our 6.50% Exchangeable Senior Notes due 2026 that participated in private exchange transactions during 2024 as reflected in shareholders' equity, the tax benefit from the release of a valuation allowance of $3.3 million on certain state net operating losses used in 2023, and lower taxes on asset divestitures in 2024, 2023 and 2022 of $0.9 million, $1.5 million and $5.6 million, respectively. Additionally, taxes differ due to state income taxes and foreign income taxes in excess of the US statutory rate in the presented periods. State income taxes, net of federal tax benefits of $2.3 million, $8.2 million, and $12.7 million were incurred in 2024, 2023, and 2022, respectively.</w:t>
      </w:r>
    </w:p>
    <w:p>
      <w:pPr>
        <w:spacing w:after="0" w:line="200" w:lineRule="exact"/>
        <w:rPr>
          <w:sz w:val="20"/>
          <w:szCs w:val="20"/>
          <w:color w:val="auto"/>
        </w:rPr>
      </w:pPr>
    </w:p>
    <w:p>
      <w:pPr>
        <w:spacing w:after="0" w:line="205"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breakdown between non-current net deferred tax assets as classified on the balance sheets as of December 31,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40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2"/>
                <w:szCs w:val="12"/>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 non-current</w:t>
            </w:r>
          </w:p>
        </w:tc>
        <w:tc>
          <w:tcPr>
            <w:tcW w:w="46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9,522</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8,551</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 non-current</w:t>
            </w:r>
          </w:p>
        </w:tc>
        <w:tc>
          <w:tcPr>
            <w:tcW w:w="3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(78,198 )</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(77,369 )</w:t>
            </w:r>
          </w:p>
        </w:tc>
      </w:tr>
      <w:tr>
        <w:trPr>
          <w:trHeight w:val="249"/>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46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(68,676 )</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(68,818 )</w:t>
            </w:r>
          </w:p>
        </w:tc>
      </w:tr>
      <w:tr>
        <w:trPr>
          <w:trHeight w:val="628"/>
        </w:trPr>
        <w:tc>
          <w:tcPr>
            <w:tcW w:w="4060" w:type="dxa"/>
            <w:vAlign w:val="bottom"/>
            <w:tcBorders>
              <w:top w:val="single" w:sz="8" w:color="CFF0FC"/>
            </w:tcBorders>
          </w:tcPr>
          <w:p>
            <w:pPr>
              <w:spacing w:after="0"/>
              <w:rPr>
                <w:sz w:val="24"/>
                <w:szCs w:val="24"/>
                <w:color w:val="auto"/>
              </w:rPr>
            </w:pPr>
          </w:p>
        </w:tc>
        <w:tc>
          <w:tcPr>
            <w:tcW w:w="366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123</w:t>
            </w:r>
          </w:p>
        </w:tc>
        <w:tc>
          <w:tcPr>
            <w:tcW w:w="9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-933450</wp:posOffset>
            </wp:positionV>
            <wp:extent cx="1117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-916305</wp:posOffset>
            </wp:positionV>
            <wp:extent cx="1117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4" w:name="page125"/>
    <w:bookmarkEnd w:id="124"/>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consisted of the following as of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18,750</w:t>
            </w:r>
          </w:p>
        </w:tc>
        <w:tc>
          <w:tcPr>
            <w:tcW w:w="6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12,907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20,408</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17,974</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16,812</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8,595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9,485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1,071</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2,264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3,797</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24,809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26,627</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5,579</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(19,331 )</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(19,105 )</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76,415</w:t>
            </w:r>
          </w:p>
        </w:tc>
        <w:tc>
          <w:tcPr>
            <w:tcW w:w="6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79,962</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(79,352 )</w:t>
            </w:r>
          </w:p>
        </w:tc>
        <w:tc>
          <w:tcPr>
            <w:tcW w:w="6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(81,949 )</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(41,838 )</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(41,329 )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Lease right-of-use assets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(23,884 )</w:t>
            </w:r>
          </w:p>
        </w:tc>
        <w:tc>
          <w:tcPr>
            <w:tcW w:w="16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(25,486 )</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(145,091 )</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(148,780 )</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(68,676 )</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-1156970</wp:posOffset>
            </wp:positionV>
            <wp:extent cx="1117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-474980</wp:posOffset>
            </wp:positionV>
            <wp:extent cx="137160" cy="1797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Deferred income taxes should be reduced by a valuation allowance if it is not more likely than not that some portion or all of the deferred tax assets will be realized. On a periodic basis, management evaluates and determines the amount of the valuation allowance required and adjusts such valuation allowance accordingly. At year end 2024 and 2023, the Company has a valuation allowance of $19.3 million and $19.1 million, respectively related to deferred tax assets for foreign net operating losses and foreign tax credits, state net operating losses and state tax credits. The valuation allowance increased by $0.2 million during the year ended December 31, 2024 related to certain deferred tax assets that were determined to not be more likely than not to be realized.</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provides income taxes on the undistributed earnings of non-U.S. subsidiaries except to the extent that such earnings are permanently invested outside the United States. At December 31, 2024, $7.2 million of accumulated undistributed earnings of non-U.S. subsidiaries were permanently invested outside the United States. At the existing U.S. federal income and applicable foreign withholding tax rates, additional taxes (net of foreign tax credits) of $0.4 million, consisting solely of withholding taxes, would have to be provided if such earnings were remitted currently.</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$138.4 million of Federal net operating loss carryforwards and $383.5 million of combined net operating loss carryforwards in various states which will begin to expire in 2025. The Company has recorded a partial valuation allowance against the deferred tax assets related to the state operating losses. Related to the 6.50% Exchangeable Senior Notes exchange transaction, the Company also has uncertain tax positions of $138.4 million and $155.1 million offsetting the above federal and state net operating losses, respectively.</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Also, as of the year ended December 31, 2024, the Company had $20.1 million of foreign net operating losses and $0.2 million foreign capital losses which carry forward indefinitely and $0.3 million of state tax credits which will begin to expire in 2025. The Company has recorded a partial valuation allowance against the deferred tax assets related to the foreign operating losses and state tax credits.</w:t>
      </w:r>
    </w:p>
    <w:p>
      <w:pPr>
        <w:spacing w:after="0" w:line="17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the cost of employee services received in exchange for awards of equity instruments based upon the grant date fair value of those awards. The exercise of non-qualified stock options and vesting of restricted stock awards which have been granted under the Company’s equity award plans give rise to compensation income which is includable in the taxable income of the applicable employees and the majority of which is deductible by the Company for federal and state income tax purposes. In the case of non-qualified stock options, the compensation income results from increases in the fair market value of the Company's common stock subsequent to the date of grant. At December 31, 2024, the deferred tax asset related to unexercised stock options and restricted stock grants for which the Company has recorded a book expense was $3.8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2"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1,520</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40,707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8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as a result of a lapse of applicable statutes of limitations</w:t>
            </w: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49"/>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42,603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1,538</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939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939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939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939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3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All tax figures in the above reconciliation are reported on a gross basis and do not reflect a federal tax benefit on state income taxes. The Company has accrued $5.3 million of uncertain tax benefits as of December 31, 2024 which is inclusive of the federal tax benefit on state income taxes. This accrual includes $3.5 million related to the tax deduction on shares provided related to the 6.50% Exchangeable Senior Notes exchange transactions. This accrual does not include an uncertain tax position of $35.5 million related to the tax deduction on provided shares, as it has been netted in accordance with ASC 740-10 against the related deferred tax assets for generated federal and state net operating losses. The Company believes that it is reasonably possible that a decrease may be necessary in the unrecognized tax benefits within twelve months of the reporting date of approximately $0.2 million, related to tax exposures, due to a lapse of the statute of limitation. Included in the balance of uncertain tax positions as of December 31, 2024 are $40.8 million of unrecognized tax benefits which, if ultimately recognized, will reduce the Company’s annual effective tax rate.</w:t>
      </w:r>
    </w:p>
    <w:p>
      <w:pPr>
        <w:spacing w:after="0" w:line="19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taxes in the U.S. federal jurisdiction, and various states and foreign jurisdictions. Tax regulations within each jurisdiction are subject to the interpretation of the related tax laws and regulations and require significant judgment to apply. The Company is no longer subject to tax examination of its 2020 U.S. federal return. Additionally, with few exceptions, it is no longer subject to state and local, or non-U.S. income tax examinations by tax authorities for the years before 2020.</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calculation of the Company’s provision (benefit) for income taxes requires the use of significant judgment and involves dealing with uncertainties in the application of complex tax laws and regulations. In determining the adequacy of the Company’s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Company recognized a net increase in interest of $0.1 million related to the</w:t>
      </w:r>
    </w:p>
    <w:p>
      <w:pPr>
        <w:spacing w:after="0" w:line="2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unrecognized tax benefits noted in the table above. There was no potential penalty recorded during the years ended December 31, 2024 or 2023. The net decrease in interest during the year ended December 31, 2022 was not significant. During the year ended December 31, 2022, the Company recorded a potential penalty of $0.1 million.</w:t>
      </w:r>
    </w:p>
    <w:p>
      <w:pPr>
        <w:spacing w:after="0" w:line="18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has approximately $0.5 million accrued for the payment of interest and penalties at December 31, 2024. The Company had approximately $0.4 million accrued for the payment of interest and penalties at December 31, 2023. The Company had approximately $0.1 million accrued for the payment of interest and penalties at December 31, 2022. The Company classifies interest and penalties as interest expense and operating expense, respectively.</w:t>
      </w:r>
    </w:p>
    <w:p>
      <w:pPr>
        <w:spacing w:after="0" w:line="200" w:lineRule="exact"/>
        <w:rPr>
          <w:sz w:val="20"/>
          <w:szCs w:val="20"/>
          <w:color w:val="auto"/>
        </w:rPr>
      </w:pPr>
    </w:p>
    <w:p>
      <w:pPr>
        <w:spacing w:after="0" w:line="219" w:lineRule="exact"/>
        <w:rPr>
          <w:sz w:val="20"/>
          <w:szCs w:val="20"/>
          <w:color w:val="auto"/>
        </w:rPr>
      </w:pPr>
    </w:p>
    <w:p>
      <w:pPr>
        <w:ind w:left="600" w:hanging="592"/>
        <w:spacing w:after="0"/>
        <w:tabs>
          <w:tab w:leader="none" w:pos="6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Brian Evans as Chief Executive Officer</w:t>
      </w:r>
    </w:p>
    <w:p>
      <w:pPr>
        <w:spacing w:after="0" w:line="229" w:lineRule="exact"/>
        <w:rPr>
          <w:sz w:val="20"/>
          <w:szCs w:val="20"/>
          <w:color w:val="auto"/>
        </w:rPr>
      </w:pPr>
    </w:p>
    <w:p>
      <w:pPr>
        <w:ind w:right="980" w:firstLine="458"/>
        <w:spacing w:after="0" w:line="282" w:lineRule="auto"/>
        <w:rPr>
          <w:sz w:val="20"/>
          <w:szCs w:val="20"/>
          <w:color w:val="auto"/>
        </w:rPr>
      </w:pPr>
      <w:r>
        <w:rPr>
          <w:rFonts w:ascii="Times New Roman" w:cs="Times New Roman" w:eastAsia="Times New Roman" w:hAnsi="Times New Roman"/>
          <w:sz w:val="18"/>
          <w:szCs w:val="18"/>
          <w:color w:val="auto"/>
        </w:rPr>
        <w:t>On December 11, 2024, Brian Evans, the Company’s former Chief Executive Officer, provided notice to the Company of his retirement effective December 31, 2024 (the “Separation Date”).</w:t>
      </w:r>
    </w:p>
    <w:p>
      <w:pPr>
        <w:spacing w:after="0" w:line="162" w:lineRule="exact"/>
        <w:rPr>
          <w:sz w:val="20"/>
          <w:szCs w:val="20"/>
          <w:color w:val="auto"/>
        </w:rPr>
      </w:pPr>
    </w:p>
    <w:p>
      <w:pPr>
        <w:jc w:val="both"/>
        <w:ind w:right="40" w:firstLine="458"/>
        <w:spacing w:after="0" w:line="266" w:lineRule="auto"/>
        <w:rPr>
          <w:sz w:val="20"/>
          <w:szCs w:val="20"/>
          <w:color w:val="auto"/>
        </w:rPr>
      </w:pPr>
      <w:r>
        <w:rPr>
          <w:rFonts w:ascii="Times New Roman" w:cs="Times New Roman" w:eastAsia="Times New Roman" w:hAnsi="Times New Roman"/>
          <w:sz w:val="18"/>
          <w:szCs w:val="18"/>
          <w:color w:val="auto"/>
        </w:rPr>
        <w:t>Mr. Evans and GEO entered into a Separation Agreement and General Release on December 13, 2024 (the “Separation Agreement”). Pursuant to the terms of the Separation Agreement, Mr. Evans will be entitled to receive the following in addition to accrued wages: (i) the payment of $85,834 per month commencing on the Separation Date and continuing through December 31, 2026; (ii) the payment of his annual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54" w:lineRule="auto"/>
        <w:rPr>
          <w:sz w:val="20"/>
          <w:szCs w:val="20"/>
          <w:color w:val="auto"/>
        </w:rPr>
      </w:pPr>
      <w:r>
        <w:rPr>
          <w:rFonts w:ascii="Times New Roman" w:cs="Times New Roman" w:eastAsia="Times New Roman" w:hAnsi="Times New Roman"/>
          <w:sz w:val="18"/>
          <w:szCs w:val="18"/>
          <w:color w:val="auto"/>
        </w:rPr>
        <w:t>performance award for the year ending December 31, 2024, which will be paid in 2025, at the same time and under the same terms as other GEO executives: (iii) the benefits described in Section 5 of his employment agreement for Mr. Evans and his covered dependents for a period of five years after the Separation Date; (iv) all of the Company’s interest in any automobile used by Mr. Evans pursuant to the Company’s Executive Automobile Policy (the “Executive Automobile Policy”) and the Company shall pay the balance of any outstanding loan or lease on such automobile; (v) all outstanding unvested stock options and restricted stock granted to Mr. Evans prior to his retirement will fully vest immediately upon the Separation Date, provided, however that any restricted stock that is still subject to performance-based vesting shall vest when and to the extent the Compensation Committee certifies that the performance goals are actually met; and (vi) the payment of reasonable legal fees and costs incurred by Mr. Evans in connection with the Separation Agreement up to $25,000. The Separation Agreement also contains a mutual release, confidentiality and non-disparagement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J. David Donahue as Chief Executive Officer</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 David Donahue was appointed Chief Executive Officer on December 16, 2024, effective January 1, 2025.</w:t>
      </w:r>
    </w:p>
    <w:p>
      <w:pPr>
        <w:spacing w:after="0" w:line="225" w:lineRule="exact"/>
        <w:rPr>
          <w:sz w:val="20"/>
          <w:szCs w:val="20"/>
          <w:color w:val="auto"/>
        </w:rPr>
      </w:pPr>
    </w:p>
    <w:p>
      <w:pPr>
        <w:jc w:val="both"/>
        <w:ind w:right="20" w:firstLine="458"/>
        <w:spacing w:after="0" w:line="266" w:lineRule="auto"/>
        <w:rPr>
          <w:sz w:val="20"/>
          <w:szCs w:val="20"/>
          <w:color w:val="auto"/>
        </w:rPr>
      </w:pPr>
      <w:r>
        <w:rPr>
          <w:rFonts w:ascii="Times New Roman" w:cs="Times New Roman" w:eastAsia="Times New Roman" w:hAnsi="Times New Roman"/>
          <w:sz w:val="18"/>
          <w:szCs w:val="18"/>
          <w:color w:val="auto"/>
        </w:rPr>
        <w:t>Mr. Donahue joined GEO as the Eastern Region Vice President in 2009 after a career in corrections with the States of Indiana and Kentucky as well as the Federal Bureau of Prisons. Mr. Donahue was promoted to Senior Vice President and President, GEO Corrections and Detention in January 2016 and served in that position until he retired in July 2020. Mr. Donahue served as a consultant to GEO from July 2020 through July 2023.</w:t>
      </w:r>
    </w:p>
    <w:p>
      <w:pPr>
        <w:spacing w:after="0" w:line="392" w:lineRule="exact"/>
        <w:rPr>
          <w:sz w:val="20"/>
          <w:szCs w:val="20"/>
          <w:color w:val="auto"/>
        </w:rPr>
      </w:pPr>
    </w:p>
    <w:p>
      <w:pPr>
        <w:ind w:right="200" w:firstLine="458"/>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Mr. Donahue and the Company entered into an Executive Employment Agreement (the “Employment Agreement”) on December 16, 2024 to provide that Mr. Donahue will be employed by the Company for a two-year term beginning January 1, 2025 (the “Effective Date”). The term of the Employment Agreement may be extended by mutual agreement of the parties on an annual basis subject to the termination provisions in the Employment Agreement. Pursuant to the terms of the Employment Agreement, Mr. Donahue will serve as Chief Executive Officer and report directly to the Executive Chairman. Either Mr. Donahue or the Company may terminate Mr. Donahue’s employment under the Employment Agreement for any reason upon not less than thirty (30) days written notice.</w:t>
      </w:r>
    </w:p>
    <w:p>
      <w:pPr>
        <w:spacing w:after="0" w:line="187" w:lineRule="exact"/>
        <w:rPr>
          <w:sz w:val="20"/>
          <w:szCs w:val="20"/>
          <w:color w:val="auto"/>
        </w:rPr>
      </w:pPr>
    </w:p>
    <w:p>
      <w:pPr>
        <w:ind w:right="20" w:firstLine="458"/>
        <w:spacing w:after="0" w:line="258" w:lineRule="auto"/>
        <w:rPr>
          <w:sz w:val="20"/>
          <w:szCs w:val="20"/>
          <w:color w:val="auto"/>
        </w:rPr>
      </w:pPr>
      <w:r>
        <w:rPr>
          <w:rFonts w:ascii="Times New Roman" w:cs="Times New Roman" w:eastAsia="Times New Roman" w:hAnsi="Times New Roman"/>
          <w:sz w:val="18"/>
          <w:szCs w:val="18"/>
          <w:color w:val="auto"/>
        </w:rPr>
        <w:t>Under the terms of the Employment Agreement, Mr. Donahue will be paid an annual base salary of $1,000,000, subject to the review and potential increase in the sole discretion of the Compensation Committee. Mr. Donahue will also be entitled to receive a target annual performance award of 100% of Mr. Donahue’s base salary and be entitled to receive an annual equity incentive award of restricted stock with a grant date fair value equal to at least 100% of Mr. Donahue’s base salary that shall vest upon the attainment of certain performance goals in accordance with the terms of the Company’s equity compensation plan.</w:t>
      </w:r>
    </w:p>
    <w:p>
      <w:pPr>
        <w:spacing w:after="0" w:line="183" w:lineRule="exact"/>
        <w:rPr>
          <w:sz w:val="20"/>
          <w:szCs w:val="20"/>
          <w:color w:val="auto"/>
        </w:rPr>
      </w:pPr>
    </w:p>
    <w:p>
      <w:pPr>
        <w:ind w:right="40" w:firstLine="458"/>
        <w:spacing w:after="0" w:line="252" w:lineRule="auto"/>
        <w:rPr>
          <w:sz w:val="20"/>
          <w:szCs w:val="20"/>
          <w:color w:val="auto"/>
        </w:rPr>
      </w:pPr>
      <w:r>
        <w:rPr>
          <w:rFonts w:ascii="Times New Roman" w:cs="Times New Roman" w:eastAsia="Times New Roman" w:hAnsi="Times New Roman"/>
          <w:sz w:val="18"/>
          <w:szCs w:val="18"/>
          <w:color w:val="auto"/>
        </w:rPr>
        <w:t>The Employment Agreement provides that upon the separation of employment by Mr. Donahue for good reason, by the Company without cause or upon the death or disability of Mr. Donahue, he will be entitled to receive a separation payment equal to one (1) times the sum of his annual base salary. The Company will also continue to provide Mr. Donahue and any covered dependents with the Executive Benefits as defined in the Employment Agreement for a period of eighteen (18) months after the date of separation. In the event of Mr. Donahue’s death within such eighteen (18) month period, the Company will continue to provide the Executive Benefits to Mr. Donahue’s covered dependents, and, if applicable to Mr. Donahue’s estate. In addition, the Employment Agreement provides that upon such separation, GEO will transfer all of its interest in any automobile used by Mr. Donahue pursuant to the Executive Automobile Policy and pay the balance of any outstanding loans or leases on such automobile so that Mr. Donahue owns the automobile outright. In the event such automobile is leased, GEO will pay the residual cost of the lease. Lastly, all of the outstanding and unvested stock options and restricted stock granted to Mr. Donahue prior to separation will fully vest immediately upon separation; provided, however that any restricted stock that is subject to performance-based vesting shall only vest when and to the extent the Compensation Committee certifies that the performance goals are actually met. Upon a separation of employment by GEO for cause or by Mr. Donahue without good reason, Mr. Donahue will be entitled to only the amount of compensation that is due through the effective date of the separation. Except that if Mr. Donahue’s separation from his employment is the result of his retirement in accordance with the Company’s then-current Senior Officer Retirement Plan (the “Retirement Plan”), all of the outstanding unvested stock options and restricted stock granted to Mr. Donahue prior to his retirement will fully vest immediately as of the date of his retirement; provided however, that any restricted stock that is still subject to performance-based vesting at the time of his retirement shall only vest when and to the extent the Compensation Committee certifies that the performance goals are actually met, and provided that Mr. Donahue remains in full compliance with the restrictive covenants set forth in the Employment Agreement. The Employment Agreement also provides that termination of the Employment Agreement for any reason shall not affect Mr. Donahue’s rights under the then applicable Retirement Plan. Mr. Donahue began receiving the retirement benefits he was eligible for upon his retirement in July 2020 pursuant to the terms of the Retirement Plan. GEO will suspend the payment of retirement benefits while Mr. Donahue is employed as Chief Executive Officer. The Employment Agreement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127" w:name="page128"/>
    <w:bookmarkEnd w:id="127"/>
    <w:p>
      <w:pPr>
        <w:ind w:right="260"/>
        <w:spacing w:after="0" w:line="282" w:lineRule="auto"/>
        <w:rPr>
          <w:sz w:val="20"/>
          <w:szCs w:val="20"/>
          <w:color w:val="auto"/>
        </w:rPr>
      </w:pPr>
      <w:r>
        <w:rPr>
          <w:rFonts w:ascii="Times New Roman" w:cs="Times New Roman" w:eastAsia="Times New Roman" w:hAnsi="Times New Roman"/>
          <w:sz w:val="18"/>
          <w:szCs w:val="18"/>
          <w:color w:val="auto"/>
        </w:rPr>
        <w:t>includes a non-competition covenant that runs through the three-year period following the separation of the executive’s employment, and confidentiality and work product provisions.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had approximately 57% of its workforce covered by collective bargaining agreements at December 31, 2024. Collective bargaining agreements with 17% of employees are set to expire in less than one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Developments</w:t>
      </w:r>
    </w:p>
    <w:p>
      <w:pPr>
        <w:spacing w:after="0" w:line="22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On February 27, 2025, the Company announced that it has been awarded a 15-year, fixed price contract by ICE to provide support services for the establishment of a federal immigration processing center at its company-owned, 1000-bed Delaney Hall Facility in Newark, New Jersey. GEO’s support services include the exclusive use of the Facility by ICE, along with security, maintenance, and food services, as well as access to recreational amenities, medical care, and legal counsel.</w:t>
      </w:r>
    </w:p>
    <w:p>
      <w:pPr>
        <w:spacing w:after="0" w:line="180" w:lineRule="exact"/>
        <w:rPr>
          <w:sz w:val="20"/>
          <w:szCs w:val="20"/>
          <w:color w:val="auto"/>
        </w:rPr>
      </w:pPr>
    </w:p>
    <w:p>
      <w:pPr>
        <w:ind w:right="160" w:firstLine="495"/>
        <w:spacing w:after="0" w:line="282" w:lineRule="auto"/>
        <w:rPr>
          <w:sz w:val="20"/>
          <w:szCs w:val="20"/>
          <w:color w:val="auto"/>
        </w:rPr>
      </w:pPr>
      <w:r>
        <w:rPr>
          <w:rFonts w:ascii="Times New Roman" w:cs="Times New Roman" w:eastAsia="Times New Roman" w:hAnsi="Times New Roman"/>
          <w:sz w:val="18"/>
          <w:szCs w:val="18"/>
          <w:color w:val="auto"/>
        </w:rPr>
        <w:t>In the first weeks of the new Administration, President Trump issued an Executive Order reversing the prior Administration's Executive Order that had directed the U.S. Attorney General to not renew U.S. Department of Justice contracts with privately-operated criminal detention facilities.</w:t>
      </w:r>
    </w:p>
    <w:p>
      <w:pPr>
        <w:spacing w:after="0" w:line="162" w:lineRule="exact"/>
        <w:rPr>
          <w:sz w:val="20"/>
          <w:szCs w:val="20"/>
          <w:color w:val="auto"/>
        </w:rPr>
      </w:pPr>
    </w:p>
    <w:p>
      <w:pPr>
        <w:ind w:right="180" w:firstLine="495"/>
        <w:spacing w:after="0" w:line="282" w:lineRule="auto"/>
        <w:rPr>
          <w:sz w:val="20"/>
          <w:szCs w:val="20"/>
          <w:color w:val="auto"/>
        </w:rPr>
      </w:pPr>
      <w:r>
        <w:rPr>
          <w:rFonts w:ascii="Times New Roman" w:cs="Times New Roman" w:eastAsia="Times New Roman" w:hAnsi="Times New Roman"/>
          <w:sz w:val="18"/>
          <w:szCs w:val="18"/>
          <w:color w:val="auto"/>
        </w:rPr>
        <w:t>In January of 2025, the United States District Court for the Central District of California lifted the long-standing intake restrictions at the Adelanto ICE Processing Center, which dated back to the early days of the COVID pandemic.</w:t>
      </w:r>
    </w:p>
    <w:p>
      <w:pPr>
        <w:spacing w:after="0" w:line="162" w:lineRule="exact"/>
        <w:rPr>
          <w:sz w:val="20"/>
          <w:szCs w:val="20"/>
          <w:color w:val="auto"/>
        </w:rPr>
      </w:pPr>
    </w:p>
    <w:p>
      <w:pPr>
        <w:ind w:right="300" w:firstLine="45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Contracts for the Company's 1,940-bed Adelanto ICE Processing Center; 400-bed Mesa Verde ICE Processing Center; 750-bed Desert View Annex; and 700-bed Golden State Annex were renewed for five-year terms through December of 2029.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contractually required commitments for a number of projects using existing Company financing facilities. The Company’s management estimates that these existing contractually required capital projects will cost approximately $76.3 million, of which $51.8 million was spent through 2024. The Company estimates the remaining capital requirements related to these contractually required capital projects to be approximately $24.5 million. These projects are expected to be completed through 2025.</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these current estimated capital requirements, the Company is currently in the process of bidding on, or evaluating potential bids for the design, construction and management of a number of new projects. In the event that the Company wins bids for these projects and decides to self-finance their construction, its capital requirements could materially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Assessments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and Derivative Litigation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July 7, 2020, a putative shareholder class action lawsuit was filed against the Company and its current and former officers George C. Zoley and Brian R. Evans in the U.S. District Court for the Southern District of Florida. The parties resolved this matter following mediation for a payment to a settlement class of $3 million paid by the Company's insurance carrier. On November 17, 2023, the court entered a Final Judgment and Order of Dismissal with Prejudice approving the settlement.</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After the putative shareholder class action lawsuit was filed, three related putative shareholder derivative actions were also filed. These cases generally alleged breaches of fiduciary duties premised on alleged materially false and misleading statements and/or omissions related to pending litigation, as alleged in the shareholder class action. First, on July 1, 2021, a putative shareholder derivative complaint was filed by Anning Fang, a purported stockholder, in Palm Beach County, Florida Circuit Court against the Company, as well as current and former Company directors and officers George C. Zoley, Jose Gordo, Brian R. Evans, Ann M. Schlarb, Richard H. Glanton, Anne N. Foreman, Christopher C. Wheeler, Julie M. Wood, Guido van Hauwermeiren, Scott M. Kernan, and Duane Helkowski (collectively, the “State-Court Defendants”). Second, on November 12, 2021, a putative shareholder derivative complaint was filed by Rui Zhang, a purported stockholder, in the U.S. District Court for the Southern District of Florida against the Company, the State-Court Defendants, as well as then current and former Company officers David Venturella and J. David Donahue (collectively, the “Derivative Defendants”). Third, on August 24, 2022, a putative stockholder derivative complaint was filed by Gerardo Maldonado Jr., a purported stockholder, in the U.S. District Court for the Southern District of Florida against the Company and the Derivative Defendants.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8" w:name="page129"/>
    <w:bookmarkEnd w:id="128"/>
    <w:p>
      <w:pPr>
        <w:spacing w:after="0" w:line="3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The state-court </w:t>
      </w:r>
      <w:r>
        <w:rPr>
          <w:rFonts w:ascii="Times New Roman" w:cs="Times New Roman" w:eastAsia="Times New Roman" w:hAnsi="Times New Roman"/>
          <w:sz w:val="18"/>
          <w:szCs w:val="18"/>
          <w:i w:val="1"/>
          <w:iCs w:val="1"/>
          <w:color w:val="auto"/>
        </w:rPr>
        <w:t>Fang</w:t>
      </w:r>
      <w:r>
        <w:rPr>
          <w:rFonts w:ascii="Times New Roman" w:cs="Times New Roman" w:eastAsia="Times New Roman" w:hAnsi="Times New Roman"/>
          <w:sz w:val="18"/>
          <w:szCs w:val="18"/>
          <w:color w:val="auto"/>
        </w:rPr>
        <w:t xml:space="preserve"> complaint alleged breach of fiduciary duty and unjust enrichment claims against the State-Court Defendants relating to purported healthcare and quality of care deficiencies, an allegedly inadequate response to the COVID-19 pandemic, alleged forced labor by detainees, and alleged exposure to pending litigation, which purportedly led to damage to GEO. The </w:t>
      </w:r>
      <w:r>
        <w:rPr>
          <w:rFonts w:ascii="Times New Roman" w:cs="Times New Roman" w:eastAsia="Times New Roman" w:hAnsi="Times New Roman"/>
          <w:sz w:val="18"/>
          <w:szCs w:val="18"/>
          <w:i w:val="1"/>
          <w:iCs w:val="1"/>
          <w:color w:val="auto"/>
        </w:rPr>
        <w:t>Zhang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Maldonado</w:t>
      </w:r>
      <w:r>
        <w:rPr>
          <w:rFonts w:ascii="Times New Roman" w:cs="Times New Roman" w:eastAsia="Times New Roman" w:hAnsi="Times New Roman"/>
          <w:sz w:val="18"/>
          <w:szCs w:val="18"/>
          <w:color w:val="auto"/>
        </w:rPr>
        <w:t xml:space="preserve"> federal-court complaints make similar allegations of breach of fiduciary duty as to the Derivative Defendants, asserted claims for unjust enrichment and waste of corporate assets, and also alleged that the Derivative Defendants violated Section 10(b) of the Exchange Act, and Rule 10b-5 promulgated thereunder and that Mr. Zoley contributed to alleged violations of Sections 10(b) and 21D of the Exchange Act.</w:t>
      </w:r>
    </w:p>
    <w:p>
      <w:pPr>
        <w:spacing w:after="0" w:line="1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Following mediation, the </w:t>
      </w:r>
      <w:r>
        <w:rPr>
          <w:rFonts w:ascii="Times New Roman" w:cs="Times New Roman" w:eastAsia="Times New Roman" w:hAnsi="Times New Roman"/>
          <w:sz w:val="18"/>
          <w:szCs w:val="18"/>
          <w:i w:val="1"/>
          <w:iCs w:val="1"/>
          <w:color w:val="auto"/>
        </w:rPr>
        <w:t>Zhang</w:t>
      </w:r>
      <w:r>
        <w:rPr>
          <w:rFonts w:ascii="Times New Roman" w:cs="Times New Roman" w:eastAsia="Times New Roman" w:hAnsi="Times New Roman"/>
          <w:sz w:val="18"/>
          <w:szCs w:val="18"/>
          <w:color w:val="auto"/>
        </w:rPr>
        <w:t xml:space="preserve"> parties reached an agreement to resolve all derivative claims with the Company agreeing to adopt certain corporate governance policies. On September 6, 2024, the </w:t>
      </w:r>
      <w:r>
        <w:rPr>
          <w:rFonts w:ascii="Times New Roman" w:cs="Times New Roman" w:eastAsia="Times New Roman" w:hAnsi="Times New Roman"/>
          <w:sz w:val="18"/>
          <w:szCs w:val="18"/>
          <w:i w:val="1"/>
          <w:iCs w:val="1"/>
          <w:color w:val="auto"/>
        </w:rPr>
        <w:t>Zhang</w:t>
      </w:r>
      <w:r>
        <w:rPr>
          <w:rFonts w:ascii="Times New Roman" w:cs="Times New Roman" w:eastAsia="Times New Roman" w:hAnsi="Times New Roman"/>
          <w:sz w:val="18"/>
          <w:szCs w:val="18"/>
          <w:color w:val="auto"/>
        </w:rPr>
        <w:t xml:space="preserve"> court entered an Order Approving Final Settlement and Final Judgment. The approval of the settlement by the Zhang court released all of the claims asserted in the Fang and Maldonado complaints as well. Thus, the Fang parties and the Maldonado parties agreed to dismissals with prejudice of those respective derivative actions. On November 7, 2024, following a Joint Stipulation of Dismissal with Prejudice, the </w:t>
      </w:r>
      <w:r>
        <w:rPr>
          <w:rFonts w:ascii="Times New Roman" w:cs="Times New Roman" w:eastAsia="Times New Roman" w:hAnsi="Times New Roman"/>
          <w:sz w:val="18"/>
          <w:szCs w:val="18"/>
          <w:i w:val="1"/>
          <w:iCs w:val="1"/>
          <w:color w:val="auto"/>
        </w:rPr>
        <w:t>Fang</w:t>
      </w:r>
      <w:r>
        <w:rPr>
          <w:rFonts w:ascii="Times New Roman" w:cs="Times New Roman" w:eastAsia="Times New Roman" w:hAnsi="Times New Roman"/>
          <w:sz w:val="18"/>
          <w:szCs w:val="18"/>
          <w:color w:val="auto"/>
        </w:rPr>
        <w:t xml:space="preserve"> court entered a Final Order of Dismissal with Prejudice. Similarly, on November 21, 2024, following a Stipulation and Proposed Order Voluntarily Dismissing Action, the </w:t>
      </w:r>
      <w:r>
        <w:rPr>
          <w:rFonts w:ascii="Times New Roman" w:cs="Times New Roman" w:eastAsia="Times New Roman" w:hAnsi="Times New Roman"/>
          <w:sz w:val="18"/>
          <w:szCs w:val="18"/>
          <w:i w:val="1"/>
          <w:iCs w:val="1"/>
          <w:color w:val="auto"/>
        </w:rPr>
        <w:t>Maldonado</w:t>
      </w:r>
      <w:r>
        <w:rPr>
          <w:rFonts w:ascii="Times New Roman" w:cs="Times New Roman" w:eastAsia="Times New Roman" w:hAnsi="Times New Roman"/>
          <w:sz w:val="18"/>
          <w:szCs w:val="18"/>
          <w:color w:val="auto"/>
        </w:rPr>
        <w:t xml:space="preserve"> court entered an Order Closing Case and Dismissing with Prejudice.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Immigration Detainee Litigation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 Oral argument before the Tenth Circuit was held on September 18, 2023. On October 22, 2024, the Tenth Circuit Court of Appeals issued an Order finding appellate review of GEO’s claim of immunity was premature and, therefore, the Tenth Circuit Court of Appeals was currently without jurisdiction to consider the merits of GEO’s claimed immunity. On January 13, 2025, GEO filed a Petition for Writ of Certiorari with the United States Supreme Court seeking review of the Tenth Circuit Court of Appeals’ decision. All trial dates remain stayed.</w:t>
      </w:r>
    </w:p>
    <w:p>
      <w:pPr>
        <w:spacing w:after="0" w:line="200" w:lineRule="exact"/>
        <w:rPr>
          <w:sz w:val="20"/>
          <w:szCs w:val="20"/>
          <w:color w:val="auto"/>
        </w:rPr>
      </w:pPr>
    </w:p>
    <w:p>
      <w:pPr>
        <w:spacing w:after="0" w:line="2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first of two State of Washington lawsuits, Nwauzor et al.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persons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ind w:right="20"/>
        <w:spacing w:after="0" w:line="256" w:lineRule="auto"/>
        <w:rPr>
          <w:sz w:val="20"/>
          <w:szCs w:val="20"/>
          <w:color w:val="auto"/>
        </w:rPr>
      </w:pPr>
      <w:r>
        <w:rPr>
          <w:rFonts w:ascii="Times New Roman" w:cs="Times New Roman" w:eastAsia="Times New Roman" w:hAnsi="Times New Roman"/>
          <w:sz w:val="18"/>
          <w:szCs w:val="18"/>
          <w:color w:val="auto"/>
        </w:rPr>
        <w:t>Washington does not itself bear. The Department of Justice also contended that the immigration statutory structure approved by Congress does not contemplate a role for states or state law in governing the VWP for federal detainees. On January 16, 2025, the Ninth Circuit Court of Appeals issued an Opinion by a 2-1 vote affirming the lower court’s decision. That Opinion includes a 24-page dissenting opinion. On February 6, 2025, GEO timely filed its Petition for Rehearing En Banc. A final mandate has not been issued by the Ninth Circuit and the appeal remains pending until resolution of the Petition for Rehearing. On February 12, 2025, the United States Department of Justice filed a Motion for 30-day extension of time to file an Amicus Brief supporting GEO’s Petition for Rehearing En Banc.</w:t>
      </w:r>
    </w:p>
    <w:p>
      <w:pPr>
        <w:spacing w:after="0" w:line="200" w:lineRule="exact"/>
        <w:rPr>
          <w:sz w:val="20"/>
          <w:szCs w:val="20"/>
          <w:color w:val="auto"/>
        </w:rPr>
      </w:pP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State of Washington lawsuits and a motion to dismiss the action in its entirety. On July 10, 2023, the court entered a stay until the Ninth Circuit rules on the State of Washington lawsuits. On February 10, 2025, the Court denied plaintiffs’ request to lift the stay until the Ninth Circuit rules on GEO’s Petition for Rehearing En Banc.</w:t>
      </w:r>
    </w:p>
    <w:p>
      <w:pPr>
        <w:spacing w:after="0" w:line="200" w:lineRule="exact"/>
        <w:rPr>
          <w:sz w:val="20"/>
          <w:szCs w:val="20"/>
          <w:color w:val="auto"/>
        </w:rPr>
      </w:pPr>
    </w:p>
    <w:p>
      <w:pPr>
        <w:spacing w:after="0" w:line="2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at this time as losses are not considered probable.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Challenges to State Legislation that Conflict with Federal Contracts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w:t>
      </w:r>
    </w:p>
    <w:p>
      <w:pPr>
        <w:spacing w:after="0" w:line="200" w:lineRule="exact"/>
        <w:rPr>
          <w:sz w:val="20"/>
          <w:szCs w:val="20"/>
          <w:color w:val="auto"/>
        </w:rPr>
      </w:pPr>
    </w:p>
    <w:p>
      <w:pPr>
        <w:spacing w:after="0" w:line="2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is scheduled to hear arguments on GEO’s motion for declaratory and injunctive relief and the defendants’ motion to dismiss on March 3,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Litigation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0" w:name="page131"/>
    <w:bookmarkEnd w:id="130"/>
    <w:p>
      <w:pPr>
        <w:spacing w:after="0" w:line="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Assessment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was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is ongoing at this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Accruals for Legal Proceedings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Developments</w:t>
      </w:r>
    </w:p>
    <w:p>
      <w:pPr>
        <w:spacing w:after="0" w:line="256"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18"/>
          <w:szCs w:val="18"/>
          <w:color w:val="auto"/>
        </w:rPr>
        <w:t>On February 24, 2025, Dr. George Zoley, the Company's Founder and Executive Chairman of the Company, and the Board discussed their mutual desire for Dr. Zoley to continue to serve as Executive Chairman beyond the original term that concludes on June 30, 2026 on terms to be mutually agreed upon. Although Dr. Zoley and the Company had previously contemplated Dr. Zoley concluding his term as Executive Chairman on June 30, 2026 and continuing to serve as an Advisor and as Non-Executive Chairman, the Board and Dr. Zoley believe it would be in the bests interests of the Company for Dr. Zoley to continue in the role of Executive Chairman given the large volume of new federal contract opportunities.</w:t>
      </w:r>
    </w:p>
    <w:p>
      <w:pPr>
        <w:spacing w:after="0" w:line="237"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Also on February 24, 2025, Mr. Wayne Calabrese, President and Chief Operating Officer of GEO informed the Company that he will be retiring from his executive officer roles effective March 31, 2025 (the “Effective Date”). The Company and Mr. Calabrese intend to enter into a consulting agreement pursuant to which Mr. Calabrese will serve as a consultant to GEO following his retirement.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Developments</w:t>
      </w:r>
    </w:p>
    <w:p>
      <w:pPr>
        <w:spacing w:after="0" w:line="256" w:lineRule="exact"/>
        <w:rPr>
          <w:sz w:val="20"/>
          <w:szCs w:val="20"/>
          <w:color w:val="auto"/>
        </w:rPr>
      </w:pPr>
    </w:p>
    <w:p>
      <w:pPr>
        <w:jc w:val="both"/>
        <w:ind w:right="600" w:firstLine="225"/>
        <w:spacing w:after="0" w:line="281" w:lineRule="auto"/>
        <w:rPr>
          <w:sz w:val="20"/>
          <w:szCs w:val="20"/>
          <w:color w:val="auto"/>
        </w:rPr>
      </w:pPr>
      <w:r>
        <w:rPr>
          <w:rFonts w:ascii="Times New Roman" w:cs="Times New Roman" w:eastAsia="Times New Roman" w:hAnsi="Times New Roman"/>
          <w:sz w:val="18"/>
          <w:szCs w:val="18"/>
          <w:color w:val="auto"/>
        </w:rPr>
        <w:t>On February 25, 2025, Terry Mayotte resigned for personal reasons from the Board and all Board committee positions of the Company effective immediately following the Company’s 2025 Annual Meeting of Shareholders. Mr. Mayotte’s decision to resign from the Board did not involve any disagreement with GEO, management, or the Board.</w:t>
      </w:r>
    </w:p>
    <w:p>
      <w:pPr>
        <w:spacing w:after="0" w:line="191" w:lineRule="exact"/>
        <w:rPr>
          <w:sz w:val="20"/>
          <w:szCs w:val="20"/>
          <w:color w:val="auto"/>
        </w:rPr>
      </w:pPr>
    </w:p>
    <w:p>
      <w:pPr>
        <w:ind w:right="580" w:firstLine="225"/>
        <w:spacing w:after="0" w:line="266" w:lineRule="auto"/>
        <w:rPr>
          <w:sz w:val="20"/>
          <w:szCs w:val="20"/>
          <w:color w:val="auto"/>
        </w:rPr>
      </w:pPr>
      <w:r>
        <w:rPr>
          <w:rFonts w:ascii="Times New Roman" w:cs="Times New Roman" w:eastAsia="Times New Roman" w:hAnsi="Times New Roman"/>
          <w:sz w:val="18"/>
          <w:szCs w:val="18"/>
          <w:color w:val="auto"/>
        </w:rPr>
        <w:t>On February 25, 2025, the Board approved a decrease to the number of directors which constitute the whole Board from nine directors to seven directors, effective as of the date of the Company’s 2025 Annual Meeting of Shareholders. The effect of the approval is an amendment to Article V, Section 1 of the Company’s Third Amended and Restated Bylaws.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Compensation Developments</w:t>
      </w:r>
    </w:p>
    <w:p>
      <w:pPr>
        <w:spacing w:after="0" w:line="256" w:lineRule="exact"/>
        <w:rPr>
          <w:sz w:val="20"/>
          <w:szCs w:val="20"/>
          <w:color w:val="auto"/>
        </w:rPr>
      </w:pPr>
    </w:p>
    <w:p>
      <w:pPr>
        <w:ind w:right="260" w:firstLine="315"/>
        <w:spacing w:after="0" w:line="266" w:lineRule="auto"/>
        <w:rPr>
          <w:sz w:val="20"/>
          <w:szCs w:val="20"/>
          <w:color w:val="auto"/>
        </w:rPr>
      </w:pPr>
      <w:r>
        <w:rPr>
          <w:rFonts w:ascii="Times New Roman" w:cs="Times New Roman" w:eastAsia="Times New Roman" w:hAnsi="Times New Roman"/>
          <w:sz w:val="18"/>
          <w:szCs w:val="18"/>
          <w:color w:val="auto"/>
        </w:rPr>
        <w:t>On February 24, 2025, the Compensation Committee of the Board unanimously approved the grant of a one-time special recognition stock award to Dr. Zoley, in the amount of 207,862 shares of restricted stock, to be granted on March 3, 2025 (the “Grant Date”), which will vest on the one-year anniversary of the Grant Date.</w:t>
      </w:r>
    </w:p>
    <w:p>
      <w:pPr>
        <w:spacing w:after="0" w:line="23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February 24, 2025, the Compensation Committee approved and recommended to the Board that it approve certain modifications to GEO's long-term equity incentive plan for senior management (the “LTIP”) administered under the Second Amended and Restated 2018 Stock Incentive Plan. The Board approved the modifications to the LTIP on February 25, 2025. GEO's prior awards under the LTIP consisted 100% of performance-based restricted stock using two vesting metrics to calculate the performance stock award payouts: (1) TSR and (2) ROCE. Under the amended LTIP, stock awards to senior management beginning in 2025 will consist of an award where 50% of the stock award is time-based restricted stock vesting over three years and 50% of the stock award will consist of a performance-based award of restricted stock using the performance metrics of TSR and ROCE to calculate payouts (50% of the performance-based component will use TSR and 50% of the performance-based component will use ROCE). The maximum payout of stock under the performance-based component of the award will be capped at 180%, down from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Securities and Exchange Commission, or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spacing w:after="0" w:line="18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Management’s Annual Report on Internal Control Over Financial Reporting</w:t>
      </w:r>
    </w:p>
    <w:p>
      <w:pPr>
        <w:spacing w:after="0" w:line="1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See “Item 8. — Financial Statements and Supplementary Data — Management’s Annual Report on Internal Control Over Financial Reporting” for management’s report on the effectiveness of our internal control over financial reporting as of December 31, 2024.</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 Attestation Report of the Registered Public Accounting Firm</w:t>
      </w:r>
    </w:p>
    <w:p>
      <w:pPr>
        <w:spacing w:after="0" w:line="1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See “Item 8. — Financial Statements and Supplementary Data — Report of Independent Registered Public Accounting Firm” for the report of our independent registered public accounting firm on the effectiveness of our internal control over financial reporting as of December 31, 2024.</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 Changes in Internal Control over Financial Reporting</w:t>
      </w:r>
    </w:p>
    <w:p>
      <w:pPr>
        <w:spacing w:after="0" w:line="17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reporting any changes in our internal control over financial reporting (as such terms are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Developments</w:t>
      </w:r>
    </w:p>
    <w:p>
      <w:pPr>
        <w:spacing w:after="0" w:line="229" w:lineRule="exact"/>
        <w:rPr>
          <w:sz w:val="20"/>
          <w:szCs w:val="20"/>
          <w:color w:val="auto"/>
        </w:rPr>
      </w:pPr>
    </w:p>
    <w:p>
      <w:pPr>
        <w:ind w:right="120" w:firstLine="225"/>
        <w:spacing w:after="0" w:line="255" w:lineRule="auto"/>
        <w:rPr>
          <w:sz w:val="20"/>
          <w:szCs w:val="20"/>
          <w:color w:val="auto"/>
        </w:rPr>
      </w:pPr>
      <w:r>
        <w:rPr>
          <w:rFonts w:ascii="Times New Roman" w:cs="Times New Roman" w:eastAsia="Times New Roman" w:hAnsi="Times New Roman"/>
          <w:sz w:val="18"/>
          <w:szCs w:val="18"/>
          <w:color w:val="auto"/>
        </w:rPr>
        <w:t>On February 24, 2025, Dr. George Zoley, the Company's Founder and Executive Chairman of The GEO Group, Inc. (“GEO” or the “Company”), and the Board of Directors (the “Board”) discussed their mutual desire for Dr. Zoley to continue to serve as Executive Chairman beyond the original term that concludes on June 30, 2026 on terms to be mutually agreed upon. Although Dr. Zoley and the Company had previously contemplated Dr. Zoley concluding his term as Executive Chairman on June 30, 2026 and continuing to serve as an Advisor and as Non-Executive Chairman, the Board and Dr. Zoley believe it would be in the bests interests of the Company for Dr. Zoley to continue in the role of Executive Chairman in light of the unprecedented business opportunities that GEO is experiencing, and how Dr. Zoley's institutional knowledge regarding GEO and the industry as whole, as well as his experience with business development and customer relationships can greatly assist and guide GEO during this time period.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33" w:name="page134"/>
    <w:bookmarkEnd w:id="133"/>
    <w:p>
      <w:pPr>
        <w:ind w:right="80"/>
        <w:spacing w:after="0" w:line="255" w:lineRule="auto"/>
        <w:rPr>
          <w:sz w:val="20"/>
          <w:szCs w:val="20"/>
          <w:color w:val="auto"/>
        </w:rPr>
      </w:pPr>
      <w:r>
        <w:rPr>
          <w:rFonts w:ascii="Times New Roman" w:cs="Times New Roman" w:eastAsia="Times New Roman" w:hAnsi="Times New Roman"/>
          <w:sz w:val="18"/>
          <w:szCs w:val="18"/>
          <w:color w:val="auto"/>
        </w:rPr>
        <w:t>Also on February 24, 2025, Mr. Wayne Calabrese, President and Chief Operating Officer of GEO informed the Company that he will be retiring from his executive officer roles effective March 31, 2025 (the “Effective Date”). The Company and Mr. Calabrese intend to enter into a consulting agreement pursuant to which Mr. Calabrese will serve as a consultant to GEO following his retirement. Mr. Calabrese joined GEO originally in 1989, retiring as its President and Chief Operating Officer at the end of 2010. Following his service as a Company advisor, Mr. Calabrese rejoined the Company on a full-time basis in 2021 as GEO’s Senior Vice President of Legal Services. From December 2022 through December 2023, Mr. Calabrese served as GEO’s Senior Vice President and Chief Operating Officer, and in January 2024, Mr. Calabrese was appointed to his current position as President and Chief Operating Officer of the Company. GEO thanks Mr. Calabrese for his years of dedicated service and looks forward to his continued contributions to GEO.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Developments</w:t>
      </w:r>
    </w:p>
    <w:p>
      <w:pPr>
        <w:spacing w:after="0" w:line="229" w:lineRule="exact"/>
        <w:rPr>
          <w:sz w:val="20"/>
          <w:szCs w:val="20"/>
          <w:color w:val="auto"/>
        </w:rPr>
      </w:pPr>
    </w:p>
    <w:p>
      <w:pPr>
        <w:ind w:right="220" w:firstLine="180"/>
        <w:spacing w:after="0" w:line="261" w:lineRule="auto"/>
        <w:rPr>
          <w:sz w:val="20"/>
          <w:szCs w:val="20"/>
          <w:color w:val="auto"/>
        </w:rPr>
      </w:pPr>
      <w:r>
        <w:rPr>
          <w:rFonts w:ascii="Times New Roman" w:cs="Times New Roman" w:eastAsia="Times New Roman" w:hAnsi="Times New Roman"/>
          <w:sz w:val="18"/>
          <w:szCs w:val="18"/>
          <w:color w:val="auto"/>
        </w:rPr>
        <w:t>On February 25, 2025, Terry Mayotte resigned for personal reasons from the Board and all Board committee positions of the Company effective immediately following the Company’s 2025 Annual Meeting of Shareholders. Mr. Mayotte’s decision to resign from the Board did not involve any disagreement with GEO, management, or the Board. GEO and the Board thank Mr. Mayotte for his dedicated service to the Board and the various Board committees he served on.</w:t>
      </w:r>
    </w:p>
    <w:p>
      <w:pPr>
        <w:spacing w:after="0" w:line="180"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On February 25, 2025, the Board approved a decrease to the number of directors which constitute the whole Board from nine directors to seven directors, effective as of the date of the Company’s 2025 Annual Meeting of Shareholders. The effect of the approval is an amendment to Article V, Section 1 of the Company’s Third Amended and Restated Bylaws.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 Developments</w:t>
      </w:r>
    </w:p>
    <w:p>
      <w:pPr>
        <w:spacing w:after="0" w:line="229" w:lineRule="exact"/>
        <w:rPr>
          <w:sz w:val="20"/>
          <w:szCs w:val="20"/>
          <w:color w:val="auto"/>
        </w:rPr>
      </w:pPr>
    </w:p>
    <w:p>
      <w:pPr>
        <w:ind w:right="80" w:firstLine="225"/>
        <w:spacing w:after="0" w:line="254" w:lineRule="auto"/>
        <w:rPr>
          <w:sz w:val="20"/>
          <w:szCs w:val="20"/>
          <w:color w:val="auto"/>
        </w:rPr>
      </w:pPr>
      <w:r>
        <w:rPr>
          <w:rFonts w:ascii="Times New Roman" w:cs="Times New Roman" w:eastAsia="Times New Roman" w:hAnsi="Times New Roman"/>
          <w:sz w:val="18"/>
          <w:szCs w:val="18"/>
          <w:color w:val="auto"/>
        </w:rPr>
        <w:t>On February 24, 2025, the Compensation Committee of the Board unanimously approved the grant of a one-time special recognition stock award to Dr. Zoley, in the amount of 207,862 shares of restricted stock, to be granted on March 3, 2025 (the “Grant Date”), which will vest on the one-year anniversary of the Grant Date. The Compensation Committee approved this special recognition stock award in light of: (1) the exceptional recent Company performance, both operational and on the basis of Total Shareholder Return, (2) Dr. Zoley's operational and leadership responsibilities that have expanded beyond his expected duties in the Executive Chairman role over the past 3-years due to turnover of multiple CEO’s and (3) his leadership in the areas of business development and customer relationships and the achievements obtained in these areas reflecting his status as a founder of the industry with deep networks developed over time across the government and with other key customers. In approving this special recognition stock award, the Compensation Committee took into account the 92,138 shares of restricted stock that had been granted to Dr. Zoley in 2024.</w:t>
      </w:r>
    </w:p>
    <w:p>
      <w:pPr>
        <w:spacing w:after="0" w:line="192"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On February 24, 2025, the Compensation Committee approved and recommended to the Board that it approve certain modifications to GEO's long-term equity incentive plan for senior management (the “LTIP”) administered under the Second Amended and Restated 2018 Stock Incentive Plan. The Board approved the modifications to the LTIP on February 25, 2025. GEO's prior awards under the LTIP consisted 100% of performance-based restricted stock using two vesting metrics to calculate the performance stock award payouts: (1) Total Shareholder Return (“TSR”) and (2) Return on Capital Employed (“ROCE”). Under the amended LTIP, stock awards to senior management beginning in 2025 will consist of an award where 50% of the stock award is time-based restricted stock vesting over three years and 50% of the stock award will consist of a performance-based award of restricted stock using the performance metrics of TSR and ROCE to calculate payouts (50% of the performance-based component will use TSR and 50% of the performance-based component will use ROCE). The maximum payout of stock under the performance-based component of the award will be capped at 180%, down from 200%.</w:t>
      </w:r>
    </w:p>
    <w:p>
      <w:pPr>
        <w:spacing w:after="0" w:line="2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56" w:lineRule="exact"/>
        <w:rPr>
          <w:sz w:val="20"/>
          <w:szCs w:val="20"/>
          <w:color w:val="auto"/>
        </w:rPr>
      </w:pPr>
    </w:p>
    <w:p>
      <w:pPr>
        <w:ind w:right="20" w:firstLine="315"/>
        <w:spacing w:after="0" w:line="258" w:lineRule="auto"/>
        <w:rPr>
          <w:sz w:val="20"/>
          <w:szCs w:val="20"/>
          <w:color w:val="auto"/>
        </w:rPr>
      </w:pPr>
      <w:r>
        <w:rPr>
          <w:rFonts w:ascii="Times New Roman" w:cs="Times New Roman" w:eastAsia="Times New Roman" w:hAnsi="Times New Roman"/>
          <w:sz w:val="18"/>
          <w:szCs w:val="18"/>
          <w:color w:val="auto"/>
        </w:rPr>
        <w:t>Shayn P. March, Executive Vice President, Finance and Treasurer, entered into a 10b5-1 trading plan on November 21, 2024 (the “Trading Plan”). The Trading Plan provides for the potential sale of up to 57,000 shares of GEO common stock and will be in effect until the earlier of (i) November 14, 2025 and (ii) the date on which all of the shares have been sold. The Trading Plan was entered into during an open insider trading window and is intended to satisfy the affirmative defense of Rule 10b5-1(c) under the Securities Exchange Act of 1934, as amended, and GEO’s policies regarding transactions in GEO securities.</w:t>
      </w:r>
    </w:p>
    <w:p>
      <w:pPr>
        <w:spacing w:after="0" w:line="197" w:lineRule="exact"/>
        <w:rPr>
          <w:sz w:val="20"/>
          <w:szCs w:val="20"/>
          <w:color w:val="auto"/>
        </w:rPr>
      </w:pPr>
    </w:p>
    <w:p>
      <w:pPr>
        <w:ind w:right="200" w:firstLine="270"/>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director or officer of the Company adopted, modified or terminated a “Rule 10b5-1 trading arrangement” or a “non-Rule 10b5-1 trading arrangement” (in each case, as defined in Item 408 of Regulation S-K) during the fiscal quarter ended December 31,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4" w:name="page135"/>
    <w:bookmarkEnd w:id="134"/>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all of our directors, officers, employees, agents and representatives, including our consultants. The code strives to deter wrongdoing and promote honest and ethical conduct, the avoidance of conflicts of interest, full, fair, accurate, timely and transparent disclosure, compliance with the applicable government and self-regulatory organization laws, rules and regulations, prompt internal reporting of violations of the code, and accountability for compliance with the code. In addition, we have adopted a code of ethics for the CEO, our senior financial officers and all other employees. The codes can be found on our website at http://www.geogroup.com by clicking on the link “About Us” on our homepage and then clicking on the link “Corporate Governance.” In addition, the codes are available in print to any shareholder who request them by contacting our Vice President of Corporate Relations at 561-999-7306. In the event that we amend or waive any of the provisions of the code of business conduct and ethics and the code of ethics for the CEO, our senior financial officers and employees that relate to any element of the code of ethics definition enumerated in Item 406(b) of Regulation S-K, we intend to disclose the same on our Investor Relations website. The other information required by this item will be contained in, and is incorporated by reference from, the proxy statement for our 2025 annual meeting of shareholders, which will be filed with the SEC pursuant to Regulation 14A within 120 days after the end of the year covered by this report.</w:t>
      </w:r>
    </w:p>
    <w:p>
      <w:pPr>
        <w:spacing w:after="0" w:line="13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insider trading policies and procedures that govern the purchase, sale, and other disposition of our securities by our directors, officers, and employees that we believe are reasonably designed to promote compliance with insider trading laws, rules and regulations and the listing standards of the New York Stock Exchange. A copy of our Insider Trading Policy is filed with this Annual Report on Form 10-K as Exhibit 19.1.</w:t>
      </w:r>
    </w:p>
    <w:p>
      <w:pPr>
        <w:spacing w:after="0" w:line="200" w:lineRule="exact"/>
        <w:rPr>
          <w:sz w:val="20"/>
          <w:szCs w:val="20"/>
          <w:color w:val="auto"/>
        </w:rPr>
      </w:pPr>
    </w:p>
    <w:p>
      <w:pPr>
        <w:spacing w:after="0" w:line="21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75"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and is incorporated by reference from, the proxy statement for our 2025 annual meeting of shareholders, which will be filed with the SEC pursuant to Regulation 14A within 120 days after the end of the fiscal year covered by this report.</w:t>
      </w:r>
    </w:p>
    <w:p>
      <w:pPr>
        <w:spacing w:after="0" w:line="1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and is incorporated by reference from, the proxy statement for our 2025 annual meeting of shareholders, which will be filed with the SEC pursuant to Regulation 14A within 120 days after the end of the fiscal year covered by this report.</w:t>
      </w:r>
    </w:p>
    <w:p>
      <w:pPr>
        <w:spacing w:after="0" w:line="1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75"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and is incorporated by reference from, the proxy statement for our 2025 annual meeting of shareholders, which will be filed with the SEC pursuant to Regulation 14A within 120 days after the end of the fiscal year covered by this report.</w:t>
      </w:r>
    </w:p>
    <w:p>
      <w:pPr>
        <w:spacing w:after="0" w:line="1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and is incorporated by reference from, the proxy statement for our 2025 annual meeting of shareholders, which will be filed with the SEC pursuant to Regulation 14A within 120 days after the end of the fiscal year covered by this report.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 and Financial Statement Schedules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of GEO are filed under Item 8 of Part II of this report.</w:t>
      </w:r>
    </w:p>
    <w:p>
      <w:pPr>
        <w:spacing w:after="0" w:line="223" w:lineRule="exact"/>
        <w:rPr>
          <w:sz w:val="20"/>
          <w:szCs w:val="20"/>
          <w:color w:val="auto"/>
        </w:rPr>
      </w:pPr>
    </w:p>
    <w:p>
      <w:pPr>
        <w:ind w:left="780" w:hanging="26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Schedule II — Valuation and Qualifying Accounts — Page 148</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All other schedules specified in the accounting regulations of the Securities and Exchange Commission have been omitted because they are either inapplicable or not required.</w:t>
      </w:r>
    </w:p>
    <w:p>
      <w:pPr>
        <w:spacing w:after="0" w:line="160" w:lineRule="exact"/>
        <w:rPr>
          <w:sz w:val="20"/>
          <w:szCs w:val="20"/>
          <w:color w:val="auto"/>
        </w:rPr>
      </w:pPr>
    </w:p>
    <w:p>
      <w:pPr>
        <w:ind w:left="780" w:hanging="263"/>
        <w:spacing w:after="0"/>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Required by Item 601 of Regulation S-K. The following exhibits are filed as part of this Annual Report:</w:t>
      </w:r>
    </w:p>
    <w:p>
      <w:pPr>
        <w:sectPr>
          <w:pgSz w:w="11900" w:h="16838" w:orient="portrait"/>
          <w:cols w:equalWidth="0" w:num="1">
            <w:col w:w="11240"/>
          </w:cols>
          <w:pgMar w:left="320" w:top="1251" w:right="339" w:bottom="1440" w:gutter="0" w:footer="0" w:header="0"/>
        </w:sect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12"/>
        </w:trPr>
        <w:tc>
          <w:tcPr>
            <w:tcW w:w="2300" w:type="dxa"/>
            <w:vAlign w:val="bottom"/>
            <w:tcBorders>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4"/>
        </w:trPr>
        <w:tc>
          <w:tcPr>
            <w:tcW w:w="5320" w:type="dxa"/>
            <w:vAlign w:val="bottom"/>
            <w:tcBorders>
              <w:left w:val="single" w:sz="8" w:color="auto"/>
              <w:right w:val="single" w:sz="8" w:color="auto"/>
            </w:tcBorders>
            <w:gridSpan w:val="3"/>
          </w:tcPr>
          <w:p>
            <w:pPr>
              <w:ind w:left="40"/>
              <w:spacing w:after="0" w:line="195" w:lineRule="exact"/>
              <w:rPr>
                <w:sz w:val="20"/>
                <w:szCs w:val="20"/>
                <w:color w:val="auto"/>
              </w:rPr>
            </w:pPr>
            <w:r>
              <w:rPr>
                <w:rFonts w:ascii="Times New Roman" w:cs="Times New Roman" w:eastAsia="Times New Roman" w:hAnsi="Times New Roman"/>
                <w:sz w:val="18"/>
                <w:szCs w:val="18"/>
                <w:color w:val="auto"/>
              </w:rPr>
              <w:t>Form of Equity Distribution Agreement, dated December 28, 2023, by</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16"/>
        </w:trPr>
        <w:tc>
          <w:tcPr>
            <w:tcW w:w="53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and among The GEO Group, Inc. and each of Cantor Fitzgerald &amp; Co.,</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16"/>
        </w:trPr>
        <w:tc>
          <w:tcPr>
            <w:tcW w:w="53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Compass Point Research &amp; Trading, LLC, Imperial Capital, LLC,</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16"/>
        </w:trPr>
        <w:tc>
          <w:tcPr>
            <w:tcW w:w="53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JonesTrading Institutional Services LLC, Noble Capital Markets, Inc.,</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194"/>
        </w:trPr>
        <w:tc>
          <w:tcPr>
            <w:tcW w:w="532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Northland Securities, Inc., StoneX Financial Inc., Virtu Americas LLC,</w:t>
            </w:r>
          </w:p>
        </w:tc>
        <w:tc>
          <w:tcPr>
            <w:tcW w:w="2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65">
              <w:r>
                <w:rPr>
                  <w:rFonts w:ascii="Times New Roman" w:cs="Times New Roman" w:eastAsia="Times New Roman" w:hAnsi="Times New Roman"/>
                  <w:sz w:val="18"/>
                  <w:szCs w:val="18"/>
                  <w:color w:val="auto"/>
                  <w:w w:val="99"/>
                </w:rPr>
                <w:t>https://www.sec.gov/Archives/edgar/data/923796/000119312523305</w:t>
              </w:r>
            </w:hyperlink>
          </w:p>
        </w:tc>
      </w:tr>
      <w:tr>
        <w:trPr>
          <w:trHeight w:val="196"/>
        </w:trPr>
        <w:tc>
          <w:tcPr>
            <w:tcW w:w="5320" w:type="dxa"/>
            <w:vAlign w:val="bottom"/>
            <w:tcBorders>
              <w:left w:val="single" w:sz="8" w:color="auto"/>
              <w:righ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and Wedbush Securities Inc.</w:t>
            </w:r>
          </w:p>
        </w:tc>
        <w:tc>
          <w:tcPr>
            <w:tcW w:w="20" w:type="dxa"/>
            <w:vAlign w:val="bottom"/>
          </w:tcPr>
          <w:p>
            <w:pPr>
              <w:spacing w:after="0"/>
              <w:rPr>
                <w:sz w:val="17"/>
                <w:szCs w:val="17"/>
                <w:color w:val="auto"/>
              </w:rPr>
            </w:pP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223/d669399dex11.htm</w:t>
              </w:r>
            </w:hyperlink>
          </w:p>
        </w:tc>
        <w:tc>
          <w:tcPr>
            <w:tcW w:w="40" w:type="dxa"/>
            <w:vAlign w:val="bottom"/>
            <w:tcBorders>
              <w:right w:val="single" w:sz="8" w:color="auto"/>
            </w:tcBorders>
          </w:tcPr>
          <w:p>
            <w:pPr>
              <w:spacing w:after="0"/>
              <w:rPr>
                <w:sz w:val="17"/>
                <w:szCs w:val="17"/>
                <w:color w:val="auto"/>
              </w:rPr>
            </w:pPr>
          </w:p>
        </w:tc>
      </w:tr>
      <w:tr>
        <w:trPr>
          <w:trHeight w:val="20"/>
        </w:trPr>
        <w:tc>
          <w:tcPr>
            <w:tcW w:w="23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2300" w:type="dxa"/>
            <w:vAlign w:val="bottom"/>
            <w:tcBorders>
              <w:left w:val="single" w:sz="8" w:color="auto"/>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12"/>
        </w:trPr>
        <w:tc>
          <w:tcPr>
            <w:tcW w:w="2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4"/>
        </w:trPr>
        <w:tc>
          <w:tcPr>
            <w:tcW w:w="5320" w:type="dxa"/>
            <w:vAlign w:val="bottom"/>
            <w:tcBorders>
              <w:left w:val="single" w:sz="8" w:color="auto"/>
              <w:right w:val="single" w:sz="8" w:color="auto"/>
            </w:tcBorders>
            <w:gridSpan w:val="3"/>
          </w:tcPr>
          <w:p>
            <w:pPr>
              <w:ind w:left="60"/>
              <w:spacing w:after="0" w:line="195" w:lineRule="exact"/>
              <w:rPr>
                <w:sz w:val="20"/>
                <w:szCs w:val="20"/>
                <w:color w:val="auto"/>
              </w:rPr>
            </w:pPr>
            <w:r>
              <w:rPr>
                <w:rFonts w:ascii="Times New Roman" w:cs="Times New Roman" w:eastAsia="Times New Roman" w:hAnsi="Times New Roman"/>
                <w:sz w:val="18"/>
                <w:szCs w:val="18"/>
                <w:color w:val="auto"/>
              </w:rPr>
              <w:t>Articles of Merger, effective as of June 27, 2014 (incorporated by</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194"/>
        </w:trPr>
        <w:tc>
          <w:tcPr>
            <w:tcW w:w="5320" w:type="dxa"/>
            <w:vAlign w:val="bottom"/>
            <w:tcBorders>
              <w:left w:val="single" w:sz="8" w:color="auto"/>
              <w:right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reference to Exhibit 3.2 to the Company’s Current Report on Form 8-</w:t>
            </w:r>
          </w:p>
        </w:tc>
        <w:tc>
          <w:tcPr>
            <w:tcW w:w="2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66">
              <w:r>
                <w:rPr>
                  <w:rFonts w:ascii="Times New Roman" w:cs="Times New Roman" w:eastAsia="Times New Roman" w:hAnsi="Times New Roman"/>
                  <w:sz w:val="18"/>
                  <w:szCs w:val="18"/>
                  <w:color w:val="auto"/>
                  <w:w w:val="99"/>
                </w:rPr>
                <w:t>https://www.sec.gov/Archives/edgar/data/923796/000119312514254</w:t>
              </w:r>
            </w:hyperlink>
          </w:p>
        </w:tc>
      </w:tr>
      <w:tr>
        <w:trPr>
          <w:trHeight w:val="196"/>
        </w:trPr>
        <w:tc>
          <w:tcPr>
            <w:tcW w:w="5320" w:type="dxa"/>
            <w:vAlign w:val="bottom"/>
            <w:tcBorders>
              <w:left w:val="single" w:sz="8" w:color="auto"/>
              <w:right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K, filed on June 30, 2014).</w:t>
            </w:r>
          </w:p>
        </w:tc>
        <w:tc>
          <w:tcPr>
            <w:tcW w:w="20" w:type="dxa"/>
            <w:vAlign w:val="bottom"/>
          </w:tcPr>
          <w:p>
            <w:pPr>
              <w:spacing w:after="0"/>
              <w:rPr>
                <w:sz w:val="17"/>
                <w:szCs w:val="17"/>
                <w:color w:val="auto"/>
              </w:rPr>
            </w:pPr>
          </w:p>
        </w:tc>
        <w:tc>
          <w:tcPr>
            <w:tcW w:w="49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466">
              <w:r>
                <w:rPr>
                  <w:rFonts w:ascii="Times New Roman" w:cs="Times New Roman" w:eastAsia="Times New Roman" w:hAnsi="Times New Roman"/>
                  <w:sz w:val="18"/>
                  <w:szCs w:val="18"/>
                  <w:color w:val="auto"/>
                </w:rPr>
                <w:t>491/d750635dex32.htm</w:t>
              </w:r>
            </w:hyperlink>
          </w:p>
        </w:tc>
        <w:tc>
          <w:tcPr>
            <w:tcW w:w="40" w:type="dxa"/>
            <w:vAlign w:val="bottom"/>
            <w:tcBorders>
              <w:right w:val="single" w:sz="8" w:color="auto"/>
            </w:tcBorders>
          </w:tcPr>
          <w:p>
            <w:pPr>
              <w:spacing w:after="0"/>
              <w:rPr>
                <w:sz w:val="17"/>
                <w:szCs w:val="17"/>
                <w:color w:val="auto"/>
              </w:rPr>
            </w:pPr>
          </w:p>
        </w:tc>
      </w:tr>
      <w:tr>
        <w:trPr>
          <w:trHeight w:val="20"/>
        </w:trPr>
        <w:tc>
          <w:tcPr>
            <w:tcW w:w="23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2"/>
        </w:trPr>
        <w:tc>
          <w:tcPr>
            <w:tcW w:w="2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4"/>
        </w:trPr>
        <w:tc>
          <w:tcPr>
            <w:tcW w:w="5320" w:type="dxa"/>
            <w:vAlign w:val="bottom"/>
            <w:tcBorders>
              <w:left w:val="single" w:sz="8" w:color="auto"/>
              <w:right w:val="single" w:sz="8" w:color="auto"/>
            </w:tcBorders>
            <w:gridSpan w:val="3"/>
          </w:tcPr>
          <w:p>
            <w:pPr>
              <w:ind w:left="40"/>
              <w:spacing w:after="0" w:line="195" w:lineRule="exact"/>
              <w:rPr>
                <w:sz w:val="20"/>
                <w:szCs w:val="20"/>
                <w:color w:val="auto"/>
              </w:rPr>
            </w:pPr>
            <w:r>
              <w:rPr>
                <w:rFonts w:ascii="Times New Roman" w:cs="Times New Roman" w:eastAsia="Times New Roman" w:hAnsi="Times New Roman"/>
                <w:sz w:val="18"/>
                <w:szCs w:val="18"/>
                <w:color w:val="auto"/>
              </w:rPr>
              <w:t>Amended and Restated Articles of Incorporation (incorporated by</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194"/>
        </w:trPr>
        <w:tc>
          <w:tcPr>
            <w:tcW w:w="532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reference to Exhibit 3.1 to the Company’s Current Report on Form 8-K,</w:t>
            </w:r>
          </w:p>
        </w:tc>
        <w:tc>
          <w:tcPr>
            <w:tcW w:w="2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67">
              <w:r>
                <w:rPr>
                  <w:rFonts w:ascii="Times New Roman" w:cs="Times New Roman" w:eastAsia="Times New Roman" w:hAnsi="Times New Roman"/>
                  <w:sz w:val="18"/>
                  <w:szCs w:val="18"/>
                  <w:color w:val="auto"/>
                  <w:w w:val="99"/>
                </w:rPr>
                <w:t>https://www.sec.gov/Archives/edgar/data/923796/000119312524135</w:t>
              </w:r>
            </w:hyperlink>
          </w:p>
        </w:tc>
      </w:tr>
      <w:tr>
        <w:trPr>
          <w:trHeight w:val="196"/>
        </w:trPr>
        <w:tc>
          <w:tcPr>
            <w:tcW w:w="5320" w:type="dxa"/>
            <w:vAlign w:val="bottom"/>
            <w:tcBorders>
              <w:left w:val="single" w:sz="8" w:color="auto"/>
              <w:righ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filed on May 9, 2024).</w:t>
            </w:r>
          </w:p>
        </w:tc>
        <w:tc>
          <w:tcPr>
            <w:tcW w:w="20" w:type="dxa"/>
            <w:vAlign w:val="bottom"/>
          </w:tcPr>
          <w:p>
            <w:pPr>
              <w:spacing w:after="0"/>
              <w:rPr>
                <w:sz w:val="17"/>
                <w:szCs w:val="17"/>
                <w:color w:val="auto"/>
              </w:rPr>
            </w:pP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467">
              <w:r>
                <w:rPr>
                  <w:rFonts w:ascii="Times New Roman" w:cs="Times New Roman" w:eastAsia="Times New Roman" w:hAnsi="Times New Roman"/>
                  <w:sz w:val="18"/>
                  <w:szCs w:val="18"/>
                  <w:color w:val="auto"/>
                </w:rPr>
                <w:t>357/d784973dex31.htm</w:t>
              </w:r>
            </w:hyperlink>
          </w:p>
        </w:tc>
        <w:tc>
          <w:tcPr>
            <w:tcW w:w="40" w:type="dxa"/>
            <w:vAlign w:val="bottom"/>
            <w:tcBorders>
              <w:right w:val="single" w:sz="8" w:color="auto"/>
            </w:tcBorders>
          </w:tcPr>
          <w:p>
            <w:pPr>
              <w:spacing w:after="0"/>
              <w:rPr>
                <w:sz w:val="17"/>
                <w:szCs w:val="17"/>
                <w:color w:val="auto"/>
              </w:rPr>
            </w:pPr>
          </w:p>
        </w:tc>
      </w:tr>
      <w:tr>
        <w:trPr>
          <w:trHeight w:val="20"/>
        </w:trPr>
        <w:tc>
          <w:tcPr>
            <w:tcW w:w="23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2"/>
        </w:trPr>
        <w:tc>
          <w:tcPr>
            <w:tcW w:w="2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4"/>
        </w:trPr>
        <w:tc>
          <w:tcPr>
            <w:tcW w:w="5320" w:type="dxa"/>
            <w:vAlign w:val="bottom"/>
            <w:tcBorders>
              <w:left w:val="single" w:sz="8" w:color="auto"/>
              <w:right w:val="single" w:sz="8" w:color="auto"/>
            </w:tcBorders>
            <w:gridSpan w:val="3"/>
          </w:tcPr>
          <w:p>
            <w:pPr>
              <w:ind w:left="60"/>
              <w:spacing w:after="0" w:line="195" w:lineRule="exact"/>
              <w:rPr>
                <w:sz w:val="20"/>
                <w:szCs w:val="20"/>
                <w:color w:val="auto"/>
              </w:rPr>
            </w:pPr>
            <w:r>
              <w:rPr>
                <w:rFonts w:ascii="Times New Roman" w:cs="Times New Roman" w:eastAsia="Times New Roman" w:hAnsi="Times New Roman"/>
                <w:sz w:val="18"/>
                <w:szCs w:val="18"/>
                <w:color w:val="auto"/>
              </w:rPr>
              <w:t>Third  Amended  and  Restated  Bylaws  of  The  GEO  Group,  Inc.</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194"/>
        </w:trPr>
        <w:tc>
          <w:tcPr>
            <w:tcW w:w="5320" w:type="dxa"/>
            <w:vAlign w:val="bottom"/>
            <w:tcBorders>
              <w:left w:val="single" w:sz="8" w:color="auto"/>
              <w:right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3.1 to the Company’s Current</w:t>
            </w:r>
          </w:p>
        </w:tc>
        <w:tc>
          <w:tcPr>
            <w:tcW w:w="2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68">
              <w:r>
                <w:rPr>
                  <w:rFonts w:ascii="Times New Roman" w:cs="Times New Roman" w:eastAsia="Times New Roman" w:hAnsi="Times New Roman"/>
                  <w:sz w:val="18"/>
                  <w:szCs w:val="18"/>
                  <w:color w:val="auto"/>
                  <w:w w:val="99"/>
                </w:rPr>
                <w:t>https://www.sec.gov/Archives/edgar/data/0000923796/00011931252</w:t>
              </w:r>
            </w:hyperlink>
          </w:p>
        </w:tc>
      </w:tr>
      <w:tr>
        <w:trPr>
          <w:trHeight w:val="196"/>
        </w:trPr>
        <w:tc>
          <w:tcPr>
            <w:tcW w:w="5320" w:type="dxa"/>
            <w:vAlign w:val="bottom"/>
            <w:tcBorders>
              <w:left w:val="single" w:sz="8" w:color="auto"/>
              <w:right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Report on Form 8-K, filed on June 21, 2021).</w:t>
            </w:r>
          </w:p>
        </w:tc>
        <w:tc>
          <w:tcPr>
            <w:tcW w:w="20" w:type="dxa"/>
            <w:vAlign w:val="bottom"/>
          </w:tcPr>
          <w:p>
            <w:pPr>
              <w:spacing w:after="0"/>
              <w:rPr>
                <w:sz w:val="17"/>
                <w:szCs w:val="17"/>
                <w:color w:val="auto"/>
              </w:rPr>
            </w:pPr>
          </w:p>
        </w:tc>
        <w:tc>
          <w:tcPr>
            <w:tcW w:w="49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468">
              <w:r>
                <w:rPr>
                  <w:rFonts w:ascii="Times New Roman" w:cs="Times New Roman" w:eastAsia="Times New Roman" w:hAnsi="Times New Roman"/>
                  <w:sz w:val="18"/>
                  <w:szCs w:val="18"/>
                  <w:color w:val="auto"/>
                </w:rPr>
                <w:t>1195250/d192125dex31.htm</w:t>
              </w:r>
            </w:hyperlink>
          </w:p>
        </w:tc>
        <w:tc>
          <w:tcPr>
            <w:tcW w:w="40" w:type="dxa"/>
            <w:vAlign w:val="bottom"/>
            <w:tcBorders>
              <w:right w:val="single" w:sz="8" w:color="auto"/>
            </w:tcBorders>
          </w:tcPr>
          <w:p>
            <w:pPr>
              <w:spacing w:after="0"/>
              <w:rPr>
                <w:sz w:val="17"/>
                <w:szCs w:val="17"/>
                <w:color w:val="auto"/>
              </w:rPr>
            </w:pPr>
          </w:p>
        </w:tc>
      </w:tr>
      <w:tr>
        <w:trPr>
          <w:trHeight w:val="20"/>
        </w:trPr>
        <w:tc>
          <w:tcPr>
            <w:tcW w:w="23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2"/>
        </w:trPr>
        <w:tc>
          <w:tcPr>
            <w:tcW w:w="2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4"/>
        </w:trPr>
        <w:tc>
          <w:tcPr>
            <w:tcW w:w="5320" w:type="dxa"/>
            <w:vAlign w:val="bottom"/>
            <w:tcBorders>
              <w:left w:val="single" w:sz="8" w:color="auto"/>
              <w:right w:val="single" w:sz="8" w:color="auto"/>
            </w:tcBorders>
            <w:gridSpan w:val="3"/>
          </w:tcPr>
          <w:p>
            <w:pPr>
              <w:ind w:left="60"/>
              <w:spacing w:after="0" w:line="195" w:lineRule="exact"/>
              <w:rPr>
                <w:sz w:val="20"/>
                <w:szCs w:val="20"/>
                <w:color w:val="auto"/>
              </w:rPr>
            </w:pPr>
            <w:r>
              <w:rPr>
                <w:rFonts w:ascii="Times New Roman" w:cs="Times New Roman" w:eastAsia="Times New Roman" w:hAnsi="Times New Roman"/>
                <w:sz w:val="18"/>
                <w:szCs w:val="18"/>
                <w:color w:val="auto"/>
              </w:rPr>
              <w:t>Amendment to Third Amended and Restated Bylaws, effective January</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194"/>
        </w:trPr>
        <w:tc>
          <w:tcPr>
            <w:tcW w:w="5320" w:type="dxa"/>
            <w:vAlign w:val="bottom"/>
            <w:tcBorders>
              <w:left w:val="single" w:sz="8" w:color="auto"/>
              <w:right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21, 2022 (incorporated by reference to Exhibit 3.1 to the Company’s</w:t>
            </w:r>
          </w:p>
        </w:tc>
        <w:tc>
          <w:tcPr>
            <w:tcW w:w="2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69">
              <w:r>
                <w:rPr>
                  <w:rFonts w:ascii="Times New Roman" w:cs="Times New Roman" w:eastAsia="Times New Roman" w:hAnsi="Times New Roman"/>
                  <w:sz w:val="18"/>
                  <w:szCs w:val="18"/>
                  <w:color w:val="auto"/>
                  <w:w w:val="99"/>
                </w:rPr>
                <w:t>https://www.sec.gov/Archives/edgar/data/0000923796/00011931252</w:t>
              </w:r>
            </w:hyperlink>
          </w:p>
        </w:tc>
      </w:tr>
      <w:tr>
        <w:trPr>
          <w:trHeight w:val="196"/>
        </w:trPr>
        <w:tc>
          <w:tcPr>
            <w:tcW w:w="5320" w:type="dxa"/>
            <w:vAlign w:val="bottom"/>
            <w:tcBorders>
              <w:left w:val="single" w:sz="8" w:color="auto"/>
              <w:right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Current Report on Form 8-K filed on January 27, 2022).</w:t>
            </w:r>
          </w:p>
        </w:tc>
        <w:tc>
          <w:tcPr>
            <w:tcW w:w="20" w:type="dxa"/>
            <w:vAlign w:val="bottom"/>
          </w:tcPr>
          <w:p>
            <w:pPr>
              <w:spacing w:after="0"/>
              <w:rPr>
                <w:sz w:val="17"/>
                <w:szCs w:val="17"/>
                <w:color w:val="auto"/>
              </w:rPr>
            </w:pPr>
          </w:p>
        </w:tc>
        <w:tc>
          <w:tcPr>
            <w:tcW w:w="49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469">
              <w:r>
                <w:rPr>
                  <w:rFonts w:ascii="Times New Roman" w:cs="Times New Roman" w:eastAsia="Times New Roman" w:hAnsi="Times New Roman"/>
                  <w:sz w:val="18"/>
                  <w:szCs w:val="18"/>
                  <w:color w:val="auto"/>
                </w:rPr>
                <w:t>2019826/d305099dex31.htm</w:t>
              </w:r>
            </w:hyperlink>
          </w:p>
        </w:tc>
        <w:tc>
          <w:tcPr>
            <w:tcW w:w="40" w:type="dxa"/>
            <w:vAlign w:val="bottom"/>
            <w:tcBorders>
              <w:right w:val="single" w:sz="8" w:color="auto"/>
            </w:tcBorders>
          </w:tcPr>
          <w:p>
            <w:pPr>
              <w:spacing w:after="0"/>
              <w:rPr>
                <w:sz w:val="17"/>
                <w:szCs w:val="17"/>
                <w:color w:val="auto"/>
              </w:rPr>
            </w:pPr>
          </w:p>
        </w:tc>
      </w:tr>
      <w:tr>
        <w:trPr>
          <w:trHeight w:val="20"/>
        </w:trPr>
        <w:tc>
          <w:tcPr>
            <w:tcW w:w="23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426"/>
        </w:trPr>
        <w:tc>
          <w:tcPr>
            <w:tcW w:w="5320" w:type="dxa"/>
            <w:vAlign w:val="bottom"/>
            <w:gridSpan w:val="3"/>
          </w:tcPr>
          <w:p>
            <w:pPr>
              <w:ind w:left="458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467360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60" w:space="240"/>
            <w:col w:w="10340"/>
          </w:cols>
          <w:pgMar w:left="320" w:top="1251" w:right="33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11"/>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53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Amendment  to  Third  Amended  and  Restated  Bylaws,  effective</w:t>
            </w:r>
          </w:p>
        </w:tc>
        <w:tc>
          <w:tcPr>
            <w:tcW w:w="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tcBorders>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February 14, 2022 (incorporated by reference to Exhibit 3.1 to the</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71">
              <w:r>
                <w:rPr>
                  <w:rFonts w:ascii="Times New Roman" w:cs="Times New Roman" w:eastAsia="Times New Roman" w:hAnsi="Times New Roman"/>
                  <w:sz w:val="18"/>
                  <w:szCs w:val="18"/>
                  <w:color w:val="auto"/>
                  <w:w w:val="99"/>
                </w:rPr>
                <w:t>https://www.sec.gov/Archives/edgar/data/0000923796/00011931252</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Company’s Current Report on Form 8-K filed on February 18, 2022).</w:t>
            </w: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2045923/d106900dex31.htm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line="20" w:lineRule="exact"/>
              <w:rPr>
                <w:sz w:val="1"/>
                <w:szCs w:val="1"/>
                <w:color w:val="auto"/>
              </w:rPr>
            </w:pPr>
          </w:p>
        </w:tc>
        <w:tc>
          <w:tcPr>
            <w:tcW w:w="5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900" w:type="dxa"/>
            <w:vAlign w:val="bottom"/>
            <w:vMerge w:val="continue"/>
          </w:tcPr>
          <w:p>
            <w:pPr>
              <w:spacing w:after="0"/>
              <w:rPr>
                <w:sz w:val="9"/>
                <w:szCs w:val="9"/>
                <w:color w:val="auto"/>
              </w:rPr>
            </w:pPr>
          </w:p>
        </w:tc>
        <w:tc>
          <w:tcPr>
            <w:tcW w:w="20" w:type="dxa"/>
            <w:vAlign w:val="bottom"/>
            <w:vMerge w:val="restart"/>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9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5300" w:type="dxa"/>
            <w:vAlign w:val="bottom"/>
            <w:tcBorders>
              <w:left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Amendment to Third Amended and Restated Bylaws, effective</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December 27, 2022 (incorporated by reference to Exhibit 3.1 to the</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72">
              <w:r>
                <w:rPr>
                  <w:rFonts w:ascii="Times New Roman" w:cs="Times New Roman" w:eastAsia="Times New Roman" w:hAnsi="Times New Roman"/>
                  <w:sz w:val="18"/>
                  <w:szCs w:val="18"/>
                  <w:color w:val="auto"/>
                  <w:w w:val="99"/>
                </w:rPr>
                <w:t>https://www.sec.gov/Archives/edgar/data/923796/000119312522313</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Company's Current Report on Form 8-K, filed on December 28, 2022).</w:t>
            </w:r>
          </w:p>
        </w:tc>
        <w:tc>
          <w:tcPr>
            <w:tcW w:w="20" w:type="dxa"/>
            <w:vAlign w:val="bottom"/>
          </w:tcPr>
          <w:p>
            <w:pPr>
              <w:spacing w:after="0"/>
              <w:rPr>
                <w:sz w:val="17"/>
                <w:szCs w:val="17"/>
                <w:color w:val="auto"/>
              </w:rPr>
            </w:pPr>
          </w:p>
        </w:tc>
        <w:tc>
          <w:tcPr>
            <w:tcW w:w="4960" w:type="dxa"/>
            <w:vAlign w:val="bottom"/>
            <w:tcBorders>
              <w:top w:val="single" w:sz="8" w:color="auto"/>
            </w:tcBorders>
            <w:gridSpan w:val="6"/>
          </w:tcPr>
          <w:p>
            <w:pPr>
              <w:spacing w:after="0" w:line="196" w:lineRule="exact"/>
              <w:rPr>
                <w:rFonts w:ascii="Times New Roman" w:cs="Times New Roman" w:eastAsia="Times New Roman" w:hAnsi="Times New Roman"/>
                <w:sz w:val="18"/>
                <w:szCs w:val="18"/>
                <w:color w:val="auto"/>
              </w:rPr>
            </w:pPr>
            <w:hyperlink r:id="rId472">
              <w:r>
                <w:rPr>
                  <w:rFonts w:ascii="Times New Roman" w:cs="Times New Roman" w:eastAsia="Times New Roman" w:hAnsi="Times New Roman"/>
                  <w:sz w:val="18"/>
                  <w:szCs w:val="18"/>
                  <w:color w:val="auto"/>
                </w:rPr>
                <w:t>783/d398856dex31.htm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line="20" w:lineRule="exact"/>
              <w:rPr>
                <w:sz w:val="1"/>
                <w:szCs w:val="1"/>
                <w:color w:val="auto"/>
              </w:rPr>
            </w:pPr>
          </w:p>
        </w:tc>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3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900" w:type="dxa"/>
            <w:vAlign w:val="bottom"/>
            <w:vMerge w:val="continue"/>
          </w:tcPr>
          <w:p>
            <w:pPr>
              <w:spacing w:after="0"/>
              <w:rPr>
                <w:sz w:val="23"/>
                <w:szCs w:val="23"/>
                <w:color w:val="auto"/>
              </w:rPr>
            </w:pPr>
          </w:p>
        </w:tc>
        <w:tc>
          <w:tcPr>
            <w:tcW w:w="20" w:type="dxa"/>
            <w:vAlign w:val="bottom"/>
            <w:vMerge w:val="restart"/>
          </w:tcPr>
          <w:p>
            <w:pPr>
              <w:spacing w:after="0"/>
              <w:rPr>
                <w:sz w:val="23"/>
                <w:szCs w:val="23"/>
                <w:color w:val="auto"/>
              </w:rPr>
            </w:pPr>
          </w:p>
        </w:tc>
        <w:tc>
          <w:tcPr>
            <w:tcW w:w="5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9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300" w:type="dxa"/>
            <w:vAlign w:val="bottom"/>
            <w:tcBorders>
              <w:left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Amendment to Third Amended and Restated Bylaws, effective</w:t>
            </w:r>
          </w:p>
        </w:tc>
        <w:tc>
          <w:tcPr>
            <w:tcW w:w="20" w:type="dxa"/>
            <w:vAlign w:val="bottom"/>
          </w:tcPr>
          <w:p>
            <w:pPr>
              <w:spacing w:after="0"/>
              <w:rPr>
                <w:sz w:val="11"/>
                <w:szCs w:val="11"/>
                <w:color w:val="auto"/>
              </w:rPr>
            </w:pPr>
          </w:p>
        </w:tc>
        <w:tc>
          <w:tcPr>
            <w:tcW w:w="5000" w:type="dxa"/>
            <w:vAlign w:val="bottom"/>
            <w:tcBorders>
              <w:right w:val="single" w:sz="8" w:color="auto"/>
            </w:tcBorders>
            <w:gridSpan w:val="7"/>
          </w:tcPr>
          <w:p>
            <w:pPr>
              <w:spacing w:after="0" w:line="133" w:lineRule="exact"/>
              <w:rPr>
                <w:rFonts w:ascii="Times New Roman" w:cs="Times New Roman" w:eastAsia="Times New Roman" w:hAnsi="Times New Roman"/>
                <w:sz w:val="15"/>
                <w:szCs w:val="15"/>
                <w:color w:val="auto"/>
              </w:rPr>
            </w:pPr>
            <w:hyperlink r:id="rId473">
              <w:r>
                <w:rPr>
                  <w:rFonts w:ascii="Times New Roman" w:cs="Times New Roman" w:eastAsia="Times New Roman" w:hAnsi="Times New Roman"/>
                  <w:sz w:val="15"/>
                  <w:szCs w:val="15"/>
                  <w:color w:val="auto"/>
                </w:rPr>
                <w:t>https://www.sec.gov/Archives/edgar/data/923796/000119312524037</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February 9, 2024 (incorporated by reference to Exhibit 3.1 to the</w:t>
            </w:r>
          </w:p>
        </w:tc>
        <w:tc>
          <w:tcPr>
            <w:tcW w:w="20" w:type="dxa"/>
            <w:vAlign w:val="bottom"/>
          </w:tcPr>
          <w:p>
            <w:pPr>
              <w:spacing w:after="0"/>
              <w:rPr>
                <w:sz w:val="17"/>
                <w:szCs w:val="17"/>
                <w:color w:val="auto"/>
              </w:rPr>
            </w:pPr>
          </w:p>
        </w:tc>
        <w:tc>
          <w:tcPr>
            <w:tcW w:w="4960" w:type="dxa"/>
            <w:vAlign w:val="bottom"/>
            <w:tcBorders>
              <w:top w:val="single" w:sz="8" w:color="auto"/>
            </w:tcBorders>
            <w:gridSpan w:val="6"/>
          </w:tcPr>
          <w:p>
            <w:pPr>
              <w:spacing w:after="0" w:line="196" w:lineRule="exact"/>
              <w:rPr>
                <w:rFonts w:ascii="Times New Roman" w:cs="Times New Roman" w:eastAsia="Times New Roman" w:hAnsi="Times New Roman"/>
                <w:sz w:val="18"/>
                <w:szCs w:val="18"/>
                <w:color w:val="auto"/>
              </w:rPr>
            </w:pPr>
            <w:hyperlink r:id="rId473">
              <w:r>
                <w:rPr>
                  <w:rFonts w:ascii="Times New Roman" w:cs="Times New Roman" w:eastAsia="Times New Roman" w:hAnsi="Times New Roman"/>
                  <w:sz w:val="18"/>
                  <w:szCs w:val="18"/>
                  <w:color w:val="auto"/>
                </w:rPr>
                <w:t>639/d763000dex31.htm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c>
          <w:tcPr>
            <w:tcW w:w="5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filed on February 15, 2024).</w:t>
            </w:r>
          </w:p>
        </w:tc>
        <w:tc>
          <w:tcPr>
            <w:tcW w:w="20" w:type="dxa"/>
            <w:vAlign w:val="bottom"/>
            <w:tcBorders>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tcBorders>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Amendment to Third Amended and Restated Bylaws, effective June 12,</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2024 (incorporated by reference to Exhibit 3.1 to the Company's</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74">
              <w:r>
                <w:rPr>
                  <w:rFonts w:ascii="Times New Roman" w:cs="Times New Roman" w:eastAsia="Times New Roman" w:hAnsi="Times New Roman"/>
                  <w:sz w:val="18"/>
                  <w:szCs w:val="18"/>
                  <w:color w:val="auto"/>
                  <w:w w:val="99"/>
                </w:rPr>
                <w:t>https://www.sec.gov/Archives/edgar/data/923796/000119312524163</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 Report on Form 8-K, filed on June 18, 2024).</w:t>
            </w:r>
          </w:p>
        </w:tc>
        <w:tc>
          <w:tcPr>
            <w:tcW w:w="20" w:type="dxa"/>
            <w:vAlign w:val="bottom"/>
          </w:tcPr>
          <w:p>
            <w:pPr>
              <w:spacing w:after="0"/>
              <w:rPr>
                <w:sz w:val="17"/>
                <w:szCs w:val="17"/>
                <w:color w:val="auto"/>
              </w:rPr>
            </w:pPr>
          </w:p>
        </w:tc>
        <w:tc>
          <w:tcPr>
            <w:tcW w:w="4960" w:type="dxa"/>
            <w:vAlign w:val="bottom"/>
            <w:tcBorders>
              <w:top w:val="single" w:sz="8" w:color="auto"/>
            </w:tcBorders>
            <w:gridSpan w:val="6"/>
          </w:tcPr>
          <w:p>
            <w:pPr>
              <w:spacing w:after="0" w:line="196" w:lineRule="exact"/>
              <w:rPr>
                <w:rFonts w:ascii="Times New Roman" w:cs="Times New Roman" w:eastAsia="Times New Roman" w:hAnsi="Times New Roman"/>
                <w:sz w:val="18"/>
                <w:szCs w:val="18"/>
                <w:color w:val="auto"/>
              </w:rPr>
            </w:pPr>
            <w:hyperlink r:id="rId474">
              <w:r>
                <w:rPr>
                  <w:rFonts w:ascii="Times New Roman" w:cs="Times New Roman" w:eastAsia="Times New Roman" w:hAnsi="Times New Roman"/>
                  <w:sz w:val="18"/>
                  <w:szCs w:val="18"/>
                  <w:color w:val="auto"/>
                </w:rPr>
                <w:t>412/d855800dex31.htm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line="20" w:lineRule="exact"/>
              <w:rPr>
                <w:sz w:val="1"/>
                <w:szCs w:val="1"/>
                <w:color w:val="auto"/>
              </w:rPr>
            </w:pPr>
          </w:p>
        </w:tc>
        <w:tc>
          <w:tcPr>
            <w:tcW w:w="5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20" w:type="dxa"/>
            <w:vAlign w:val="bottom"/>
            <w:vMerge w:val="restart"/>
          </w:tcPr>
          <w:p>
            <w:pPr>
              <w:spacing w:after="0"/>
              <w:rPr>
                <w:sz w:val="10"/>
                <w:szCs w:val="10"/>
                <w:color w:val="auto"/>
              </w:rPr>
            </w:pPr>
          </w:p>
        </w:tc>
        <w:tc>
          <w:tcPr>
            <w:tcW w:w="53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53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Indenture,  dated  as  of  February  24,  2021,  by  and  among  GEO</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Corrections Holdings, Inc., as issuer, The GEO Group, Inc. and the</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guarantors named therein, as guarantors, and the Trustee (portions</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this exhibit have been omitted) (incorporated by reference to Exhibit</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 to the Company's Current Report on Form 8-K, filed on March 2,</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2021).</w:t>
            </w:r>
          </w:p>
        </w:tc>
        <w:tc>
          <w:tcPr>
            <w:tcW w:w="496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auto"/>
                <w:w w:val="99"/>
              </w:rPr>
            </w:pPr>
            <w:hyperlink r:id="rId475">
              <w:r>
                <w:rPr>
                  <w:rFonts w:ascii="Times New Roman" w:cs="Times New Roman" w:eastAsia="Times New Roman" w:hAnsi="Times New Roman"/>
                  <w:sz w:val="18"/>
                  <w:szCs w:val="18"/>
                  <w:color w:val="auto"/>
                  <w:w w:val="99"/>
                </w:rPr>
                <w:t>https://www.sec.gov/Archives/edgar/data/0000923796/00011931252</w:t>
              </w:r>
            </w:hyperlink>
          </w:p>
        </w:tc>
        <w:tc>
          <w:tcPr>
            <w:tcW w:w="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gridSpan w:val="8"/>
          </w:tcPr>
          <w:p>
            <w:pPr>
              <w:spacing w:after="0" w:line="196" w:lineRule="exact"/>
              <w:rPr>
                <w:rFonts w:ascii="Times New Roman" w:cs="Times New Roman" w:eastAsia="Times New Roman" w:hAnsi="Times New Roman"/>
                <w:sz w:val="18"/>
                <w:szCs w:val="18"/>
                <w:color w:val="auto"/>
              </w:rPr>
            </w:pPr>
            <w:hyperlink r:id="rId475">
              <w:r>
                <w:rPr>
                  <w:rFonts w:ascii="Times New Roman" w:cs="Times New Roman" w:eastAsia="Times New Roman" w:hAnsi="Times New Roman"/>
                  <w:sz w:val="18"/>
                  <w:szCs w:val="18"/>
                  <w:color w:val="auto"/>
                </w:rPr>
                <w:t>1065641/d85561dex41.htm</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line="20" w:lineRule="exact"/>
              <w:rPr>
                <w:sz w:val="1"/>
                <w:szCs w:val="1"/>
                <w:color w:val="auto"/>
              </w:rPr>
            </w:pPr>
          </w:p>
        </w:tc>
        <w:tc>
          <w:tcPr>
            <w:tcW w:w="5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7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30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Form of 6.50% Exchangeable Senior Notes due 2026 (included in</w:t>
            </w:r>
          </w:p>
        </w:tc>
        <w:tc>
          <w:tcPr>
            <w:tcW w:w="20" w:type="dxa"/>
            <w:vAlign w:val="bottom"/>
          </w:tcPr>
          <w:p>
            <w:pPr>
              <w:spacing w:after="0"/>
              <w:rPr>
                <w:sz w:val="14"/>
                <w:szCs w:val="14"/>
                <w:color w:val="auto"/>
              </w:rPr>
            </w:pPr>
          </w:p>
        </w:tc>
        <w:tc>
          <w:tcPr>
            <w:tcW w:w="5000" w:type="dxa"/>
            <w:vAlign w:val="bottom"/>
            <w:tcBorders>
              <w:right w:val="single" w:sz="8" w:color="auto"/>
            </w:tcBorders>
            <w:gridSpan w:val="7"/>
          </w:tcPr>
          <w:p>
            <w:pPr>
              <w:spacing w:after="0" w:line="169" w:lineRule="exact"/>
              <w:rPr>
                <w:rFonts w:ascii="Times New Roman" w:cs="Times New Roman" w:eastAsia="Times New Roman" w:hAnsi="Times New Roman"/>
                <w:sz w:val="18"/>
                <w:szCs w:val="18"/>
                <w:color w:val="auto"/>
                <w:w w:val="99"/>
              </w:rPr>
            </w:pPr>
            <w:hyperlink r:id="rId475">
              <w:r>
                <w:rPr>
                  <w:rFonts w:ascii="Times New Roman" w:cs="Times New Roman" w:eastAsia="Times New Roman" w:hAnsi="Times New Roman"/>
                  <w:sz w:val="18"/>
                  <w:szCs w:val="18"/>
                  <w:color w:val="auto"/>
                  <w:w w:val="99"/>
                </w:rPr>
                <w:t>https://www.sec.gov/Archives/edgar/data/0000923796/00011931252</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5300" w:type="dxa"/>
            <w:vAlign w:val="bottom"/>
            <w:tcBorders>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Exhibit 4.9).</w:t>
            </w: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75">
              <w:r>
                <w:rPr>
                  <w:rFonts w:ascii="Times New Roman" w:cs="Times New Roman" w:eastAsia="Times New Roman" w:hAnsi="Times New Roman"/>
                  <w:sz w:val="18"/>
                  <w:szCs w:val="18"/>
                  <w:color w:val="auto"/>
                </w:rPr>
                <w:t>1065641/d85561dex41.htm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53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3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Indenture, dated as of April 18, 2024, by and among The GEO Group,</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 the Initial Guarantors and Ankura Trust Company, LLC as trustee</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30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and collateral agent, relating to the 8.625% Senior Secured Notes due</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76">
              <w:r>
                <w:rPr>
                  <w:rFonts w:ascii="Times New Roman" w:cs="Times New Roman" w:eastAsia="Times New Roman" w:hAnsi="Times New Roman"/>
                  <w:sz w:val="18"/>
                  <w:szCs w:val="18"/>
                  <w:color w:val="auto"/>
                  <w:w w:val="99"/>
                </w:rPr>
                <w:t>https://www.sec.gov/Archives/edgar/data/923796/000119312524110</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530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2029 (incorporated by reference to Exhibit 4.1 to the Company's</w:t>
            </w:r>
          </w:p>
        </w:tc>
        <w:tc>
          <w:tcPr>
            <w:tcW w:w="20" w:type="dxa"/>
            <w:vAlign w:val="bottom"/>
          </w:tcPr>
          <w:p>
            <w:pPr>
              <w:spacing w:after="0"/>
              <w:rPr>
                <w:sz w:val="17"/>
                <w:szCs w:val="17"/>
                <w:color w:val="auto"/>
              </w:rPr>
            </w:pPr>
          </w:p>
        </w:tc>
        <w:tc>
          <w:tcPr>
            <w:tcW w:w="4960" w:type="dxa"/>
            <w:vAlign w:val="bottom"/>
            <w:tcBorders>
              <w:top w:val="single" w:sz="8" w:color="auto"/>
            </w:tcBorders>
            <w:gridSpan w:val="6"/>
          </w:tcPr>
          <w:p>
            <w:pPr>
              <w:spacing w:after="0" w:line="196" w:lineRule="exact"/>
              <w:rPr>
                <w:rFonts w:ascii="Times New Roman" w:cs="Times New Roman" w:eastAsia="Times New Roman" w:hAnsi="Times New Roman"/>
                <w:sz w:val="18"/>
                <w:szCs w:val="18"/>
                <w:color w:val="auto"/>
              </w:rPr>
            </w:pPr>
            <w:hyperlink r:id="rId476">
              <w:r>
                <w:rPr>
                  <w:rFonts w:ascii="Times New Roman" w:cs="Times New Roman" w:eastAsia="Times New Roman" w:hAnsi="Times New Roman"/>
                  <w:sz w:val="18"/>
                  <w:szCs w:val="18"/>
                  <w:color w:val="auto"/>
                </w:rPr>
                <w:t>253/d764760dex41.htm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ind w:left="456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808990</wp:posOffset>
            </wp:positionV>
            <wp:extent cx="655764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53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on April 24, 2024).**.</w:t>
            </w:r>
          </w:p>
        </w:tc>
        <w:tc>
          <w:tcPr>
            <w:tcW w:w="1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2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4.4</w:t>
            </w:r>
          </w:p>
        </w:tc>
        <w:tc>
          <w:tcPr>
            <w:tcW w:w="534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80" w:type="dxa"/>
            <w:vAlign w:val="bottom"/>
            <w:vMerge w:val="continue"/>
          </w:tcPr>
          <w:p>
            <w:pPr>
              <w:spacing w:after="0"/>
              <w:rPr>
                <w:sz w:val="14"/>
                <w:szCs w:val="14"/>
                <w:color w:val="auto"/>
              </w:rPr>
            </w:pPr>
          </w:p>
        </w:tc>
        <w:tc>
          <w:tcPr>
            <w:tcW w:w="534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Form of Secured Note (included in Exhibit 4.3).</w:t>
            </w:r>
          </w:p>
        </w:tc>
        <w:tc>
          <w:tcPr>
            <w:tcW w:w="5000" w:type="dxa"/>
            <w:vAlign w:val="bottom"/>
            <w:tcBorders>
              <w:right w:val="single" w:sz="8" w:color="auto"/>
            </w:tcBorders>
            <w:gridSpan w:val="4"/>
          </w:tcPr>
          <w:p>
            <w:pPr>
              <w:spacing w:after="0" w:line="169" w:lineRule="exact"/>
              <w:rPr>
                <w:rFonts w:ascii="Times New Roman" w:cs="Times New Roman" w:eastAsia="Times New Roman" w:hAnsi="Times New Roman"/>
                <w:sz w:val="18"/>
                <w:szCs w:val="18"/>
                <w:color w:val="auto"/>
                <w:w w:val="99"/>
              </w:rPr>
            </w:pPr>
            <w:hyperlink r:id="rId476">
              <w:r>
                <w:rPr>
                  <w:rFonts w:ascii="Times New Roman" w:cs="Times New Roman" w:eastAsia="Times New Roman" w:hAnsi="Times New Roman"/>
                  <w:sz w:val="18"/>
                  <w:szCs w:val="18"/>
                  <w:color w:val="auto"/>
                  <w:w w:val="99"/>
                </w:rPr>
                <w:t>https://www.sec.gov/Archives/edgar/data/923796/000119312524110</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340" w:type="dxa"/>
            <w:vAlign w:val="bottom"/>
            <w:tcBorders>
              <w:right w:val="single" w:sz="8" w:color="auto"/>
            </w:tcBorders>
          </w:tcPr>
          <w:p>
            <w:pPr>
              <w:spacing w:after="0"/>
              <w:rPr>
                <w:sz w:val="17"/>
                <w:szCs w:val="17"/>
                <w:color w:val="auto"/>
              </w:rPr>
            </w:pP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476">
              <w:r>
                <w:rPr>
                  <w:rFonts w:ascii="Times New Roman" w:cs="Times New Roman" w:eastAsia="Times New Roman" w:hAnsi="Times New Roman"/>
                  <w:sz w:val="18"/>
                  <w:szCs w:val="18"/>
                  <w:color w:val="auto"/>
                </w:rPr>
                <w:t>253/d764760dex41.htm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4.5</w:t>
            </w:r>
          </w:p>
        </w:tc>
        <w:tc>
          <w:tcPr>
            <w:tcW w:w="53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534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80" w:type="dxa"/>
            <w:vAlign w:val="bottom"/>
            <w:vMerge w:val="continue"/>
          </w:tcPr>
          <w:p>
            <w:pPr>
              <w:spacing w:after="0"/>
              <w:rPr>
                <w:sz w:val="16"/>
                <w:szCs w:val="16"/>
                <w:color w:val="auto"/>
              </w:rPr>
            </w:pPr>
          </w:p>
        </w:tc>
        <w:tc>
          <w:tcPr>
            <w:tcW w:w="53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Indenture, dated as of April 18, 2024, by and among The GEO Group,</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 the Initial Guarantors and Ankura Trust Company, LLC, as trustee,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relating to the 10.250% Senior Notes due 2031 (incorporated by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534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reference to Exhibit 4.3 to the Company's Current Report on Form 8-K</w:t>
            </w: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80">
              <w:r>
                <w:rPr>
                  <w:rFonts w:ascii="Times New Roman" w:cs="Times New Roman" w:eastAsia="Times New Roman" w:hAnsi="Times New Roman"/>
                  <w:sz w:val="18"/>
                  <w:szCs w:val="18"/>
                  <w:color w:val="auto"/>
                  <w:w w:val="99"/>
                </w:rPr>
                <w:t>https://www.sec.gov/Archives/edgar/data/923796/000119312524110</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34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filed on April 24, 2024).**</w:t>
            </w: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480">
              <w:r>
                <w:rPr>
                  <w:rFonts w:ascii="Times New Roman" w:cs="Times New Roman" w:eastAsia="Times New Roman" w:hAnsi="Times New Roman"/>
                  <w:sz w:val="18"/>
                  <w:szCs w:val="18"/>
                  <w:color w:val="auto"/>
                </w:rPr>
                <w:t>253/d764760dex43.htm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3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4.6</w:t>
            </w:r>
          </w:p>
        </w:tc>
        <w:tc>
          <w:tcPr>
            <w:tcW w:w="5340" w:type="dxa"/>
            <w:vAlign w:val="bottom"/>
            <w:tcBorders>
              <w:bottom w:val="single" w:sz="8" w:color="auto"/>
            </w:tcBorders>
          </w:tcPr>
          <w:p>
            <w:pPr>
              <w:spacing w:after="0"/>
              <w:rPr>
                <w:sz w:val="10"/>
                <w:szCs w:val="10"/>
                <w:color w:val="auto"/>
              </w:rPr>
            </w:pPr>
          </w:p>
        </w:tc>
        <w:tc>
          <w:tcPr>
            <w:tcW w:w="5000" w:type="dxa"/>
            <w:vAlign w:val="bottom"/>
            <w:gridSpan w:val="4"/>
            <w:vMerge w:val="restart"/>
          </w:tcPr>
          <w:p>
            <w:pPr>
              <w:spacing w:after="0"/>
              <w:rPr>
                <w:rFonts w:ascii="Times New Roman" w:cs="Times New Roman" w:eastAsia="Times New Roman" w:hAnsi="Times New Roman"/>
                <w:sz w:val="18"/>
                <w:szCs w:val="18"/>
                <w:color w:val="auto"/>
                <w:w w:val="99"/>
              </w:rPr>
            </w:pPr>
            <w:hyperlink r:id="rId480">
              <w:r>
                <w:rPr>
                  <w:rFonts w:ascii="Times New Roman" w:cs="Times New Roman" w:eastAsia="Times New Roman" w:hAnsi="Times New Roman"/>
                  <w:sz w:val="18"/>
                  <w:szCs w:val="18"/>
                  <w:color w:val="auto"/>
                  <w:w w:val="99"/>
                </w:rPr>
                <w:t>https://www.sec.gov/Archives/edgar/data/923796/000119312524110</w:t>
              </w:r>
            </w:hyperlink>
          </w:p>
        </w:tc>
        <w:tc>
          <w:tcPr>
            <w:tcW w:w="0" w:type="dxa"/>
            <w:vAlign w:val="bottom"/>
          </w:tcPr>
          <w:p>
            <w:pPr>
              <w:spacing w:after="0"/>
              <w:rPr>
                <w:sz w:val="1"/>
                <w:szCs w:val="1"/>
                <w:color w:val="auto"/>
              </w:rPr>
            </w:pPr>
          </w:p>
        </w:tc>
      </w:tr>
      <w:tr>
        <w:trPr>
          <w:trHeight w:val="169"/>
        </w:trPr>
        <w:tc>
          <w:tcPr>
            <w:tcW w:w="780" w:type="dxa"/>
            <w:vAlign w:val="bottom"/>
            <w:vMerge w:val="continue"/>
          </w:tcPr>
          <w:p>
            <w:pPr>
              <w:spacing w:after="0"/>
              <w:rPr>
                <w:sz w:val="14"/>
                <w:szCs w:val="14"/>
                <w:color w:val="auto"/>
              </w:rPr>
            </w:pPr>
          </w:p>
        </w:tc>
        <w:tc>
          <w:tcPr>
            <w:tcW w:w="53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Form of Unsecured Note (included in Exhibit 4.5).</w:t>
            </w:r>
          </w:p>
        </w:tc>
        <w:tc>
          <w:tcPr>
            <w:tcW w:w="5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340" w:type="dxa"/>
            <w:vAlign w:val="bottom"/>
            <w:tcBorders>
              <w:right w:val="single" w:sz="8" w:color="auto"/>
            </w:tcBorders>
          </w:tcPr>
          <w:p>
            <w:pPr>
              <w:spacing w:after="0"/>
              <w:rPr>
                <w:sz w:val="17"/>
                <w:szCs w:val="17"/>
                <w:color w:val="auto"/>
              </w:rPr>
            </w:pP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480">
              <w:r>
                <w:rPr>
                  <w:rFonts w:ascii="Times New Roman" w:cs="Times New Roman" w:eastAsia="Times New Roman" w:hAnsi="Times New Roman"/>
                  <w:sz w:val="18"/>
                  <w:szCs w:val="18"/>
                  <w:color w:val="auto"/>
                </w:rPr>
                <w:t>253/d764760dex43.htm</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4.7</w:t>
            </w:r>
          </w:p>
        </w:tc>
        <w:tc>
          <w:tcPr>
            <w:tcW w:w="53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780" w:type="dxa"/>
            <w:vAlign w:val="bottom"/>
            <w:vMerge w:val="continue"/>
          </w:tcPr>
          <w:p>
            <w:pPr>
              <w:spacing w:after="0"/>
              <w:rPr>
                <w:sz w:val="11"/>
                <w:szCs w:val="11"/>
                <w:color w:val="auto"/>
              </w:rPr>
            </w:pPr>
          </w:p>
        </w:tc>
        <w:tc>
          <w:tcPr>
            <w:tcW w:w="5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80" w:type="dxa"/>
            <w:vAlign w:val="bottom"/>
            <w:vMerge w:val="continue"/>
          </w:tcPr>
          <w:p>
            <w:pPr>
              <w:spacing w:after="0"/>
              <w:rPr>
                <w:sz w:val="16"/>
                <w:szCs w:val="16"/>
                <w:color w:val="auto"/>
              </w:rPr>
            </w:pPr>
          </w:p>
        </w:tc>
        <w:tc>
          <w:tcPr>
            <w:tcW w:w="53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Description of Registrant's Securities (incorporated by reference to</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534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exhibit 4.14 to the Company's Annual Report on Form 10-K filed on</w:t>
            </w: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81">
              <w:r>
                <w:rPr>
                  <w:rFonts w:ascii="Times New Roman" w:cs="Times New Roman" w:eastAsia="Times New Roman" w:hAnsi="Times New Roman"/>
                  <w:sz w:val="18"/>
                  <w:szCs w:val="18"/>
                  <w:color w:val="auto"/>
                  <w:w w:val="99"/>
                </w:rPr>
                <w:t>https://www.sec.gov/Archives/edgar/data/923796/000095017023004</w:t>
              </w:r>
            </w:hyperlink>
          </w:p>
        </w:tc>
        <w:tc>
          <w:tcPr>
            <w:tcW w:w="0" w:type="dxa"/>
            <w:vAlign w:val="bottom"/>
          </w:tcPr>
          <w:p>
            <w:pPr>
              <w:spacing w:after="0"/>
              <w:rPr>
                <w:sz w:val="1"/>
                <w:szCs w:val="1"/>
                <w:color w:val="auto"/>
              </w:rPr>
            </w:pPr>
          </w:p>
        </w:tc>
      </w:tr>
      <w:tr>
        <w:trPr>
          <w:trHeight w:val="196"/>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4.8</w:t>
            </w:r>
          </w:p>
        </w:tc>
        <w:tc>
          <w:tcPr>
            <w:tcW w:w="534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February 27, 2023).</w:t>
            </w: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481">
              <w:r>
                <w:rPr>
                  <w:rFonts w:ascii="Times New Roman" w:cs="Times New Roman" w:eastAsia="Times New Roman" w:hAnsi="Times New Roman"/>
                  <w:sz w:val="18"/>
                  <w:szCs w:val="18"/>
                  <w:color w:val="auto"/>
                </w:rPr>
                <w:t>713/geo-ex4_14.htm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vMerge w:val="continue"/>
          </w:tcPr>
          <w:p>
            <w:pPr>
              <w:spacing w:after="0" w:line="20" w:lineRule="exact"/>
              <w:rPr>
                <w:sz w:val="1"/>
                <w:szCs w:val="1"/>
                <w:color w:val="auto"/>
              </w:rPr>
            </w:pPr>
          </w:p>
        </w:tc>
        <w:tc>
          <w:tcPr>
            <w:tcW w:w="53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80" w:type="dxa"/>
            <w:vAlign w:val="bottom"/>
            <w:vMerge w:val="continue"/>
          </w:tcPr>
          <w:p>
            <w:pPr>
              <w:spacing w:after="0"/>
              <w:rPr>
                <w:sz w:val="16"/>
                <w:szCs w:val="16"/>
                <w:color w:val="auto"/>
              </w:rPr>
            </w:pPr>
          </w:p>
        </w:tc>
        <w:tc>
          <w:tcPr>
            <w:tcW w:w="53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Form  of  Indenture  for  Senior  Debt  Securities  (incorporated  by</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534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reference to Exhibit 4.1 to the Company's registration statement on</w:t>
            </w: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82">
              <w:r>
                <w:rPr>
                  <w:rFonts w:ascii="Times New Roman" w:cs="Times New Roman" w:eastAsia="Times New Roman" w:hAnsi="Times New Roman"/>
                  <w:sz w:val="18"/>
                  <w:szCs w:val="18"/>
                  <w:color w:val="auto"/>
                  <w:w w:val="99"/>
                </w:rPr>
                <w:t>https://www.sec.gov/Archives/edgar/data/923796/000119312523266</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3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Form S-3ASR, filed on October 30, 2023).</w:t>
            </w: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482">
              <w:r>
                <w:rPr>
                  <w:rFonts w:ascii="Times New Roman" w:cs="Times New Roman" w:eastAsia="Times New Roman" w:hAnsi="Times New Roman"/>
                  <w:sz w:val="18"/>
                  <w:szCs w:val="18"/>
                  <w:color w:val="auto"/>
                </w:rPr>
                <w:t>272/d531971dex41.htm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4.9</w:t>
            </w:r>
          </w:p>
        </w:tc>
        <w:tc>
          <w:tcPr>
            <w:tcW w:w="53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5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80" w:type="dxa"/>
            <w:vAlign w:val="bottom"/>
            <w:vMerge w:val="continue"/>
          </w:tcPr>
          <w:p>
            <w:pPr>
              <w:spacing w:after="0"/>
              <w:rPr>
                <w:sz w:val="16"/>
                <w:szCs w:val="16"/>
                <w:color w:val="auto"/>
              </w:rPr>
            </w:pPr>
          </w:p>
        </w:tc>
        <w:tc>
          <w:tcPr>
            <w:tcW w:w="53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Form of Indenture for Subordinated Debt Securities (incorporated by</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534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reference to Exhibit 4.2 to the Company's registration statement on</w:t>
            </w: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83">
              <w:r>
                <w:rPr>
                  <w:rFonts w:ascii="Times New Roman" w:cs="Times New Roman" w:eastAsia="Times New Roman" w:hAnsi="Times New Roman"/>
                  <w:sz w:val="18"/>
                  <w:szCs w:val="18"/>
                  <w:color w:val="auto"/>
                  <w:w w:val="99"/>
                </w:rPr>
                <w:t>https://www.sec.gov/Archives/edgar/data/923796/000119312523266</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3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Form S-3ASR, filed on October 30, 2023).</w:t>
            </w: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483">
              <w:r>
                <w:rPr>
                  <w:rFonts w:ascii="Times New Roman" w:cs="Times New Roman" w:eastAsia="Times New Roman" w:hAnsi="Times New Roman"/>
                  <w:sz w:val="18"/>
                  <w:szCs w:val="18"/>
                  <w:color w:val="auto"/>
                </w:rPr>
                <w:t>272/d531971dex42.htm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53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780" w:type="dxa"/>
            <w:vAlign w:val="bottom"/>
            <w:vMerge w:val="continue"/>
          </w:tcPr>
          <w:p>
            <w:pPr>
              <w:spacing w:after="0"/>
              <w:rPr>
                <w:sz w:val="9"/>
                <w:szCs w:val="9"/>
                <w:color w:val="auto"/>
              </w:rPr>
            </w:pPr>
          </w:p>
        </w:tc>
        <w:tc>
          <w:tcPr>
            <w:tcW w:w="53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780" w:type="dxa"/>
            <w:vAlign w:val="bottom"/>
            <w:vMerge w:val="continue"/>
          </w:tcPr>
          <w:p>
            <w:pPr>
              <w:spacing w:after="0"/>
              <w:rPr>
                <w:sz w:val="16"/>
                <w:szCs w:val="16"/>
                <w:color w:val="auto"/>
              </w:rPr>
            </w:pPr>
          </w:p>
        </w:tc>
        <w:tc>
          <w:tcPr>
            <w:tcW w:w="5340" w:type="dxa"/>
            <w:vAlign w:val="bottom"/>
            <w:tcBorders>
              <w:left w:val="single" w:sz="8" w:color="auto"/>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Form of Indemnification Agreement between the Company and its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Officers and Directors (incorporated herein by reference to Exhibit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10.3 to the Company’s registration statement on Form S-1, filed on</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80" w:type="dxa"/>
            <w:vAlign w:val="bottom"/>
          </w:tcPr>
          <w:p>
            <w:pPr>
              <w:spacing w:after="0"/>
              <w:rPr>
                <w:sz w:val="20"/>
                <w:szCs w:val="20"/>
                <w:color w:val="auto"/>
              </w:rPr>
            </w:pPr>
          </w:p>
        </w:tc>
        <w:tc>
          <w:tcPr>
            <w:tcW w:w="53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24, 1994) (P)</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-579755</wp:posOffset>
            </wp:positionV>
            <wp:extent cx="3231515" cy="5911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3231515" cy="591185"/>
                    </a:xfrm>
                    <a:prstGeom prst="rect">
                      <a:avLst/>
                    </a:prstGeom>
                    <a:noFill/>
                  </pic:spPr>
                </pic:pic>
              </a:graphicData>
            </a:graphic>
          </wp:anchor>
        </w:drawing>
      </w:r>
    </w:p>
    <w:p>
      <w:pPr>
        <w:sectPr>
          <w:pgSz w:w="11900" w:h="16838" w:orient="portrait"/>
          <w:cols w:equalWidth="0" w:num="1">
            <w:col w:w="11120"/>
          </w:cols>
          <w:pgMar w:left="440" w:top="1253" w:right="33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GEO Group, Inc. Senior Management Performance Award Plan, as Amended and Restated (incorporated by reference to Exhibit 10.3 to the Company's Annual Report on Form 10-K, filed on February 26,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-570230</wp:posOffset>
            </wp:positionV>
            <wp:extent cx="6560185" cy="9467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6560185" cy="946785"/>
                    </a:xfrm>
                    <a:prstGeom prst="rect">
                      <a:avLst/>
                    </a:prstGeom>
                    <a:noFill/>
                  </pic:spPr>
                </pic:pic>
              </a:graphicData>
            </a:graphic>
          </wp:anchor>
        </w:drawing>
      </w:r>
    </w:p>
    <w:p>
      <w:pPr>
        <w:spacing w:after="0" w:line="106" w:lineRule="exact"/>
        <w:rPr>
          <w:sz w:val="20"/>
          <w:szCs w:val="20"/>
          <w:color w:val="auto"/>
        </w:rPr>
      </w:pPr>
    </w:p>
    <w:p>
      <w:pPr>
        <w:jc w:val="both"/>
        <w:ind w:right="20"/>
        <w:spacing w:after="0" w:line="282" w:lineRule="auto"/>
        <w:rPr>
          <w:rFonts w:ascii="Times New Roman" w:cs="Times New Roman" w:eastAsia="Times New Roman" w:hAnsi="Times New Roman"/>
          <w:sz w:val="18"/>
          <w:szCs w:val="18"/>
          <w:color w:val="auto"/>
        </w:rPr>
      </w:pPr>
      <w:hyperlink r:id="rId486">
        <w:r>
          <w:rPr>
            <w:rFonts w:ascii="Times New Roman" w:cs="Times New Roman" w:eastAsia="Times New Roman" w:hAnsi="Times New Roman"/>
            <w:sz w:val="18"/>
            <w:szCs w:val="18"/>
            <w:color w:val="auto"/>
          </w:rPr>
          <w:t>Amendment to The GEO Group, Inc. Senior Management Performance</w:t>
        </w:r>
      </w:hyperlink>
      <w:r>
        <w:rPr>
          <w:rFonts w:ascii="Times New Roman" w:cs="Times New Roman" w:eastAsia="Times New Roman" w:hAnsi="Times New Roman"/>
          <w:sz w:val="18"/>
          <w:szCs w:val="18"/>
          <w:color w:val="auto"/>
        </w:rPr>
        <w:t xml:space="preserve"> </w:t>
      </w:r>
      <w:hyperlink r:id="rId486">
        <w:r>
          <w:rPr>
            <w:rFonts w:ascii="Times New Roman" w:cs="Times New Roman" w:eastAsia="Times New Roman" w:hAnsi="Times New Roman"/>
            <w:sz w:val="18"/>
            <w:szCs w:val="18"/>
            <w:color w:val="auto"/>
          </w:rPr>
          <w:t>Award Plan (incorporated by reference to</w:t>
        </w:r>
      </w:hyperlink>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40"/>
        <w:spacing w:after="0" w:line="312" w:lineRule="auto"/>
        <w:rPr>
          <w:rFonts w:ascii="Times New Roman" w:cs="Times New Roman" w:eastAsia="Times New Roman" w:hAnsi="Times New Roman"/>
          <w:sz w:val="17"/>
          <w:szCs w:val="17"/>
          <w:color w:val="auto"/>
        </w:rPr>
      </w:pPr>
      <w:hyperlink r:id="rId488">
        <w:r>
          <w:rPr>
            <w:rFonts w:ascii="Times New Roman" w:cs="Times New Roman" w:eastAsia="Times New Roman" w:hAnsi="Times New Roman"/>
            <w:sz w:val="17"/>
            <w:szCs w:val="17"/>
            <w:color w:val="auto"/>
          </w:rPr>
          <w:t>https://www.sec.gov/Archives/edgar/data/923796/000119312519050</w:t>
        </w:r>
      </w:hyperlink>
      <w:r>
        <w:rPr>
          <w:rFonts w:ascii="Times New Roman" w:cs="Times New Roman" w:eastAsia="Times New Roman" w:hAnsi="Times New Roman"/>
          <w:sz w:val="17"/>
          <w:szCs w:val="17"/>
          <w:color w:val="auto"/>
        </w:rPr>
        <w:t xml:space="preserve"> </w:t>
      </w:r>
      <w:hyperlink r:id="rId488">
        <w:r>
          <w:rPr>
            <w:rFonts w:ascii="Times New Roman" w:cs="Times New Roman" w:eastAsia="Times New Roman" w:hAnsi="Times New Roman"/>
            <w:sz w:val="17"/>
            <w:szCs w:val="17"/>
            <w:color w:val="auto"/>
          </w:rPr>
          <w:t>054/d663410dex103.htm</w:t>
        </w:r>
      </w:hyperlink>
    </w:p>
    <w:p>
      <w:pPr>
        <w:spacing w:after="0" w:line="86" w:lineRule="exact"/>
        <w:rPr>
          <w:sz w:val="20"/>
          <w:szCs w:val="20"/>
          <w:color w:val="auto"/>
        </w:rPr>
      </w:pPr>
    </w:p>
    <w:p>
      <w:pPr>
        <w:ind w:right="40"/>
        <w:spacing w:after="0" w:line="312" w:lineRule="auto"/>
        <w:rPr>
          <w:rFonts w:ascii="Times New Roman" w:cs="Times New Roman" w:eastAsia="Times New Roman" w:hAnsi="Times New Roman"/>
          <w:sz w:val="17"/>
          <w:szCs w:val="17"/>
          <w:u w:val="single" w:color="auto"/>
          <w:color w:val="auto"/>
        </w:rPr>
      </w:pPr>
      <w:hyperlink r:id="rId486">
        <w:r>
          <w:rPr>
            <w:rFonts w:ascii="Times New Roman" w:cs="Times New Roman" w:eastAsia="Times New Roman" w:hAnsi="Times New Roman"/>
            <w:sz w:val="17"/>
            <w:szCs w:val="17"/>
            <w:u w:val="single" w:color="auto"/>
            <w:color w:val="auto"/>
          </w:rPr>
          <w:t>https://www.sec.gov/Archives/edgar/data/923796/000095017023004</w:t>
        </w:r>
      </w:hyperlink>
      <w:r>
        <w:rPr>
          <w:rFonts w:ascii="Times New Roman" w:cs="Times New Roman" w:eastAsia="Times New Roman" w:hAnsi="Times New Roman"/>
          <w:sz w:val="17"/>
          <w:szCs w:val="17"/>
          <w:u w:val="single" w:color="auto"/>
          <w:color w:val="auto"/>
        </w:rPr>
        <w:t xml:space="preserve"> </w:t>
      </w:r>
      <w:hyperlink r:id="rId486">
        <w:r>
          <w:rPr>
            <w:rFonts w:ascii="Times New Roman" w:cs="Times New Roman" w:eastAsia="Times New Roman" w:hAnsi="Times New Roman"/>
            <w:sz w:val="17"/>
            <w:szCs w:val="17"/>
            <w:u w:val="single" w:color="auto"/>
            <w:color w:val="auto"/>
          </w:rPr>
          <w:t>713/geo-ex10_3.htm</w:t>
        </w:r>
      </w:hyperlink>
    </w:p>
    <w:p>
      <w:pPr>
        <w:sectPr>
          <w:pgSz w:w="11900" w:h="16838" w:orient="portrait"/>
          <w:cols w:equalWidth="0" w:num="3">
            <w:col w:w="300" w:space="540"/>
            <w:col w:w="5180" w:space="100"/>
            <w:col w:w="5000"/>
          </w:cols>
          <w:pgMar w:left="440" w:top="1253" w:right="339" w:bottom="1440" w:gutter="0" w:footer="0" w:header="0"/>
          <w:type w:val="continuous"/>
        </w:sectPr>
      </w:pPr>
    </w:p>
    <w:bookmarkStart w:id="139" w:name="page140"/>
    <w:bookmarkEnd w:id="139"/>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10.11</w:t>
      </w:r>
    </w:p>
    <w:p>
      <w:pPr>
        <w:spacing w:after="0" w:line="20" w:lineRule="exact"/>
        <w:rPr>
          <w:sz w:val="20"/>
          <w:szCs w:val="20"/>
          <w:color w:val="auto"/>
        </w:rPr>
      </w:pPr>
      <w:r>
        <w:rPr>
          <w:sz w:val="20"/>
          <w:szCs w:val="20"/>
          <w:color w:val="auto"/>
        </w:rPr>
        <w:br w:type="column"/>
      </w:r>
    </w:p>
    <w:p>
      <w:pPr>
        <w:ind w:left="60"/>
        <w:spacing w:after="0"/>
        <w:rPr>
          <w:rFonts w:ascii="Times New Roman" w:cs="Times New Roman" w:eastAsia="Times New Roman" w:hAnsi="Times New Roman"/>
          <w:sz w:val="18"/>
          <w:szCs w:val="18"/>
          <w:color w:val="auto"/>
        </w:rPr>
      </w:pPr>
      <w:hyperlink r:id="rId486">
        <w:r>
          <w:rPr>
            <w:rFonts w:ascii="Times New Roman" w:cs="Times New Roman" w:eastAsia="Times New Roman" w:hAnsi="Times New Roman"/>
            <w:sz w:val="18"/>
            <w:szCs w:val="18"/>
            <w:color w:val="auto"/>
          </w:rPr>
          <w:t>exhibit 10.3 to the Company's Annual Report on Form 10-K filed 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-129540</wp:posOffset>
            </wp:positionV>
            <wp:extent cx="6560185" cy="2952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6560185" cy="295275"/>
                    </a:xfrm>
                    <a:prstGeom prst="rect">
                      <a:avLst/>
                    </a:prstGeom>
                    <a:noFill/>
                  </pic:spPr>
                </pic:pic>
              </a:graphicData>
            </a:graphic>
          </wp:anchor>
        </w:drawing>
      </w:r>
    </w:p>
    <w:p>
      <w:pPr>
        <w:spacing w:after="0" w:line="7" w:lineRule="exact"/>
        <w:rPr>
          <w:sz w:val="20"/>
          <w:szCs w:val="20"/>
          <w:color w:val="auto"/>
        </w:rPr>
      </w:pPr>
    </w:p>
    <w:p>
      <w:pPr>
        <w:ind w:left="60"/>
        <w:spacing w:after="0"/>
        <w:rPr>
          <w:rFonts w:ascii="Times New Roman" w:cs="Times New Roman" w:eastAsia="Times New Roman" w:hAnsi="Times New Roman"/>
          <w:sz w:val="18"/>
          <w:szCs w:val="18"/>
          <w:color w:val="auto"/>
        </w:rPr>
      </w:pPr>
      <w:hyperlink r:id="rId486">
        <w:r>
          <w:rPr>
            <w:rFonts w:ascii="Times New Roman" w:cs="Times New Roman" w:eastAsia="Times New Roman" w:hAnsi="Times New Roman"/>
            <w:sz w:val="18"/>
            <w:szCs w:val="18"/>
            <w:color w:val="auto"/>
          </w:rPr>
          <w:t>February 27, 2023). †</w:t>
        </w:r>
      </w:hyperlink>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5320" w:type="dxa"/>
            <w:vAlign w:val="bottom"/>
            <w:tcBorders>
              <w:top w:val="single" w:sz="8" w:color="auto"/>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191"/>
        </w:trPr>
        <w:tc>
          <w:tcPr>
            <w:tcW w:w="532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Amended  and  Restated  The  GEO  Group,  Inc.  Senior  Officer</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16"/>
        </w:trPr>
        <w:tc>
          <w:tcPr>
            <w:tcW w:w="5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Retirement  Plan,  effective  December  31,  2008  (incorporated  by</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194"/>
        </w:trPr>
        <w:tc>
          <w:tcPr>
            <w:tcW w:w="5320" w:type="dxa"/>
            <w:vAlign w:val="bottom"/>
            <w:tcBorders>
              <w:left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reference to Exhibit 10.8 to the Company’s Current Report on Form 8-</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90">
              <w:r>
                <w:rPr>
                  <w:rFonts w:ascii="Times New Roman" w:cs="Times New Roman" w:eastAsia="Times New Roman" w:hAnsi="Times New Roman"/>
                  <w:sz w:val="18"/>
                  <w:szCs w:val="18"/>
                  <w:color w:val="auto"/>
                  <w:w w:val="99"/>
                </w:rPr>
                <w:t>https://www.sec.gov/Archives/edgar/data/923796/000095014409000</w:t>
              </w:r>
            </w:hyperlink>
          </w:p>
        </w:tc>
      </w:tr>
      <w:tr>
        <w:trPr>
          <w:trHeight w:val="196"/>
        </w:trPr>
        <w:tc>
          <w:tcPr>
            <w:tcW w:w="5320" w:type="dxa"/>
            <w:vAlign w:val="bottom"/>
            <w:tcBorders>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K January 7, 2009) †</w:t>
            </w: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90">
              <w:r>
                <w:rPr>
                  <w:rFonts w:ascii="Times New Roman" w:cs="Times New Roman" w:eastAsia="Times New Roman" w:hAnsi="Times New Roman"/>
                  <w:sz w:val="18"/>
                  <w:szCs w:val="18"/>
                  <w:color w:val="auto"/>
                </w:rPr>
                <w:t>110/g17230exv10w8.htm</w:t>
              </w:r>
            </w:hyperlink>
          </w:p>
        </w:tc>
        <w:tc>
          <w:tcPr>
            <w:tcW w:w="40" w:type="dxa"/>
            <w:vAlign w:val="bottom"/>
            <w:tcBorders>
              <w:right w:val="single" w:sz="8" w:color="auto"/>
            </w:tcBorders>
          </w:tcPr>
          <w:p>
            <w:pPr>
              <w:spacing w:after="0"/>
              <w:rPr>
                <w:sz w:val="17"/>
                <w:szCs w:val="17"/>
                <w:color w:val="auto"/>
              </w:rPr>
            </w:pPr>
          </w:p>
        </w:tc>
      </w:tr>
      <w:tr>
        <w:trPr>
          <w:trHeight w:val="21"/>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5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194"/>
        </w:trPr>
        <w:tc>
          <w:tcPr>
            <w:tcW w:w="5320" w:type="dxa"/>
            <w:vAlign w:val="bottom"/>
            <w:tcBorders>
              <w:left w:val="single" w:sz="8" w:color="auto"/>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Amended and Restated The GEO Group, Inc. Executive Retirement</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16"/>
        </w:trPr>
        <w:tc>
          <w:tcPr>
            <w:tcW w:w="5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 (effective January 1, 2008) (incorporated by reference to Exhibit</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194"/>
        </w:trPr>
        <w:tc>
          <w:tcPr>
            <w:tcW w:w="5320" w:type="dxa"/>
            <w:vAlign w:val="bottom"/>
            <w:tcBorders>
              <w:left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10.36 to the Company’s Quarterly Report on Form 10-K, filed on</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91">
              <w:r>
                <w:rPr>
                  <w:rFonts w:ascii="Times New Roman" w:cs="Times New Roman" w:eastAsia="Times New Roman" w:hAnsi="Times New Roman"/>
                  <w:sz w:val="18"/>
                  <w:szCs w:val="18"/>
                  <w:color w:val="auto"/>
                  <w:w w:val="99"/>
                </w:rPr>
                <w:t>https://www.sec.gov/Archives/edgar/data/923796/000119312512090</w:t>
              </w:r>
            </w:hyperlink>
          </w:p>
        </w:tc>
      </w:tr>
      <w:tr>
        <w:trPr>
          <w:trHeight w:val="196"/>
        </w:trPr>
        <w:tc>
          <w:tcPr>
            <w:tcW w:w="5320" w:type="dxa"/>
            <w:vAlign w:val="bottom"/>
            <w:tcBorders>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March 1, 2012) †</w:t>
            </w: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91">
              <w:r>
                <w:rPr>
                  <w:rFonts w:ascii="Times New Roman" w:cs="Times New Roman" w:eastAsia="Times New Roman" w:hAnsi="Times New Roman"/>
                  <w:sz w:val="18"/>
                  <w:szCs w:val="18"/>
                  <w:color w:val="auto"/>
                </w:rPr>
                <w:t>269/d259590dex1036.htm</w:t>
              </w:r>
            </w:hyperlink>
          </w:p>
        </w:tc>
        <w:tc>
          <w:tcPr>
            <w:tcW w:w="40" w:type="dxa"/>
            <w:vAlign w:val="bottom"/>
            <w:tcBorders>
              <w:right w:val="single" w:sz="8" w:color="auto"/>
            </w:tcBorders>
          </w:tcPr>
          <w:p>
            <w:pPr>
              <w:spacing w:after="0"/>
              <w:rPr>
                <w:sz w:val="17"/>
                <w:szCs w:val="17"/>
                <w:color w:val="auto"/>
              </w:rPr>
            </w:pPr>
          </w:p>
        </w:tc>
      </w:tr>
      <w:tr>
        <w:trPr>
          <w:trHeight w:val="20"/>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2"/>
        </w:trPr>
        <w:tc>
          <w:tcPr>
            <w:tcW w:w="5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4"/>
        </w:trPr>
        <w:tc>
          <w:tcPr>
            <w:tcW w:w="5320" w:type="dxa"/>
            <w:vAlign w:val="bottom"/>
            <w:tcBorders>
              <w:left w:val="single" w:sz="8" w:color="auto"/>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Amendment to The GEO Group, Inc. Executive Retirement Plan</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194"/>
        </w:trPr>
        <w:tc>
          <w:tcPr>
            <w:tcW w:w="5320" w:type="dxa"/>
            <w:vAlign w:val="bottom"/>
            <w:tcBorders>
              <w:left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10.37 to the Company’s Annual</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92">
              <w:r>
                <w:rPr>
                  <w:rFonts w:ascii="Times New Roman" w:cs="Times New Roman" w:eastAsia="Times New Roman" w:hAnsi="Times New Roman"/>
                  <w:sz w:val="18"/>
                  <w:szCs w:val="18"/>
                  <w:color w:val="auto"/>
                  <w:w w:val="99"/>
                </w:rPr>
                <w:t>https://www.sec.gov/Archives/edgar/data/923796/000119312512090</w:t>
              </w:r>
            </w:hyperlink>
          </w:p>
        </w:tc>
      </w:tr>
      <w:tr>
        <w:trPr>
          <w:trHeight w:val="196"/>
        </w:trPr>
        <w:tc>
          <w:tcPr>
            <w:tcW w:w="5320" w:type="dxa"/>
            <w:vAlign w:val="bottom"/>
            <w:tcBorders>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Report on Form 10-K, filed on March 1, 2012) †</w:t>
            </w: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92">
              <w:r>
                <w:rPr>
                  <w:rFonts w:ascii="Times New Roman" w:cs="Times New Roman" w:eastAsia="Times New Roman" w:hAnsi="Times New Roman"/>
                  <w:sz w:val="18"/>
                  <w:szCs w:val="18"/>
                  <w:color w:val="auto"/>
                </w:rPr>
                <w:t>269/d259590dex1037.htm</w:t>
              </w:r>
            </w:hyperlink>
          </w:p>
        </w:tc>
        <w:tc>
          <w:tcPr>
            <w:tcW w:w="40" w:type="dxa"/>
            <w:vAlign w:val="bottom"/>
            <w:tcBorders>
              <w:right w:val="single" w:sz="8" w:color="auto"/>
            </w:tcBorders>
          </w:tcPr>
          <w:p>
            <w:pPr>
              <w:spacing w:after="0"/>
              <w:rPr>
                <w:sz w:val="17"/>
                <w:szCs w:val="17"/>
                <w:color w:val="auto"/>
              </w:rPr>
            </w:pPr>
          </w:p>
        </w:tc>
      </w:tr>
      <w:tr>
        <w:trPr>
          <w:trHeight w:val="20"/>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26"/>
        </w:trPr>
        <w:tc>
          <w:tcPr>
            <w:tcW w:w="5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194"/>
        </w:trPr>
        <w:tc>
          <w:tcPr>
            <w:tcW w:w="5320" w:type="dxa"/>
            <w:vAlign w:val="bottom"/>
            <w:tcBorders>
              <w:left w:val="single" w:sz="8" w:color="auto"/>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The GEO Group, Inc. Deferred Compensation Plan (as amended and</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16"/>
        </w:trPr>
        <w:tc>
          <w:tcPr>
            <w:tcW w:w="5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restated effective January 1, 2008) (incorporated by reference to</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194"/>
        </w:trPr>
        <w:tc>
          <w:tcPr>
            <w:tcW w:w="5320" w:type="dxa"/>
            <w:vAlign w:val="bottom"/>
            <w:tcBorders>
              <w:left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Exhibit 10.38 to the Company’s Annual Report on Form 10-K, filed on</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93">
              <w:r>
                <w:rPr>
                  <w:rFonts w:ascii="Times New Roman" w:cs="Times New Roman" w:eastAsia="Times New Roman" w:hAnsi="Times New Roman"/>
                  <w:sz w:val="18"/>
                  <w:szCs w:val="18"/>
                  <w:color w:val="auto"/>
                  <w:w w:val="99"/>
                </w:rPr>
                <w:t>https://www.sec.gov/Archives/edgar/data/923796/000119312512090</w:t>
              </w:r>
            </w:hyperlink>
          </w:p>
        </w:tc>
      </w:tr>
      <w:tr>
        <w:trPr>
          <w:trHeight w:val="196"/>
        </w:trPr>
        <w:tc>
          <w:tcPr>
            <w:tcW w:w="5320" w:type="dxa"/>
            <w:vAlign w:val="bottom"/>
            <w:tcBorders>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March 1, 2012) †</w:t>
            </w: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93">
              <w:r>
                <w:rPr>
                  <w:rFonts w:ascii="Times New Roman" w:cs="Times New Roman" w:eastAsia="Times New Roman" w:hAnsi="Times New Roman"/>
                  <w:sz w:val="18"/>
                  <w:szCs w:val="18"/>
                  <w:color w:val="auto"/>
                </w:rPr>
                <w:t>269/d259590dex1038.htm</w:t>
              </w:r>
            </w:hyperlink>
          </w:p>
        </w:tc>
        <w:tc>
          <w:tcPr>
            <w:tcW w:w="40" w:type="dxa"/>
            <w:vAlign w:val="bottom"/>
            <w:tcBorders>
              <w:right w:val="single" w:sz="8" w:color="auto"/>
            </w:tcBorders>
          </w:tcPr>
          <w:p>
            <w:pPr>
              <w:spacing w:after="0"/>
              <w:rPr>
                <w:sz w:val="17"/>
                <w:szCs w:val="17"/>
                <w:color w:val="auto"/>
              </w:rPr>
            </w:pPr>
          </w:p>
        </w:tc>
      </w:tr>
      <w:tr>
        <w:trPr>
          <w:trHeight w:val="20"/>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2"/>
        </w:trPr>
        <w:tc>
          <w:tcPr>
            <w:tcW w:w="5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4"/>
        </w:trPr>
        <w:tc>
          <w:tcPr>
            <w:tcW w:w="5320" w:type="dxa"/>
            <w:vAlign w:val="bottom"/>
            <w:tcBorders>
              <w:left w:val="single" w:sz="8" w:color="auto"/>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Amendment to The GEO Group, Inc. Deferred Compensation Plan</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194"/>
        </w:trPr>
        <w:tc>
          <w:tcPr>
            <w:tcW w:w="5320" w:type="dxa"/>
            <w:vAlign w:val="bottom"/>
            <w:tcBorders>
              <w:left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10.39 to the Company’s Annual</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94">
              <w:r>
                <w:rPr>
                  <w:rFonts w:ascii="Times New Roman" w:cs="Times New Roman" w:eastAsia="Times New Roman" w:hAnsi="Times New Roman"/>
                  <w:sz w:val="18"/>
                  <w:szCs w:val="18"/>
                  <w:color w:val="auto"/>
                  <w:w w:val="99"/>
                </w:rPr>
                <w:t>https://www.sec.gov/Archives/edgar/data/0000923796/00011931251</w:t>
              </w:r>
            </w:hyperlink>
          </w:p>
        </w:tc>
      </w:tr>
      <w:tr>
        <w:trPr>
          <w:trHeight w:val="196"/>
        </w:trPr>
        <w:tc>
          <w:tcPr>
            <w:tcW w:w="5320" w:type="dxa"/>
            <w:vAlign w:val="bottom"/>
            <w:tcBorders>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Report on Form 10-K, filed on March 1, 2012) †</w:t>
            </w: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94">
              <w:r>
                <w:rPr>
                  <w:rFonts w:ascii="Times New Roman" w:cs="Times New Roman" w:eastAsia="Times New Roman" w:hAnsi="Times New Roman"/>
                  <w:sz w:val="18"/>
                  <w:szCs w:val="18"/>
                  <w:color w:val="auto"/>
                </w:rPr>
                <w:t>2090269/d259590dex1039.htm</w:t>
              </w:r>
            </w:hyperlink>
          </w:p>
        </w:tc>
        <w:tc>
          <w:tcPr>
            <w:tcW w:w="40" w:type="dxa"/>
            <w:vAlign w:val="bottom"/>
            <w:tcBorders>
              <w:right w:val="single" w:sz="8" w:color="auto"/>
            </w:tcBorders>
          </w:tcPr>
          <w:p>
            <w:pPr>
              <w:spacing w:after="0"/>
              <w:rPr>
                <w:sz w:val="17"/>
                <w:szCs w:val="17"/>
                <w:color w:val="auto"/>
              </w:rPr>
            </w:pPr>
          </w:p>
        </w:tc>
      </w:tr>
      <w:tr>
        <w:trPr>
          <w:trHeight w:val="20"/>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2"/>
        </w:trPr>
        <w:tc>
          <w:tcPr>
            <w:tcW w:w="5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4"/>
        </w:trPr>
        <w:tc>
          <w:tcPr>
            <w:tcW w:w="5320" w:type="dxa"/>
            <w:vAlign w:val="bottom"/>
            <w:tcBorders>
              <w:left w:val="single" w:sz="8" w:color="auto"/>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Amendment to The GEO Group, Inc. Deferred Compensation Plan</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194"/>
        </w:trPr>
        <w:tc>
          <w:tcPr>
            <w:tcW w:w="5320" w:type="dxa"/>
            <w:vAlign w:val="bottom"/>
            <w:tcBorders>
              <w:left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10.40 to the Company’s Annual</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95">
              <w:r>
                <w:rPr>
                  <w:rFonts w:ascii="Times New Roman" w:cs="Times New Roman" w:eastAsia="Times New Roman" w:hAnsi="Times New Roman"/>
                  <w:sz w:val="18"/>
                  <w:szCs w:val="18"/>
                  <w:color w:val="auto"/>
                  <w:w w:val="99"/>
                </w:rPr>
                <w:t>https://www.sec.gov/Archives/edgar/data/923796/000119312512090</w:t>
              </w:r>
            </w:hyperlink>
          </w:p>
        </w:tc>
      </w:tr>
      <w:tr>
        <w:trPr>
          <w:trHeight w:val="196"/>
        </w:trPr>
        <w:tc>
          <w:tcPr>
            <w:tcW w:w="5320" w:type="dxa"/>
            <w:vAlign w:val="bottom"/>
            <w:tcBorders>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Report on Form 10-K, filed on March 1, 2012) †</w:t>
            </w: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95">
              <w:r>
                <w:rPr>
                  <w:rFonts w:ascii="Times New Roman" w:cs="Times New Roman" w:eastAsia="Times New Roman" w:hAnsi="Times New Roman"/>
                  <w:sz w:val="18"/>
                  <w:szCs w:val="18"/>
                  <w:color w:val="auto"/>
                </w:rPr>
                <w:t>269/d259590dex1040.htm</w:t>
              </w:r>
            </w:hyperlink>
          </w:p>
        </w:tc>
        <w:tc>
          <w:tcPr>
            <w:tcW w:w="40" w:type="dxa"/>
            <w:vAlign w:val="bottom"/>
            <w:tcBorders>
              <w:right w:val="single" w:sz="8" w:color="auto"/>
            </w:tcBorders>
          </w:tcPr>
          <w:p>
            <w:pPr>
              <w:spacing w:after="0"/>
              <w:rPr>
                <w:sz w:val="17"/>
                <w:szCs w:val="17"/>
                <w:color w:val="auto"/>
              </w:rPr>
            </w:pPr>
          </w:p>
        </w:tc>
      </w:tr>
      <w:tr>
        <w:trPr>
          <w:trHeight w:val="20"/>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191"/>
        </w:trPr>
        <w:tc>
          <w:tcPr>
            <w:tcW w:w="53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GEO Group, Inc. Second Amended and Restated 2018 Stock</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194"/>
        </w:trPr>
        <w:tc>
          <w:tcPr>
            <w:tcW w:w="5320" w:type="dxa"/>
            <w:vAlign w:val="bottom"/>
            <w:tcBorders>
              <w:left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rPr>
              <w:t>Incentive Plan (incorporated by reference to Exhibit 10.1 to the</w:t>
            </w:r>
          </w:p>
        </w:tc>
        <w:tc>
          <w:tcPr>
            <w:tcW w:w="20" w:type="dxa"/>
            <w:vAlign w:val="bottom"/>
          </w:tcPr>
          <w:p>
            <w:pPr>
              <w:spacing w:after="0"/>
              <w:rPr>
                <w:sz w:val="16"/>
                <w:szCs w:val="16"/>
                <w:color w:val="auto"/>
              </w:rPr>
            </w:pPr>
          </w:p>
        </w:tc>
        <w:tc>
          <w:tcPr>
            <w:tcW w:w="5000" w:type="dxa"/>
            <w:vAlign w:val="bottom"/>
            <w:tcBorders>
              <w:right w:val="single" w:sz="8" w:color="auto"/>
            </w:tcBorders>
            <w:gridSpan w:val="7"/>
          </w:tcPr>
          <w:p>
            <w:pPr>
              <w:spacing w:after="0" w:line="194" w:lineRule="exact"/>
              <w:rPr>
                <w:rFonts w:ascii="Times New Roman" w:cs="Times New Roman" w:eastAsia="Times New Roman" w:hAnsi="Times New Roman"/>
                <w:sz w:val="18"/>
                <w:szCs w:val="18"/>
                <w:color w:val="auto"/>
                <w:w w:val="99"/>
              </w:rPr>
            </w:pPr>
            <w:hyperlink r:id="rId496">
              <w:r>
                <w:rPr>
                  <w:rFonts w:ascii="Times New Roman" w:cs="Times New Roman" w:eastAsia="Times New Roman" w:hAnsi="Times New Roman"/>
                  <w:sz w:val="18"/>
                  <w:szCs w:val="18"/>
                  <w:color w:val="auto"/>
                  <w:w w:val="99"/>
                </w:rPr>
                <w:t>https://www.sec.gov/Archives/edgar/data/923796/000119312524135</w:t>
              </w:r>
            </w:hyperlink>
          </w:p>
        </w:tc>
      </w:tr>
      <w:tr>
        <w:trPr>
          <w:trHeight w:val="196"/>
        </w:trPr>
        <w:tc>
          <w:tcPr>
            <w:tcW w:w="532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Company’s Current Report on Form 8-K, filed on May 9, 2024) †</w:t>
            </w:r>
          </w:p>
        </w:tc>
        <w:tc>
          <w:tcPr>
            <w:tcW w:w="20" w:type="dxa"/>
            <w:vAlign w:val="bottom"/>
          </w:tcPr>
          <w:p>
            <w:pPr>
              <w:spacing w:after="0"/>
              <w:rPr>
                <w:sz w:val="17"/>
                <w:szCs w:val="17"/>
                <w:color w:val="auto"/>
              </w:rPr>
            </w:pPr>
          </w:p>
        </w:tc>
        <w:tc>
          <w:tcPr>
            <w:tcW w:w="4960" w:type="dxa"/>
            <w:vAlign w:val="bottom"/>
            <w:tcBorders>
              <w:top w:val="single" w:sz="8" w:color="auto"/>
            </w:tcBorders>
            <w:gridSpan w:val="6"/>
          </w:tcPr>
          <w:p>
            <w:pPr>
              <w:spacing w:after="0" w:line="196" w:lineRule="exact"/>
              <w:rPr>
                <w:rFonts w:ascii="Times New Roman" w:cs="Times New Roman" w:eastAsia="Times New Roman" w:hAnsi="Times New Roman"/>
                <w:sz w:val="18"/>
                <w:szCs w:val="18"/>
                <w:color w:val="auto"/>
              </w:rPr>
            </w:pPr>
            <w:hyperlink r:id="rId496">
              <w:r>
                <w:rPr>
                  <w:rFonts w:ascii="Times New Roman" w:cs="Times New Roman" w:eastAsia="Times New Roman" w:hAnsi="Times New Roman"/>
                  <w:sz w:val="18"/>
                  <w:szCs w:val="18"/>
                  <w:color w:val="auto"/>
                </w:rPr>
                <w:t>357/d784973dex101.htm</w:t>
              </w:r>
            </w:hyperlink>
          </w:p>
        </w:tc>
        <w:tc>
          <w:tcPr>
            <w:tcW w:w="40" w:type="dxa"/>
            <w:vAlign w:val="bottom"/>
            <w:tcBorders>
              <w:right w:val="single" w:sz="8" w:color="auto"/>
            </w:tcBorders>
          </w:tcPr>
          <w:p>
            <w:pPr>
              <w:spacing w:after="0"/>
              <w:rPr>
                <w:sz w:val="17"/>
                <w:szCs w:val="17"/>
                <w:color w:val="auto"/>
              </w:rPr>
            </w:pPr>
          </w:p>
        </w:tc>
      </w:tr>
      <w:tr>
        <w:trPr>
          <w:trHeight w:val="20"/>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5320" w:type="dxa"/>
            <w:vAlign w:val="bottom"/>
            <w:tcBorders>
              <w:left w:val="single" w:sz="8" w:color="auto"/>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53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The GEO Group, Inc. Amended and Restated Employee Stock</w:t>
            </w:r>
          </w:p>
        </w:tc>
        <w:tc>
          <w:tcPr>
            <w:tcW w:w="20" w:type="dxa"/>
            <w:vAlign w:val="bottom"/>
          </w:tcPr>
          <w:p>
            <w:pPr>
              <w:spacing w:after="0"/>
              <w:rPr>
                <w:sz w:val="14"/>
                <w:szCs w:val="14"/>
                <w:color w:val="auto"/>
              </w:rPr>
            </w:pPr>
          </w:p>
        </w:tc>
        <w:tc>
          <w:tcPr>
            <w:tcW w:w="5000" w:type="dxa"/>
            <w:vAlign w:val="bottom"/>
            <w:tcBorders>
              <w:right w:val="single" w:sz="8" w:color="auto"/>
            </w:tcBorders>
            <w:gridSpan w:val="7"/>
          </w:tcPr>
          <w:p>
            <w:pPr>
              <w:spacing w:after="0" w:line="169" w:lineRule="exact"/>
              <w:rPr>
                <w:rFonts w:ascii="Times New Roman" w:cs="Times New Roman" w:eastAsia="Times New Roman" w:hAnsi="Times New Roman"/>
                <w:sz w:val="18"/>
                <w:szCs w:val="18"/>
                <w:color w:val="auto"/>
                <w:w w:val="99"/>
              </w:rPr>
            </w:pPr>
            <w:hyperlink r:id="rId497">
              <w:r>
                <w:rPr>
                  <w:rFonts w:ascii="Times New Roman" w:cs="Times New Roman" w:eastAsia="Times New Roman" w:hAnsi="Times New Roman"/>
                  <w:sz w:val="18"/>
                  <w:szCs w:val="18"/>
                  <w:color w:val="auto"/>
                  <w:w w:val="99"/>
                </w:rPr>
                <w:t>https://www.sec.gov/Archives/edgar/data/0000923796/00011931252</w:t>
              </w:r>
            </w:hyperlink>
          </w:p>
        </w:tc>
      </w:tr>
      <w:tr>
        <w:trPr>
          <w:trHeight w:val="196"/>
        </w:trPr>
        <w:tc>
          <w:tcPr>
            <w:tcW w:w="53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497">
              <w:r>
                <w:rPr>
                  <w:rFonts w:ascii="Times New Roman" w:cs="Times New Roman" w:eastAsia="Times New Roman" w:hAnsi="Times New Roman"/>
                  <w:sz w:val="18"/>
                  <w:szCs w:val="18"/>
                  <w:color w:val="auto"/>
                </w:rPr>
                <w:t>1150222/d178751dex102.htm</w:t>
              </w:r>
            </w:hyperlink>
          </w:p>
        </w:tc>
        <w:tc>
          <w:tcPr>
            <w:tcW w:w="40" w:type="dxa"/>
            <w:vAlign w:val="bottom"/>
            <w:tcBorders>
              <w:right w:val="single" w:sz="8" w:color="auto"/>
            </w:tcBorders>
          </w:tcPr>
          <w:p>
            <w:pPr>
              <w:spacing w:after="0"/>
              <w:rPr>
                <w:sz w:val="17"/>
                <w:szCs w:val="17"/>
                <w:color w:val="auto"/>
              </w:rPr>
            </w:pPr>
          </w:p>
        </w:tc>
      </w:tr>
      <w:tr>
        <w:trPr>
          <w:trHeight w:val="20"/>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425"/>
        </w:trPr>
        <w:tc>
          <w:tcPr>
            <w:tcW w:w="53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467360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0" w:space="480"/>
            <w:col w:w="10340"/>
          </w:cols>
          <w:pgMar w:left="340" w:top="1269"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1"/>
        </w:trPr>
        <w:tc>
          <w:tcPr>
            <w:tcW w:w="900" w:type="dxa"/>
            <w:vAlign w:val="bottom"/>
          </w:tcPr>
          <w:p>
            <w:pPr>
              <w:spacing w:after="0"/>
              <w:rPr>
                <w:sz w:val="18"/>
                <w:szCs w:val="18"/>
                <w:color w:val="auto"/>
              </w:rPr>
            </w:pPr>
          </w:p>
        </w:tc>
        <w:tc>
          <w:tcPr>
            <w:tcW w:w="53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 Plan (incorporated by reference to Exhibit 10.2 to the</w:t>
            </w:r>
          </w:p>
        </w:tc>
        <w:tc>
          <w:tcPr>
            <w:tcW w:w="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5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Company's Current Report on Form 8-K, filed on May 4, 2021). †</w:t>
            </w:r>
          </w:p>
        </w:tc>
        <w:tc>
          <w:tcPr>
            <w:tcW w:w="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10.12</w:t>
            </w:r>
          </w:p>
        </w:tc>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53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Separation and General Release Agreement, dated as of May 27, 2021,</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  and  between  The  GEO  Group,  Inc.  and  George  C.  Zoley</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5300" w:type="dxa"/>
            <w:vAlign w:val="bottom"/>
            <w:tcBorders>
              <w:left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10.1 to the Company's Current</w:t>
            </w:r>
          </w:p>
        </w:tc>
        <w:tc>
          <w:tcPr>
            <w:tcW w:w="4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499">
              <w:r>
                <w:rPr>
                  <w:rFonts w:ascii="Times New Roman" w:cs="Times New Roman" w:eastAsia="Times New Roman" w:hAnsi="Times New Roman"/>
                  <w:sz w:val="18"/>
                  <w:szCs w:val="18"/>
                  <w:color w:val="auto"/>
                  <w:w w:val="99"/>
                </w:rPr>
                <w:t>https://www.sec.gov/Archives/edgar/data/0000923796/00011931252</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Report on Form 8-K, filed on June 1, 2021). †</w:t>
            </w:r>
          </w:p>
        </w:tc>
        <w:tc>
          <w:tcPr>
            <w:tcW w:w="40" w:type="dxa"/>
            <w:vAlign w:val="bottom"/>
          </w:tcPr>
          <w:p>
            <w:pPr>
              <w:spacing w:after="0"/>
              <w:rPr>
                <w:sz w:val="17"/>
                <w:szCs w:val="17"/>
                <w:color w:val="auto"/>
              </w:rPr>
            </w:pPr>
          </w:p>
        </w:tc>
        <w:tc>
          <w:tcPr>
            <w:tcW w:w="49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499">
              <w:r>
                <w:rPr>
                  <w:rFonts w:ascii="Times New Roman" w:cs="Times New Roman" w:eastAsia="Times New Roman" w:hAnsi="Times New Roman"/>
                  <w:sz w:val="18"/>
                  <w:szCs w:val="18"/>
                  <w:color w:val="auto"/>
                </w:rPr>
                <w:t>1177770/d318382dex101.htm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10.13</w:t>
            </w:r>
          </w:p>
        </w:tc>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53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Executive Chairman Employment Agreement, dated as of May 27,</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2021, by and between The GEO Group, Inc. and George C. Zoley</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5300" w:type="dxa"/>
            <w:vAlign w:val="bottom"/>
            <w:tcBorders>
              <w:left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10.2 to the Company's Current</w:t>
            </w:r>
          </w:p>
        </w:tc>
        <w:tc>
          <w:tcPr>
            <w:tcW w:w="4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500">
              <w:r>
                <w:rPr>
                  <w:rFonts w:ascii="Times New Roman" w:cs="Times New Roman" w:eastAsia="Times New Roman" w:hAnsi="Times New Roman"/>
                  <w:sz w:val="18"/>
                  <w:szCs w:val="18"/>
                  <w:color w:val="auto"/>
                  <w:w w:val="99"/>
                </w:rPr>
                <w:t>https://www.sec.gov/Archives/edgar/data/0000923796/00011931252</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Report on Form 8-K, filed on June 1, 2021). †</w:t>
            </w:r>
          </w:p>
        </w:tc>
        <w:tc>
          <w:tcPr>
            <w:tcW w:w="40" w:type="dxa"/>
            <w:vAlign w:val="bottom"/>
          </w:tcPr>
          <w:p>
            <w:pPr>
              <w:spacing w:after="0"/>
              <w:rPr>
                <w:sz w:val="17"/>
                <w:szCs w:val="17"/>
                <w:color w:val="auto"/>
              </w:rPr>
            </w:pPr>
          </w:p>
        </w:tc>
        <w:tc>
          <w:tcPr>
            <w:tcW w:w="49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500">
              <w:r>
                <w:rPr>
                  <w:rFonts w:ascii="Times New Roman" w:cs="Times New Roman" w:eastAsia="Times New Roman" w:hAnsi="Times New Roman"/>
                  <w:sz w:val="18"/>
                  <w:szCs w:val="18"/>
                  <w:color w:val="auto"/>
                </w:rPr>
                <w:t>1177770/d318382dex102.htm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10.14</w:t>
            </w:r>
          </w:p>
        </w:tc>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53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Amended and Restated Executive Retirement Agreement, dated as of</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May 27, 2021, by and between The GEO Group, Inc. and George C.</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5300" w:type="dxa"/>
            <w:vAlign w:val="bottom"/>
            <w:tcBorders>
              <w:left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rPr>
              <w:t>Zoley (incorporated by reference to Exhibit 10.3 to the Company's</w:t>
            </w:r>
          </w:p>
        </w:tc>
        <w:tc>
          <w:tcPr>
            <w:tcW w:w="4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501">
              <w:r>
                <w:rPr>
                  <w:rFonts w:ascii="Times New Roman" w:cs="Times New Roman" w:eastAsia="Times New Roman" w:hAnsi="Times New Roman"/>
                  <w:sz w:val="18"/>
                  <w:szCs w:val="18"/>
                  <w:color w:val="auto"/>
                  <w:w w:val="99"/>
                </w:rPr>
                <w:t>https://www.sec.gov/Archives/edgar/data/0000923796/00011931252</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Current Report on Form 8-K, filed on June 1, 2021). †</w:t>
            </w:r>
          </w:p>
        </w:tc>
        <w:tc>
          <w:tcPr>
            <w:tcW w:w="40" w:type="dxa"/>
            <w:vAlign w:val="bottom"/>
          </w:tcPr>
          <w:p>
            <w:pPr>
              <w:spacing w:after="0"/>
              <w:rPr>
                <w:sz w:val="17"/>
                <w:szCs w:val="17"/>
                <w:color w:val="auto"/>
              </w:rPr>
            </w:pPr>
          </w:p>
        </w:tc>
        <w:tc>
          <w:tcPr>
            <w:tcW w:w="49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501">
              <w:r>
                <w:rPr>
                  <w:rFonts w:ascii="Times New Roman" w:cs="Times New Roman" w:eastAsia="Times New Roman" w:hAnsi="Times New Roman"/>
                  <w:sz w:val="18"/>
                  <w:szCs w:val="18"/>
                  <w:color w:val="auto"/>
                </w:rPr>
                <w:t>1177770/d318382dex103.htm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10.15</w:t>
            </w:r>
          </w:p>
        </w:tc>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53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Separation and General Release Agreement, entered into on November</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 2023, between The GEO Group, Inc. and Jose Gordo (incorporated</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530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by reference to Exhibit 10.1 to the Company's Current Report on Form</w:t>
            </w:r>
          </w:p>
        </w:tc>
        <w:tc>
          <w:tcPr>
            <w:tcW w:w="4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502">
              <w:r>
                <w:rPr>
                  <w:rFonts w:ascii="Times New Roman" w:cs="Times New Roman" w:eastAsia="Times New Roman" w:hAnsi="Times New Roman"/>
                  <w:sz w:val="18"/>
                  <w:szCs w:val="18"/>
                  <w:color w:val="auto"/>
                  <w:w w:val="99"/>
                </w:rPr>
                <w:t>https://www.sec.gov/Archives/edgar/data/923796/000119312523289</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0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8-K filed on December 5, 2023).†</w:t>
            </w:r>
          </w:p>
        </w:tc>
        <w:tc>
          <w:tcPr>
            <w:tcW w:w="40" w:type="dxa"/>
            <w:vAlign w:val="bottom"/>
          </w:tcPr>
          <w:p>
            <w:pPr>
              <w:spacing w:after="0"/>
              <w:rPr>
                <w:sz w:val="17"/>
                <w:szCs w:val="17"/>
                <w:color w:val="auto"/>
              </w:rPr>
            </w:pP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502">
              <w:r>
                <w:rPr>
                  <w:rFonts w:ascii="Times New Roman" w:cs="Times New Roman" w:eastAsia="Times New Roman" w:hAnsi="Times New Roman"/>
                  <w:sz w:val="18"/>
                  <w:szCs w:val="18"/>
                  <w:color w:val="auto"/>
                </w:rPr>
                <w:t>201/d628144dex101.htm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10.16</w:t>
            </w:r>
          </w:p>
        </w:tc>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00" w:type="dxa"/>
            <w:vAlign w:val="bottom"/>
            <w:vMerge w:val="continue"/>
          </w:tcPr>
          <w:p>
            <w:pPr>
              <w:spacing w:after="0"/>
              <w:rPr>
                <w:sz w:val="11"/>
                <w:szCs w:val="11"/>
                <w:color w:val="auto"/>
              </w:rPr>
            </w:pPr>
          </w:p>
        </w:tc>
        <w:tc>
          <w:tcPr>
            <w:tcW w:w="5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53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Advisory Services Agreement, effective as of January 1, 2024,</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between The GEO Group, Inc. and Jose Gordo (incorporated by</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5300" w:type="dxa"/>
            <w:vAlign w:val="bottom"/>
            <w:tcBorders>
              <w:left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rPr>
              <w:t>reference t Exhibit 10.2 to the Company's Current Report on Form 8-K</w:t>
            </w:r>
          </w:p>
        </w:tc>
        <w:tc>
          <w:tcPr>
            <w:tcW w:w="4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503">
              <w:r>
                <w:rPr>
                  <w:rFonts w:ascii="Times New Roman" w:cs="Times New Roman" w:eastAsia="Times New Roman" w:hAnsi="Times New Roman"/>
                  <w:sz w:val="18"/>
                  <w:szCs w:val="18"/>
                  <w:color w:val="auto"/>
                  <w:w w:val="99"/>
                </w:rPr>
                <w:t>https://www.sec.gov/Archives/edgar/data/923796/000119312523289</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filed on December 5, 2023). †</w:t>
            </w:r>
          </w:p>
        </w:tc>
        <w:tc>
          <w:tcPr>
            <w:tcW w:w="40" w:type="dxa"/>
            <w:vAlign w:val="bottom"/>
          </w:tcPr>
          <w:p>
            <w:pPr>
              <w:spacing w:after="0"/>
              <w:rPr>
                <w:sz w:val="17"/>
                <w:szCs w:val="17"/>
                <w:color w:val="auto"/>
              </w:rPr>
            </w:pP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503">
              <w:r>
                <w:rPr>
                  <w:rFonts w:ascii="Times New Roman" w:cs="Times New Roman" w:eastAsia="Times New Roman" w:hAnsi="Times New Roman"/>
                  <w:sz w:val="18"/>
                  <w:szCs w:val="18"/>
                  <w:color w:val="auto"/>
                </w:rPr>
                <w:t>201/d628144dex102.htm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10.17</w:t>
            </w:r>
          </w:p>
        </w:tc>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53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Executive Employment Agreement, effective as of January 1, 2024,</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530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between The GEO Group, Inc. and Brian Evans (incorporated by</w:t>
            </w:r>
          </w:p>
        </w:tc>
        <w:tc>
          <w:tcPr>
            <w:tcW w:w="40" w:type="dxa"/>
            <w:vAlign w:val="bottom"/>
          </w:tcPr>
          <w:p>
            <w:pPr>
              <w:spacing w:after="0"/>
              <w:rPr>
                <w:sz w:val="16"/>
                <w:szCs w:val="16"/>
                <w:color w:val="auto"/>
              </w:rPr>
            </w:pPr>
          </w:p>
        </w:tc>
        <w:tc>
          <w:tcPr>
            <w:tcW w:w="5000" w:type="dxa"/>
            <w:vAlign w:val="bottom"/>
            <w:tcBorders>
              <w:right w:val="single" w:sz="8" w:color="auto"/>
            </w:tcBorders>
            <w:gridSpan w:val="4"/>
          </w:tcPr>
          <w:p>
            <w:pPr>
              <w:spacing w:after="0" w:line="194" w:lineRule="exact"/>
              <w:rPr>
                <w:rFonts w:ascii="Times New Roman" w:cs="Times New Roman" w:eastAsia="Times New Roman" w:hAnsi="Times New Roman"/>
                <w:sz w:val="18"/>
                <w:szCs w:val="18"/>
                <w:color w:val="auto"/>
                <w:w w:val="99"/>
              </w:rPr>
            </w:pPr>
            <w:hyperlink r:id="rId504">
              <w:r>
                <w:rPr>
                  <w:rFonts w:ascii="Times New Roman" w:cs="Times New Roman" w:eastAsia="Times New Roman" w:hAnsi="Times New Roman"/>
                  <w:sz w:val="18"/>
                  <w:szCs w:val="18"/>
                  <w:color w:val="auto"/>
                  <w:w w:val="99"/>
                </w:rPr>
                <w:t>https://www.sec.gov/Archives/edgar/data/923796/000119312523289</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0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reference to Exhibit 10.3 to the Company's</w:t>
            </w:r>
          </w:p>
        </w:tc>
        <w:tc>
          <w:tcPr>
            <w:tcW w:w="40" w:type="dxa"/>
            <w:vAlign w:val="bottom"/>
          </w:tcPr>
          <w:p>
            <w:pPr>
              <w:spacing w:after="0"/>
              <w:rPr>
                <w:sz w:val="17"/>
                <w:szCs w:val="17"/>
                <w:color w:val="auto"/>
              </w:rPr>
            </w:pPr>
          </w:p>
        </w:tc>
        <w:tc>
          <w:tcPr>
            <w:tcW w:w="4960" w:type="dxa"/>
            <w:vAlign w:val="bottom"/>
            <w:tcBorders>
              <w:top w:val="single" w:sz="8" w:color="auto"/>
            </w:tcBorders>
            <w:gridSpan w:val="3"/>
          </w:tcPr>
          <w:p>
            <w:pPr>
              <w:spacing w:after="0" w:line="196" w:lineRule="exact"/>
              <w:rPr>
                <w:rFonts w:ascii="Times New Roman" w:cs="Times New Roman" w:eastAsia="Times New Roman" w:hAnsi="Times New Roman"/>
                <w:sz w:val="18"/>
                <w:szCs w:val="18"/>
                <w:color w:val="auto"/>
              </w:rPr>
            </w:pPr>
            <w:hyperlink r:id="rId504">
              <w:r>
                <w:rPr>
                  <w:rFonts w:ascii="Times New Roman" w:cs="Times New Roman" w:eastAsia="Times New Roman" w:hAnsi="Times New Roman"/>
                  <w:sz w:val="18"/>
                  <w:szCs w:val="18"/>
                  <w:color w:val="auto"/>
                </w:rPr>
                <w:t>201/d628144dex103.htm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530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0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920" w:type="dxa"/>
            <w:vAlign w:val="bottom"/>
            <w:tcBorders>
              <w:right w:val="single" w:sz="8" w:color="auto"/>
            </w:tcBorders>
          </w:tcPr>
          <w:p>
            <w:pPr>
              <w:spacing w:after="0"/>
              <w:rPr>
                <w:sz w:val="19"/>
                <w:szCs w:val="19"/>
                <w:color w:val="auto"/>
              </w:rPr>
            </w:pP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Report on Form 8-K filed on December 5, 2023). †</w:t>
            </w:r>
          </w:p>
        </w:tc>
        <w:tc>
          <w:tcPr>
            <w:tcW w:w="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spacing w:after="0"/>
              <w:rPr>
                <w:sz w:val="19"/>
                <w:szCs w:val="19"/>
                <w:color w:val="auto"/>
              </w:rPr>
            </w:pPr>
          </w:p>
        </w:tc>
        <w:tc>
          <w:tcPr>
            <w:tcW w:w="31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98"/>
              </w:rPr>
              <w:t>10.18</w:t>
            </w:r>
          </w:p>
        </w:tc>
        <w:tc>
          <w:tcPr>
            <w:tcW w:w="52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20" w:type="dxa"/>
            <w:vAlign w:val="bottom"/>
            <w:tcBorders>
              <w:right w:val="single" w:sz="8" w:color="auto"/>
            </w:tcBorders>
            <w:vMerge w:val="continue"/>
          </w:tcPr>
          <w:p>
            <w:pPr>
              <w:spacing w:after="0"/>
              <w:rPr>
                <w:sz w:val="16"/>
                <w:szCs w:val="16"/>
                <w:color w:val="auto"/>
              </w:rPr>
            </w:pPr>
          </w:p>
        </w:tc>
        <w:tc>
          <w:tcPr>
            <w:tcW w:w="5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Executive Employment Agreement, dated as of June 22, 2021, between</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GEO Group, Inc. and Shayn March (incorporated by reference to</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tcBorders>
              <w:right w:val="single" w:sz="8" w:color="auto"/>
            </w:tcBorders>
          </w:tcPr>
          <w:p>
            <w:pPr>
              <w:spacing w:after="0"/>
              <w:rPr>
                <w:sz w:val="16"/>
                <w:szCs w:val="16"/>
                <w:color w:val="auto"/>
              </w:rPr>
            </w:pPr>
          </w:p>
        </w:tc>
        <w:tc>
          <w:tcPr>
            <w:tcW w:w="52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Exhibit 10.4 to the Company's Current Report on Form 8-K filed on</w:t>
            </w:r>
          </w:p>
        </w:tc>
        <w:tc>
          <w:tcPr>
            <w:tcW w:w="40" w:type="dxa"/>
            <w:vAlign w:val="bottom"/>
          </w:tcPr>
          <w:p>
            <w:pPr>
              <w:spacing w:after="0"/>
              <w:rPr>
                <w:sz w:val="16"/>
                <w:szCs w:val="16"/>
                <w:color w:val="auto"/>
              </w:rPr>
            </w:pPr>
          </w:p>
        </w:tc>
        <w:tc>
          <w:tcPr>
            <w:tcW w:w="5000" w:type="dxa"/>
            <w:vAlign w:val="bottom"/>
            <w:tcBorders>
              <w:right w:val="single" w:sz="8" w:color="auto"/>
            </w:tcBorders>
            <w:gridSpan w:val="3"/>
          </w:tcPr>
          <w:p>
            <w:pPr>
              <w:spacing w:after="0" w:line="194" w:lineRule="exact"/>
              <w:rPr>
                <w:rFonts w:ascii="Times New Roman" w:cs="Times New Roman" w:eastAsia="Times New Roman" w:hAnsi="Times New Roman"/>
                <w:sz w:val="18"/>
                <w:szCs w:val="18"/>
                <w:color w:val="auto"/>
                <w:w w:val="99"/>
              </w:rPr>
            </w:pPr>
            <w:hyperlink r:id="rId507">
              <w:r>
                <w:rPr>
                  <w:rFonts w:ascii="Times New Roman" w:cs="Times New Roman" w:eastAsia="Times New Roman" w:hAnsi="Times New Roman"/>
                  <w:sz w:val="18"/>
                  <w:szCs w:val="18"/>
                  <w:color w:val="auto"/>
                  <w:w w:val="99"/>
                </w:rPr>
                <w:t>https://www.sec.gov/Archives/edgar/data/923796/000119312523289</w:t>
              </w:r>
            </w:hyperlink>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528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December 5, 2023). †</w:t>
            </w:r>
          </w:p>
        </w:tc>
        <w:tc>
          <w:tcPr>
            <w:tcW w:w="40" w:type="dxa"/>
            <w:vAlign w:val="bottom"/>
          </w:tcPr>
          <w:p>
            <w:pPr>
              <w:spacing w:after="0"/>
              <w:rPr>
                <w:sz w:val="17"/>
                <w:szCs w:val="17"/>
                <w:color w:val="auto"/>
              </w:rPr>
            </w:pPr>
          </w:p>
        </w:tc>
        <w:tc>
          <w:tcPr>
            <w:tcW w:w="4960" w:type="dxa"/>
            <w:vAlign w:val="bottom"/>
            <w:tcBorders>
              <w:top w:val="single" w:sz="8" w:color="auto"/>
            </w:tcBorders>
            <w:gridSpan w:val="2"/>
          </w:tcPr>
          <w:p>
            <w:pPr>
              <w:spacing w:after="0" w:line="196" w:lineRule="exact"/>
              <w:rPr>
                <w:rFonts w:ascii="Times New Roman" w:cs="Times New Roman" w:eastAsia="Times New Roman" w:hAnsi="Times New Roman"/>
                <w:sz w:val="18"/>
                <w:szCs w:val="18"/>
                <w:color w:val="auto"/>
              </w:rPr>
            </w:pPr>
            <w:hyperlink r:id="rId507">
              <w:r>
                <w:rPr>
                  <w:rFonts w:ascii="Times New Roman" w:cs="Times New Roman" w:eastAsia="Times New Roman" w:hAnsi="Times New Roman"/>
                  <w:sz w:val="18"/>
                  <w:szCs w:val="18"/>
                  <w:color w:val="auto"/>
                </w:rPr>
                <w:t>201/d628144dex104.htm</w:t>
              </w:r>
            </w:hyperlink>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98"/>
              </w:rPr>
              <w:t>10.19</w:t>
            </w: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920" w:type="dxa"/>
            <w:vAlign w:val="bottom"/>
            <w:tcBorders>
              <w:right w:val="single" w:sz="8" w:color="auto"/>
            </w:tcBorders>
            <w:vMerge w:val="continue"/>
          </w:tcPr>
          <w:p>
            <w:pPr>
              <w:spacing w:after="0"/>
              <w:rPr>
                <w:sz w:val="10"/>
                <w:szCs w:val="10"/>
                <w:color w:val="auto"/>
              </w:rPr>
            </w:pPr>
          </w:p>
        </w:tc>
        <w:tc>
          <w:tcPr>
            <w:tcW w:w="52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20" w:type="dxa"/>
            <w:vAlign w:val="bottom"/>
            <w:tcBorders>
              <w:right w:val="single" w:sz="8" w:color="auto"/>
            </w:tcBorders>
            <w:vMerge w:val="continue"/>
          </w:tcPr>
          <w:p>
            <w:pPr>
              <w:spacing w:after="0"/>
              <w:rPr>
                <w:sz w:val="16"/>
                <w:szCs w:val="16"/>
                <w:color w:val="auto"/>
              </w:rPr>
            </w:pPr>
          </w:p>
        </w:tc>
        <w:tc>
          <w:tcPr>
            <w:tcW w:w="5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Executive Employment Agreement, effective as of January 1, 2024,</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between The GEO Group, Inc. and Wayne Calabrese (incorporated by</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tcBorders>
              <w:right w:val="single" w:sz="8" w:color="auto"/>
            </w:tcBorders>
          </w:tcPr>
          <w:p>
            <w:pPr>
              <w:spacing w:after="0"/>
              <w:rPr>
                <w:sz w:val="16"/>
                <w:szCs w:val="16"/>
                <w:color w:val="auto"/>
              </w:rPr>
            </w:pPr>
          </w:p>
        </w:tc>
        <w:tc>
          <w:tcPr>
            <w:tcW w:w="52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reference to Exhibit 10.4 to the Company's Current Report on Form 8-K</w:t>
            </w:r>
          </w:p>
        </w:tc>
        <w:tc>
          <w:tcPr>
            <w:tcW w:w="40" w:type="dxa"/>
            <w:vAlign w:val="bottom"/>
          </w:tcPr>
          <w:p>
            <w:pPr>
              <w:spacing w:after="0"/>
              <w:rPr>
                <w:sz w:val="16"/>
                <w:szCs w:val="16"/>
                <w:color w:val="auto"/>
              </w:rPr>
            </w:pPr>
          </w:p>
        </w:tc>
        <w:tc>
          <w:tcPr>
            <w:tcW w:w="5000" w:type="dxa"/>
            <w:vAlign w:val="bottom"/>
            <w:gridSpan w:val="3"/>
          </w:tcPr>
          <w:p>
            <w:pPr>
              <w:spacing w:after="0" w:line="194" w:lineRule="exact"/>
              <w:rPr>
                <w:rFonts w:ascii="Times New Roman" w:cs="Times New Roman" w:eastAsia="Times New Roman" w:hAnsi="Times New Roman"/>
                <w:sz w:val="18"/>
                <w:szCs w:val="18"/>
                <w:color w:val="auto"/>
                <w:w w:val="99"/>
              </w:rPr>
            </w:pPr>
            <w:hyperlink r:id="rId508">
              <w:r>
                <w:rPr>
                  <w:rFonts w:ascii="Times New Roman" w:cs="Times New Roman" w:eastAsia="Times New Roman" w:hAnsi="Times New Roman"/>
                  <w:sz w:val="18"/>
                  <w:szCs w:val="18"/>
                  <w:color w:val="auto"/>
                  <w:w w:val="99"/>
                </w:rPr>
                <w:t>https://www.sec.gov/Archives/edgar/data/923796/000119312523289</w:t>
              </w:r>
            </w:hyperlink>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528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filed on December 5, 2023). †</w:t>
            </w:r>
          </w:p>
        </w:tc>
        <w:tc>
          <w:tcPr>
            <w:tcW w:w="40" w:type="dxa"/>
            <w:vAlign w:val="bottom"/>
          </w:tcPr>
          <w:p>
            <w:pPr>
              <w:spacing w:after="0"/>
              <w:rPr>
                <w:sz w:val="17"/>
                <w:szCs w:val="17"/>
                <w:color w:val="auto"/>
              </w:rPr>
            </w:pPr>
          </w:p>
        </w:tc>
        <w:tc>
          <w:tcPr>
            <w:tcW w:w="4960" w:type="dxa"/>
            <w:vAlign w:val="bottom"/>
            <w:tcBorders>
              <w:top w:val="single" w:sz="8" w:color="auto"/>
            </w:tcBorders>
            <w:gridSpan w:val="2"/>
          </w:tcPr>
          <w:p>
            <w:pPr>
              <w:spacing w:after="0" w:line="196" w:lineRule="exact"/>
              <w:rPr>
                <w:rFonts w:ascii="Times New Roman" w:cs="Times New Roman" w:eastAsia="Times New Roman" w:hAnsi="Times New Roman"/>
                <w:sz w:val="18"/>
                <w:szCs w:val="18"/>
                <w:color w:val="auto"/>
              </w:rPr>
            </w:pPr>
            <w:hyperlink r:id="rId508">
              <w:r>
                <w:rPr>
                  <w:rFonts w:ascii="Times New Roman" w:cs="Times New Roman" w:eastAsia="Times New Roman" w:hAnsi="Times New Roman"/>
                  <w:sz w:val="18"/>
                  <w:szCs w:val="18"/>
                  <w:color w:val="auto"/>
                </w:rPr>
                <w:t>201/d628144dex105.htm</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98"/>
              </w:rPr>
              <w:t>10.20</w:t>
            </w: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20" w:type="dxa"/>
            <w:vAlign w:val="bottom"/>
            <w:tcBorders>
              <w:right w:val="single" w:sz="8" w:color="auto"/>
            </w:tcBorders>
            <w:vMerge w:val="continue"/>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20" w:type="dxa"/>
            <w:vAlign w:val="bottom"/>
            <w:tcBorders>
              <w:right w:val="single" w:sz="8" w:color="auto"/>
            </w:tcBorders>
            <w:vMerge w:val="continue"/>
          </w:tcPr>
          <w:p>
            <w:pPr>
              <w:spacing w:after="0"/>
              <w:rPr>
                <w:sz w:val="16"/>
                <w:szCs w:val="16"/>
                <w:color w:val="auto"/>
              </w:rPr>
            </w:pPr>
          </w:p>
        </w:tc>
        <w:tc>
          <w:tcPr>
            <w:tcW w:w="5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Credit Agreement, dated as of April 18, 2024, by and among The GEO</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Group, Inc. and GEO Corrections Holdings, Inc, as borrowers, Citizens</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Bank, N.A. as Administrative Agent, and the lenders referred to therein</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tcBorders>
              <w:right w:val="single" w:sz="8" w:color="auto"/>
            </w:tcBorders>
          </w:tcPr>
          <w:p>
            <w:pPr>
              <w:spacing w:after="0"/>
              <w:rPr>
                <w:sz w:val="16"/>
                <w:szCs w:val="16"/>
                <w:color w:val="auto"/>
              </w:rPr>
            </w:pPr>
          </w:p>
        </w:tc>
        <w:tc>
          <w:tcPr>
            <w:tcW w:w="52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10.3 to the Company's Current</w:t>
            </w:r>
          </w:p>
        </w:tc>
        <w:tc>
          <w:tcPr>
            <w:tcW w:w="40" w:type="dxa"/>
            <w:vAlign w:val="bottom"/>
          </w:tcPr>
          <w:p>
            <w:pPr>
              <w:spacing w:after="0"/>
              <w:rPr>
                <w:sz w:val="16"/>
                <w:szCs w:val="16"/>
                <w:color w:val="auto"/>
              </w:rPr>
            </w:pPr>
          </w:p>
        </w:tc>
        <w:tc>
          <w:tcPr>
            <w:tcW w:w="5000" w:type="dxa"/>
            <w:vAlign w:val="bottom"/>
            <w:gridSpan w:val="3"/>
          </w:tcPr>
          <w:p>
            <w:pPr>
              <w:spacing w:after="0" w:line="194" w:lineRule="exact"/>
              <w:rPr>
                <w:rFonts w:ascii="Times New Roman" w:cs="Times New Roman" w:eastAsia="Times New Roman" w:hAnsi="Times New Roman"/>
                <w:sz w:val="18"/>
                <w:szCs w:val="18"/>
                <w:color w:val="auto"/>
                <w:w w:val="99"/>
              </w:rPr>
            </w:pPr>
            <w:hyperlink r:id="rId509">
              <w:r>
                <w:rPr>
                  <w:rFonts w:ascii="Times New Roman" w:cs="Times New Roman" w:eastAsia="Times New Roman" w:hAnsi="Times New Roman"/>
                  <w:sz w:val="18"/>
                  <w:szCs w:val="18"/>
                  <w:color w:val="auto"/>
                  <w:w w:val="99"/>
                </w:rPr>
                <w:t>https://www.sec.gov/Archives/edgar/data/923796/000119312524110</w:t>
              </w:r>
            </w:hyperlink>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528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Report on Form 8-K filed on April 24, 2024).**</w:t>
            </w:r>
          </w:p>
        </w:tc>
        <w:tc>
          <w:tcPr>
            <w:tcW w:w="40" w:type="dxa"/>
            <w:vAlign w:val="bottom"/>
          </w:tcPr>
          <w:p>
            <w:pPr>
              <w:spacing w:after="0"/>
              <w:rPr>
                <w:sz w:val="17"/>
                <w:szCs w:val="17"/>
                <w:color w:val="auto"/>
              </w:rPr>
            </w:pPr>
          </w:p>
        </w:tc>
        <w:tc>
          <w:tcPr>
            <w:tcW w:w="4960" w:type="dxa"/>
            <w:vAlign w:val="bottom"/>
            <w:tcBorders>
              <w:top w:val="single" w:sz="8" w:color="auto"/>
            </w:tcBorders>
            <w:gridSpan w:val="2"/>
          </w:tcPr>
          <w:p>
            <w:pPr>
              <w:spacing w:after="0" w:line="196" w:lineRule="exact"/>
              <w:rPr>
                <w:rFonts w:ascii="Times New Roman" w:cs="Times New Roman" w:eastAsia="Times New Roman" w:hAnsi="Times New Roman"/>
                <w:sz w:val="18"/>
                <w:szCs w:val="18"/>
                <w:color w:val="auto"/>
              </w:rPr>
            </w:pPr>
            <w:hyperlink r:id="rId509">
              <w:r>
                <w:rPr>
                  <w:rFonts w:ascii="Times New Roman" w:cs="Times New Roman" w:eastAsia="Times New Roman" w:hAnsi="Times New Roman"/>
                  <w:sz w:val="18"/>
                  <w:szCs w:val="18"/>
                  <w:color w:val="auto"/>
                </w:rPr>
                <w:t>253/d764760dex103.htm</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98"/>
              </w:rPr>
              <w:t>10.21</w:t>
            </w: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20" w:type="dxa"/>
            <w:vAlign w:val="bottom"/>
            <w:tcBorders>
              <w:right w:val="single" w:sz="8" w:color="auto"/>
            </w:tcBorders>
            <w:vMerge w:val="continue"/>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20" w:type="dxa"/>
            <w:vAlign w:val="bottom"/>
            <w:tcBorders>
              <w:right w:val="single" w:sz="8" w:color="auto"/>
            </w:tcBorders>
            <w:vMerge w:val="continue"/>
          </w:tcPr>
          <w:p>
            <w:pPr>
              <w:spacing w:after="0"/>
              <w:rPr>
                <w:sz w:val="16"/>
                <w:szCs w:val="16"/>
                <w:color w:val="auto"/>
              </w:rPr>
            </w:pPr>
          </w:p>
        </w:tc>
        <w:tc>
          <w:tcPr>
            <w:tcW w:w="5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First Lien Intercreditor Agreement, dated as of April 18, 2024, by and</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among The GEO Group, Inc., GEO Corrections Holdings, Inc., the</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Guarantors, Citizens Bank, N.A., as Credit Agreement Collateral Agent</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Authorized Representative for the Credit Agreement Secured</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Parties, Ankura Trust Company, LLC, as Initial Additional Collateral</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Agent and Initial Additional Authorized Representative, and each</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authorized representative from time to time party thereto</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tcBorders>
              <w:right w:val="single" w:sz="8" w:color="auto"/>
            </w:tcBorders>
          </w:tcPr>
          <w:p>
            <w:pPr>
              <w:spacing w:after="0"/>
              <w:rPr>
                <w:sz w:val="16"/>
                <w:szCs w:val="16"/>
                <w:color w:val="auto"/>
              </w:rPr>
            </w:pPr>
          </w:p>
        </w:tc>
        <w:tc>
          <w:tcPr>
            <w:tcW w:w="52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10.1 to the Company's Current</w:t>
            </w:r>
          </w:p>
        </w:tc>
        <w:tc>
          <w:tcPr>
            <w:tcW w:w="40" w:type="dxa"/>
            <w:vAlign w:val="bottom"/>
          </w:tcPr>
          <w:p>
            <w:pPr>
              <w:spacing w:after="0"/>
              <w:rPr>
                <w:sz w:val="16"/>
                <w:szCs w:val="16"/>
                <w:color w:val="auto"/>
              </w:rPr>
            </w:pPr>
          </w:p>
        </w:tc>
        <w:tc>
          <w:tcPr>
            <w:tcW w:w="5000" w:type="dxa"/>
            <w:vAlign w:val="bottom"/>
            <w:gridSpan w:val="3"/>
          </w:tcPr>
          <w:p>
            <w:pPr>
              <w:spacing w:after="0" w:line="194" w:lineRule="exact"/>
              <w:rPr>
                <w:rFonts w:ascii="Times New Roman" w:cs="Times New Roman" w:eastAsia="Times New Roman" w:hAnsi="Times New Roman"/>
                <w:sz w:val="18"/>
                <w:szCs w:val="18"/>
                <w:color w:val="auto"/>
                <w:w w:val="99"/>
              </w:rPr>
            </w:pPr>
            <w:hyperlink r:id="rId510">
              <w:r>
                <w:rPr>
                  <w:rFonts w:ascii="Times New Roman" w:cs="Times New Roman" w:eastAsia="Times New Roman" w:hAnsi="Times New Roman"/>
                  <w:sz w:val="18"/>
                  <w:szCs w:val="18"/>
                  <w:color w:val="auto"/>
                  <w:w w:val="99"/>
                </w:rPr>
                <w:t>https://www.sec.gov/Archives/edgar/data/923796/000119312524110</w:t>
              </w:r>
            </w:hyperlink>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528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Report on Form 8-K filed on April 24, 2024).</w:t>
            </w:r>
          </w:p>
        </w:tc>
        <w:tc>
          <w:tcPr>
            <w:tcW w:w="40" w:type="dxa"/>
            <w:vAlign w:val="bottom"/>
          </w:tcPr>
          <w:p>
            <w:pPr>
              <w:spacing w:after="0"/>
              <w:rPr>
                <w:sz w:val="17"/>
                <w:szCs w:val="17"/>
                <w:color w:val="auto"/>
              </w:rPr>
            </w:pPr>
          </w:p>
        </w:tc>
        <w:tc>
          <w:tcPr>
            <w:tcW w:w="4960" w:type="dxa"/>
            <w:vAlign w:val="bottom"/>
            <w:tcBorders>
              <w:top w:val="single" w:sz="8" w:color="auto"/>
            </w:tcBorders>
            <w:gridSpan w:val="2"/>
          </w:tcPr>
          <w:p>
            <w:pPr>
              <w:spacing w:after="0" w:line="196" w:lineRule="exact"/>
              <w:rPr>
                <w:rFonts w:ascii="Times New Roman" w:cs="Times New Roman" w:eastAsia="Times New Roman" w:hAnsi="Times New Roman"/>
                <w:sz w:val="18"/>
                <w:szCs w:val="18"/>
                <w:color w:val="auto"/>
              </w:rPr>
            </w:pPr>
            <w:hyperlink r:id="rId510">
              <w:r>
                <w:rPr>
                  <w:rFonts w:ascii="Times New Roman" w:cs="Times New Roman" w:eastAsia="Times New Roman" w:hAnsi="Times New Roman"/>
                  <w:sz w:val="18"/>
                  <w:szCs w:val="18"/>
                  <w:color w:val="auto"/>
                </w:rPr>
                <w:t>253/d764760dex101.htm</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98"/>
              </w:rPr>
              <w:t>10.22</w:t>
            </w: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20" w:type="dxa"/>
            <w:vAlign w:val="bottom"/>
            <w:tcBorders>
              <w:right w:val="single" w:sz="8" w:color="auto"/>
            </w:tcBorders>
            <w:vMerge w:val="continue"/>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20" w:type="dxa"/>
            <w:vAlign w:val="bottom"/>
            <w:tcBorders>
              <w:right w:val="single" w:sz="8" w:color="auto"/>
            </w:tcBorders>
            <w:vMerge w:val="continue"/>
          </w:tcPr>
          <w:p>
            <w:pPr>
              <w:spacing w:after="0"/>
              <w:rPr>
                <w:sz w:val="16"/>
                <w:szCs w:val="16"/>
                <w:color w:val="auto"/>
              </w:rPr>
            </w:pPr>
          </w:p>
        </w:tc>
        <w:tc>
          <w:tcPr>
            <w:tcW w:w="5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Executive Employment Agreement, effective as of July 8, 2024,</w:t>
            </w: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Borders>
              <w:right w:val="single" w:sz="8" w:color="auto"/>
            </w:tcBorders>
          </w:tcPr>
          <w:p>
            <w:pPr>
              <w:spacing w:after="0"/>
              <w:rPr>
                <w:sz w:val="16"/>
                <w:szCs w:val="16"/>
                <w:color w:val="auto"/>
              </w:rPr>
            </w:pPr>
          </w:p>
        </w:tc>
        <w:tc>
          <w:tcPr>
            <w:tcW w:w="52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between The GEO Group, Inc. and Mark J. Suchinski (incorporated by</w:t>
            </w:r>
          </w:p>
        </w:tc>
        <w:tc>
          <w:tcPr>
            <w:tcW w:w="40" w:type="dxa"/>
            <w:vAlign w:val="bottom"/>
          </w:tcPr>
          <w:p>
            <w:pPr>
              <w:spacing w:after="0"/>
              <w:rPr>
                <w:sz w:val="16"/>
                <w:szCs w:val="16"/>
                <w:color w:val="auto"/>
              </w:rPr>
            </w:pPr>
          </w:p>
        </w:tc>
        <w:tc>
          <w:tcPr>
            <w:tcW w:w="5000" w:type="dxa"/>
            <w:vAlign w:val="bottom"/>
            <w:gridSpan w:val="3"/>
          </w:tcPr>
          <w:p>
            <w:pPr>
              <w:spacing w:after="0" w:line="194" w:lineRule="exact"/>
              <w:rPr>
                <w:rFonts w:ascii="Times New Roman" w:cs="Times New Roman" w:eastAsia="Times New Roman" w:hAnsi="Times New Roman"/>
                <w:sz w:val="18"/>
                <w:szCs w:val="18"/>
                <w:color w:val="auto"/>
                <w:w w:val="99"/>
              </w:rPr>
            </w:pPr>
            <w:hyperlink r:id="rId511">
              <w:r>
                <w:rPr>
                  <w:rFonts w:ascii="Times New Roman" w:cs="Times New Roman" w:eastAsia="Times New Roman" w:hAnsi="Times New Roman"/>
                  <w:sz w:val="18"/>
                  <w:szCs w:val="18"/>
                  <w:color w:val="auto"/>
                  <w:w w:val="99"/>
                </w:rPr>
                <w:t>https://www.sec.gov/Archives/edgar/data/923796/000119312524158</w:t>
              </w:r>
            </w:hyperlink>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528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reference to</w:t>
            </w:r>
          </w:p>
        </w:tc>
        <w:tc>
          <w:tcPr>
            <w:tcW w:w="40" w:type="dxa"/>
            <w:vAlign w:val="bottom"/>
          </w:tcPr>
          <w:p>
            <w:pPr>
              <w:spacing w:after="0"/>
              <w:rPr>
                <w:sz w:val="17"/>
                <w:szCs w:val="17"/>
                <w:color w:val="auto"/>
              </w:rPr>
            </w:pPr>
          </w:p>
        </w:tc>
        <w:tc>
          <w:tcPr>
            <w:tcW w:w="49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auto"/>
              </w:rPr>
            </w:pPr>
            <w:hyperlink r:id="rId511">
              <w:r>
                <w:rPr>
                  <w:rFonts w:ascii="Times New Roman" w:cs="Times New Roman" w:eastAsia="Times New Roman" w:hAnsi="Times New Roman"/>
                  <w:sz w:val="18"/>
                  <w:szCs w:val="18"/>
                  <w:color w:val="auto"/>
                </w:rPr>
                <w:t>342/d800341dex101.htm</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right w:val="single" w:sz="8" w:color="auto"/>
            </w:tcBorders>
          </w:tcPr>
          <w:p>
            <w:pPr>
              <w:spacing w:after="0" w:line="20" w:lineRule="exact"/>
              <w:rPr>
                <w:sz w:val="1"/>
                <w:szCs w:val="1"/>
                <w:color w:val="auto"/>
              </w:rPr>
            </w:pP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920" w:type="dxa"/>
            <w:vAlign w:val="bottom"/>
          </w:tcPr>
          <w:p>
            <w:pPr>
              <w:spacing w:after="0"/>
              <w:rPr>
                <w:sz w:val="24"/>
                <w:szCs w:val="24"/>
                <w:color w:val="auto"/>
              </w:rPr>
            </w:pPr>
          </w:p>
        </w:tc>
        <w:tc>
          <w:tcPr>
            <w:tcW w:w="5280" w:type="dxa"/>
            <w:vAlign w:val="bottom"/>
          </w:tcPr>
          <w:p>
            <w:pPr>
              <w:ind w:left="4560"/>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1"/>
        </w:trPr>
        <w:tc>
          <w:tcPr>
            <w:tcW w:w="900" w:type="dxa"/>
            <w:vAlign w:val="bottom"/>
          </w:tcPr>
          <w:p>
            <w:pPr>
              <w:spacing w:after="0"/>
              <w:rPr>
                <w:sz w:val="18"/>
                <w:szCs w:val="18"/>
                <w:color w:val="auto"/>
              </w:rPr>
            </w:pPr>
          </w:p>
        </w:tc>
        <w:tc>
          <w:tcPr>
            <w:tcW w:w="5320" w:type="dxa"/>
            <w:vAlign w:val="bottom"/>
            <w:tcBorders>
              <w:top w:val="single" w:sz="8" w:color="auto"/>
              <w:right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on</w:t>
            </w:r>
          </w:p>
        </w:tc>
        <w:tc>
          <w:tcPr>
            <w:tcW w:w="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5320" w:type="dxa"/>
            <w:vAlign w:val="bottom"/>
            <w:tcBorders>
              <w:bottom w:val="single" w:sz="8" w:color="auto"/>
              <w:right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color w:val="auto"/>
              </w:rPr>
              <w:t>June 10, 2024). †</w:t>
            </w: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5160" w:type="dxa"/>
            <w:vAlign w:val="bottom"/>
            <w:tcBorders>
              <w:bottom w:val="single" w:sz="8" w:color="0000FF"/>
            </w:tcBorders>
            <w:gridSpan w:val="12"/>
          </w:tcPr>
          <w:p>
            <w:pPr>
              <w:ind w:left="20"/>
              <w:spacing w:after="0" w:line="169" w:lineRule="exact"/>
              <w:rPr>
                <w:sz w:val="20"/>
                <w:szCs w:val="20"/>
                <w:color w:val="auto"/>
              </w:rPr>
            </w:pPr>
            <w:r>
              <w:rPr>
                <w:rFonts w:ascii="Times New Roman" w:cs="Times New Roman" w:eastAsia="Times New Roman" w:hAnsi="Times New Roman"/>
                <w:sz w:val="18"/>
                <w:szCs w:val="18"/>
                <w:color w:val="0000FF"/>
              </w:rPr>
              <w:t>Separation and General Release Agreement, entered into on December</w:t>
            </w:r>
          </w:p>
        </w:tc>
        <w:tc>
          <w:tcPr>
            <w:tcW w:w="160" w:type="dxa"/>
            <w:vAlign w:val="bottom"/>
            <w:tcBorders>
              <w:right w:val="single" w:sz="8" w:color="auto"/>
            </w:tcBorders>
            <w:gridSpan w:val="3"/>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20" w:type="dxa"/>
            <w:vAlign w:val="bottom"/>
            <w:tcBorders>
              <w:right w:val="single" w:sz="8" w:color="auto"/>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3, 2024, between The GEO Group, Inc. and James H. Black.* †</w:t>
            </w: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5040" w:type="dxa"/>
            <w:vAlign w:val="bottom"/>
            <w:tcBorders>
              <w:bottom w:val="single" w:sz="8" w:color="0000FF"/>
            </w:tcBorders>
            <w:gridSpan w:val="11"/>
          </w:tcPr>
          <w:p>
            <w:pPr>
              <w:ind w:left="20"/>
              <w:spacing w:after="0" w:line="169" w:lineRule="exact"/>
              <w:rPr>
                <w:sz w:val="20"/>
                <w:szCs w:val="20"/>
                <w:color w:val="auto"/>
              </w:rPr>
            </w:pPr>
            <w:r>
              <w:rPr>
                <w:rFonts w:ascii="Times New Roman" w:cs="Times New Roman" w:eastAsia="Times New Roman" w:hAnsi="Times New Roman"/>
                <w:sz w:val="18"/>
                <w:szCs w:val="18"/>
                <w:color w:val="0000FF"/>
              </w:rPr>
              <w:t>Consultant Agreement, effective January 1, 2025, between The GEO</w:t>
            </w:r>
          </w:p>
        </w:tc>
        <w:tc>
          <w:tcPr>
            <w:tcW w:w="280" w:type="dxa"/>
            <w:vAlign w:val="bottom"/>
            <w:tcBorders>
              <w:right w:val="single" w:sz="8" w:color="auto"/>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20" w:type="dxa"/>
            <w:vAlign w:val="bottom"/>
            <w:tcBorders>
              <w:right w:val="single" w:sz="8" w:color="auto"/>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Group, Inc. and James H. Black.* †</w:t>
            </w: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Borders>
              <w:top w:val="single" w:sz="8" w:color="0000FF"/>
              <w:bottom w:val="single" w:sz="8" w:color="auto"/>
            </w:tcBorders>
          </w:tcPr>
          <w:p>
            <w:pPr>
              <w:spacing w:after="0"/>
              <w:rPr>
                <w:sz w:val="20"/>
                <w:szCs w:val="20"/>
                <w:color w:val="auto"/>
              </w:rPr>
            </w:pPr>
          </w:p>
        </w:tc>
        <w:tc>
          <w:tcPr>
            <w:tcW w:w="20" w:type="dxa"/>
            <w:vAlign w:val="bottom"/>
            <w:tcBorders>
              <w:top w:val="single" w:sz="8" w:color="0000FF"/>
              <w:bottom w:val="single" w:sz="8" w:color="auto"/>
            </w:tcBorders>
          </w:tcPr>
          <w:p>
            <w:pPr>
              <w:spacing w:after="0"/>
              <w:rPr>
                <w:sz w:val="20"/>
                <w:szCs w:val="20"/>
                <w:color w:val="auto"/>
              </w:rPr>
            </w:pPr>
          </w:p>
        </w:tc>
        <w:tc>
          <w:tcPr>
            <w:tcW w:w="132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500" w:type="dxa"/>
            <w:vAlign w:val="bottom"/>
            <w:tcBorders>
              <w:top w:val="single" w:sz="8" w:color="0000FF"/>
              <w:bottom w:val="single" w:sz="8" w:color="auto"/>
            </w:tcBorders>
          </w:tcPr>
          <w:p>
            <w:pPr>
              <w:spacing w:after="0"/>
              <w:rPr>
                <w:sz w:val="20"/>
                <w:szCs w:val="20"/>
                <w:color w:val="auto"/>
              </w:rPr>
            </w:pPr>
          </w:p>
        </w:tc>
        <w:tc>
          <w:tcPr>
            <w:tcW w:w="20" w:type="dxa"/>
            <w:vAlign w:val="bottom"/>
            <w:tcBorders>
              <w:top w:val="single" w:sz="8" w:color="0000FF"/>
              <w:bottom w:val="single" w:sz="8" w:color="auto"/>
            </w:tcBorders>
          </w:tcPr>
          <w:p>
            <w:pPr>
              <w:spacing w:after="0"/>
              <w:rPr>
                <w:sz w:val="20"/>
                <w:szCs w:val="20"/>
                <w:color w:val="auto"/>
              </w:rPr>
            </w:pPr>
          </w:p>
        </w:tc>
        <w:tc>
          <w:tcPr>
            <w:tcW w:w="140" w:type="dxa"/>
            <w:vAlign w:val="bottom"/>
            <w:tcBorders>
              <w:top w:val="single" w:sz="8" w:color="0000FF"/>
              <w:bottom w:val="single" w:sz="8" w:color="auto"/>
            </w:tcBorders>
          </w:tcPr>
          <w:p>
            <w:pPr>
              <w:spacing w:after="0"/>
              <w:rPr>
                <w:sz w:val="20"/>
                <w:szCs w:val="20"/>
                <w:color w:val="auto"/>
              </w:rPr>
            </w:pPr>
          </w:p>
        </w:tc>
        <w:tc>
          <w:tcPr>
            <w:tcW w:w="200" w:type="dxa"/>
            <w:vAlign w:val="bottom"/>
            <w:tcBorders>
              <w:top w:val="single" w:sz="8" w:color="0000FF"/>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5320" w:type="dxa"/>
            <w:vAlign w:val="bottom"/>
            <w:tcBorders>
              <w:right w:val="single" w:sz="8" w:color="auto"/>
            </w:tcBorders>
            <w:gridSpan w:val="15"/>
          </w:tcPr>
          <w:p>
            <w:pPr>
              <w:ind w:left="20"/>
              <w:spacing w:after="0" w:line="191" w:lineRule="exact"/>
              <w:rPr>
                <w:sz w:val="20"/>
                <w:szCs w:val="20"/>
                <w:color w:val="auto"/>
              </w:rPr>
            </w:pPr>
            <w:r>
              <w:rPr>
                <w:rFonts w:ascii="Times New Roman" w:cs="Times New Roman" w:eastAsia="Times New Roman" w:hAnsi="Times New Roman"/>
                <w:sz w:val="18"/>
                <w:szCs w:val="18"/>
                <w:color w:val="auto"/>
              </w:rPr>
              <w:t>Separation Agreement and General Release, entered into on December</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20" w:type="dxa"/>
            <w:vAlign w:val="bottom"/>
            <w:tcBorders>
              <w:right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color w:val="auto"/>
              </w:rPr>
              <w:t>13, 2024, between The GEO Group, Inc. and Brian Evans (incorporated</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5320" w:type="dxa"/>
            <w:vAlign w:val="bottom"/>
            <w:tcBorders>
              <w:right w:val="single" w:sz="8" w:color="auto"/>
            </w:tcBorders>
            <w:gridSpan w:val="15"/>
          </w:tcPr>
          <w:p>
            <w:pPr>
              <w:ind w:left="20"/>
              <w:spacing w:after="0" w:line="194" w:lineRule="exact"/>
              <w:rPr>
                <w:sz w:val="20"/>
                <w:szCs w:val="20"/>
                <w:color w:val="auto"/>
              </w:rPr>
            </w:pPr>
            <w:r>
              <w:rPr>
                <w:rFonts w:ascii="Times New Roman" w:cs="Times New Roman" w:eastAsia="Times New Roman" w:hAnsi="Times New Roman"/>
                <w:sz w:val="18"/>
                <w:szCs w:val="18"/>
                <w:color w:val="auto"/>
              </w:rPr>
              <w:t>by reference to Exhibit 10.1 to the Company's Current Report on Form</w:t>
            </w:r>
          </w:p>
        </w:tc>
        <w:tc>
          <w:tcPr>
            <w:tcW w:w="20" w:type="dxa"/>
            <w:vAlign w:val="bottom"/>
          </w:tcPr>
          <w:p>
            <w:pPr>
              <w:spacing w:after="0"/>
              <w:rPr>
                <w:sz w:val="16"/>
                <w:szCs w:val="16"/>
                <w:color w:val="auto"/>
              </w:rPr>
            </w:pPr>
          </w:p>
        </w:tc>
        <w:tc>
          <w:tcPr>
            <w:tcW w:w="5000" w:type="dxa"/>
            <w:vAlign w:val="bottom"/>
            <w:gridSpan w:val="3"/>
          </w:tcPr>
          <w:p>
            <w:pPr>
              <w:spacing w:after="0" w:line="194" w:lineRule="exact"/>
              <w:rPr>
                <w:rFonts w:ascii="Times New Roman" w:cs="Times New Roman" w:eastAsia="Times New Roman" w:hAnsi="Times New Roman"/>
                <w:sz w:val="18"/>
                <w:szCs w:val="18"/>
                <w:color w:val="auto"/>
              </w:rPr>
            </w:pPr>
            <w:hyperlink r:id="rId514">
              <w:r>
                <w:rPr>
                  <w:rFonts w:ascii="Times New Roman" w:cs="Times New Roman" w:eastAsia="Times New Roman" w:hAnsi="Times New Roman"/>
                  <w:sz w:val="18"/>
                  <w:szCs w:val="18"/>
                  <w:color w:val="auto"/>
                </w:rPr>
                <w:t>https://www.sec.gov/Archives/edgar/data/923796/000119312524279</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20" w:type="dxa"/>
            <w:vAlign w:val="bottom"/>
            <w:tcBorders>
              <w:right w:val="single" w:sz="8" w:color="auto"/>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auto"/>
              </w:rPr>
              <w:t>8-K filed on December 16, 2024). †</w:t>
            </w:r>
          </w:p>
        </w:tc>
        <w:tc>
          <w:tcPr>
            <w:tcW w:w="20" w:type="dxa"/>
            <w:vAlign w:val="bottom"/>
          </w:tcPr>
          <w:p>
            <w:pPr>
              <w:spacing w:after="0"/>
              <w:rPr>
                <w:sz w:val="17"/>
                <w:szCs w:val="17"/>
                <w:color w:val="auto"/>
              </w:rPr>
            </w:pPr>
          </w:p>
        </w:tc>
        <w:tc>
          <w:tcPr>
            <w:tcW w:w="4960" w:type="dxa"/>
            <w:vAlign w:val="bottom"/>
            <w:tcBorders>
              <w:top w:val="single" w:sz="8" w:color="auto"/>
            </w:tcBorders>
            <w:gridSpan w:val="2"/>
          </w:tcPr>
          <w:p>
            <w:pPr>
              <w:spacing w:after="0" w:line="196" w:lineRule="exact"/>
              <w:rPr>
                <w:rFonts w:ascii="Times New Roman" w:cs="Times New Roman" w:eastAsia="Times New Roman" w:hAnsi="Times New Roman"/>
                <w:sz w:val="18"/>
                <w:szCs w:val="18"/>
                <w:color w:val="auto"/>
              </w:rPr>
            </w:pPr>
            <w:hyperlink r:id="rId514">
              <w:r>
                <w:rPr>
                  <w:rFonts w:ascii="Times New Roman" w:cs="Times New Roman" w:eastAsia="Times New Roman" w:hAnsi="Times New Roman"/>
                  <w:sz w:val="18"/>
                  <w:szCs w:val="18"/>
                  <w:color w:val="auto"/>
                </w:rPr>
                <w:t>667/d847086dex101.htm</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8"/>
              </w:rPr>
              <w:t>10.26</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0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5320" w:type="dxa"/>
            <w:vAlign w:val="bottom"/>
            <w:tcBorders>
              <w:right w:val="single" w:sz="8" w:color="auto"/>
            </w:tcBorders>
            <w:gridSpan w:val="15"/>
          </w:tcPr>
          <w:p>
            <w:pPr>
              <w:ind w:left="20"/>
              <w:spacing w:after="0" w:line="191" w:lineRule="exact"/>
              <w:rPr>
                <w:sz w:val="20"/>
                <w:szCs w:val="20"/>
                <w:color w:val="auto"/>
              </w:rPr>
            </w:pPr>
            <w:r>
              <w:rPr>
                <w:rFonts w:ascii="Times New Roman" w:cs="Times New Roman" w:eastAsia="Times New Roman" w:hAnsi="Times New Roman"/>
                <w:sz w:val="18"/>
                <w:szCs w:val="18"/>
                <w:color w:val="auto"/>
              </w:rPr>
              <w:t>Executive Employment Agreement, entered into on December 16, 2024,</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320" w:type="dxa"/>
            <w:vAlign w:val="bottom"/>
            <w:tcBorders>
              <w:right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color w:val="auto"/>
              </w:rPr>
              <w:t>between The GEO Group, Inc. and J. David Donahue (incorporated by</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5320" w:type="dxa"/>
            <w:vAlign w:val="bottom"/>
            <w:tcBorders>
              <w:right w:val="single" w:sz="8" w:color="auto"/>
            </w:tcBorders>
            <w:gridSpan w:val="15"/>
          </w:tcPr>
          <w:p>
            <w:pPr>
              <w:ind w:left="20"/>
              <w:spacing w:after="0" w:line="194" w:lineRule="exact"/>
              <w:rPr>
                <w:sz w:val="20"/>
                <w:szCs w:val="20"/>
                <w:color w:val="auto"/>
              </w:rPr>
            </w:pPr>
            <w:r>
              <w:rPr>
                <w:rFonts w:ascii="Times New Roman" w:cs="Times New Roman" w:eastAsia="Times New Roman" w:hAnsi="Times New Roman"/>
                <w:sz w:val="18"/>
                <w:szCs w:val="18"/>
                <w:color w:val="auto"/>
              </w:rPr>
              <w:t>reference to Exhibit 10.2 to the Company's Current Report on Form 8-K</w:t>
            </w:r>
          </w:p>
        </w:tc>
        <w:tc>
          <w:tcPr>
            <w:tcW w:w="20" w:type="dxa"/>
            <w:vAlign w:val="bottom"/>
          </w:tcPr>
          <w:p>
            <w:pPr>
              <w:spacing w:after="0"/>
              <w:rPr>
                <w:sz w:val="16"/>
                <w:szCs w:val="16"/>
                <w:color w:val="auto"/>
              </w:rPr>
            </w:pPr>
          </w:p>
        </w:tc>
        <w:tc>
          <w:tcPr>
            <w:tcW w:w="5000" w:type="dxa"/>
            <w:vAlign w:val="bottom"/>
            <w:gridSpan w:val="3"/>
          </w:tcPr>
          <w:p>
            <w:pPr>
              <w:spacing w:after="0" w:line="194" w:lineRule="exact"/>
              <w:rPr>
                <w:rFonts w:ascii="Times New Roman" w:cs="Times New Roman" w:eastAsia="Times New Roman" w:hAnsi="Times New Roman"/>
                <w:sz w:val="18"/>
                <w:szCs w:val="18"/>
                <w:color w:val="auto"/>
              </w:rPr>
            </w:pPr>
            <w:hyperlink r:id="rId515">
              <w:r>
                <w:rPr>
                  <w:rFonts w:ascii="Times New Roman" w:cs="Times New Roman" w:eastAsia="Times New Roman" w:hAnsi="Times New Roman"/>
                  <w:sz w:val="18"/>
                  <w:szCs w:val="18"/>
                  <w:color w:val="auto"/>
                </w:rPr>
                <w:t>https://www.sec.gov/Archives/edgar/data/923796/000119312524279</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320" w:type="dxa"/>
            <w:vAlign w:val="bottom"/>
            <w:tcBorders>
              <w:right w:val="single" w:sz="8" w:color="auto"/>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auto"/>
              </w:rPr>
              <w:t>filed on December 16, 2024). †</w:t>
            </w:r>
          </w:p>
        </w:tc>
        <w:tc>
          <w:tcPr>
            <w:tcW w:w="20" w:type="dxa"/>
            <w:vAlign w:val="bottom"/>
          </w:tcPr>
          <w:p>
            <w:pPr>
              <w:spacing w:after="0"/>
              <w:rPr>
                <w:sz w:val="17"/>
                <w:szCs w:val="17"/>
                <w:color w:val="auto"/>
              </w:rPr>
            </w:pPr>
          </w:p>
        </w:tc>
        <w:tc>
          <w:tcPr>
            <w:tcW w:w="49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auto"/>
              </w:rPr>
            </w:pPr>
            <w:hyperlink r:id="rId515">
              <w:r>
                <w:rPr>
                  <w:rFonts w:ascii="Times New Roman" w:cs="Times New Roman" w:eastAsia="Times New Roman" w:hAnsi="Times New Roman"/>
                  <w:sz w:val="18"/>
                  <w:szCs w:val="18"/>
                  <w:color w:val="auto"/>
                </w:rPr>
                <w:t>667/d847086dex102.htm</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5320" w:type="dxa"/>
            <w:vAlign w:val="bottom"/>
            <w:tcBorders>
              <w:right w:val="single" w:sz="8" w:color="auto"/>
            </w:tcBorders>
            <w:gridSpan w:val="15"/>
          </w:tcPr>
          <w:p>
            <w:pPr>
              <w:ind w:left="20"/>
              <w:spacing w:after="0" w:line="169" w:lineRule="exact"/>
              <w:rPr>
                <w:sz w:val="20"/>
                <w:szCs w:val="20"/>
                <w:color w:val="auto"/>
              </w:rPr>
            </w:pPr>
            <w:r>
              <w:rPr>
                <w:rFonts w:ascii="Times New Roman" w:cs="Times New Roman" w:eastAsia="Times New Roman" w:hAnsi="Times New Roman"/>
                <w:sz w:val="18"/>
                <w:szCs w:val="18"/>
                <w:color w:val="0000FF"/>
              </w:rPr>
              <w:t>Insider Trading Policy*</w:t>
            </w: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top w:val="single" w:sz="8" w:color="0000FF"/>
              <w:bottom w:val="single" w:sz="8" w:color="auto"/>
            </w:tcBorders>
          </w:tcPr>
          <w:p>
            <w:pPr>
              <w:spacing w:after="0"/>
              <w:rPr>
                <w:sz w:val="20"/>
                <w:szCs w:val="20"/>
                <w:color w:val="auto"/>
              </w:rPr>
            </w:pPr>
          </w:p>
        </w:tc>
        <w:tc>
          <w:tcPr>
            <w:tcW w:w="20" w:type="dxa"/>
            <w:vAlign w:val="bottom"/>
            <w:tcBorders>
              <w:top w:val="single" w:sz="8" w:color="0000FF"/>
              <w:bottom w:val="single" w:sz="8" w:color="auto"/>
            </w:tcBorders>
          </w:tcPr>
          <w:p>
            <w:pPr>
              <w:spacing w:after="0"/>
              <w:rPr>
                <w:sz w:val="20"/>
                <w:szCs w:val="20"/>
                <w:color w:val="auto"/>
              </w:rPr>
            </w:pPr>
          </w:p>
        </w:tc>
        <w:tc>
          <w:tcPr>
            <w:tcW w:w="132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5320" w:type="dxa"/>
            <w:vAlign w:val="bottom"/>
            <w:tcBorders>
              <w:right w:val="single" w:sz="8" w:color="auto"/>
            </w:tcBorders>
            <w:gridSpan w:val="15"/>
          </w:tcPr>
          <w:p>
            <w:pPr>
              <w:ind w:left="80"/>
              <w:spacing w:after="0" w:line="169" w:lineRule="exact"/>
              <w:rPr>
                <w:sz w:val="20"/>
                <w:szCs w:val="20"/>
                <w:color w:val="auto"/>
              </w:rPr>
            </w:pPr>
            <w:r>
              <w:rPr>
                <w:rFonts w:ascii="Times New Roman" w:cs="Times New Roman" w:eastAsia="Times New Roman" w:hAnsi="Times New Roman"/>
                <w:sz w:val="18"/>
                <w:szCs w:val="18"/>
                <w:color w:val="0000FF"/>
              </w:rPr>
              <w:t>Subsidiaries of the Company*</w:t>
            </w: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900" w:type="dxa"/>
            <w:vAlign w:val="bottom"/>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5320" w:type="dxa"/>
            <w:vAlign w:val="bottom"/>
            <w:tcBorders>
              <w:right w:val="single" w:sz="8" w:color="auto"/>
            </w:tcBorders>
            <w:gridSpan w:val="15"/>
          </w:tcPr>
          <w:p>
            <w:pPr>
              <w:ind w:left="80"/>
              <w:spacing w:after="0" w:line="169" w:lineRule="exact"/>
              <w:rPr>
                <w:sz w:val="20"/>
                <w:szCs w:val="20"/>
                <w:color w:val="auto"/>
              </w:rPr>
            </w:pPr>
            <w:r>
              <w:rPr>
                <w:rFonts w:ascii="Times New Roman" w:cs="Times New Roman" w:eastAsia="Times New Roman" w:hAnsi="Times New Roman"/>
                <w:sz w:val="18"/>
                <w:szCs w:val="18"/>
                <w:color w:val="0000FF"/>
              </w:rPr>
              <w:t>List of Guarantor Subsidiaries *</w:t>
            </w: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900" w:type="dxa"/>
            <w:vAlign w:val="bottom"/>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90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bottom w:val="single" w:sz="8" w:color="0000FF"/>
            </w:tcBorders>
            <w:gridSpan w:val="12"/>
          </w:tcPr>
          <w:p>
            <w:pPr>
              <w:spacing w:after="0" w:line="172" w:lineRule="exact"/>
              <w:rPr>
                <w:sz w:val="20"/>
                <w:szCs w:val="20"/>
                <w:color w:val="auto"/>
              </w:rPr>
            </w:pPr>
            <w:r>
              <w:rPr>
                <w:rFonts w:ascii="Times New Roman" w:cs="Times New Roman" w:eastAsia="Times New Roman" w:hAnsi="Times New Roman"/>
                <w:sz w:val="18"/>
                <w:szCs w:val="18"/>
                <w:color w:val="0000FF"/>
              </w:rPr>
              <w:t>Consent of Grant Thornton LLP, Independent Registered Public</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900" w:type="dxa"/>
            <w:vAlign w:val="bottom"/>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90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bottom w:val="single" w:sz="8" w:color="0000FF"/>
            </w:tcBorders>
            <w:gridSpan w:val="11"/>
          </w:tcPr>
          <w:p>
            <w:pPr>
              <w:spacing w:after="0" w:line="172" w:lineRule="exact"/>
              <w:rPr>
                <w:sz w:val="20"/>
                <w:szCs w:val="20"/>
                <w:color w:val="auto"/>
              </w:rPr>
            </w:pPr>
            <w:r>
              <w:rPr>
                <w:rFonts w:ascii="Times New Roman" w:cs="Times New Roman" w:eastAsia="Times New Roman" w:hAnsi="Times New Roman"/>
                <w:sz w:val="18"/>
                <w:szCs w:val="18"/>
                <w:color w:val="0000FF"/>
              </w:rPr>
              <w:t>Rule 13a-14(a) Certification in accordance with Section 302 of the</w:t>
            </w:r>
          </w:p>
        </w:tc>
        <w:tc>
          <w:tcPr>
            <w:tcW w:w="120" w:type="dxa"/>
            <w:vAlign w:val="bottom"/>
            <w:tcBorders>
              <w:right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900" w:type="dxa"/>
            <w:vAlign w:val="bottom"/>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90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bottom w:val="single" w:sz="8" w:color="0000FF"/>
            </w:tcBorders>
            <w:gridSpan w:val="11"/>
          </w:tcPr>
          <w:p>
            <w:pPr>
              <w:spacing w:after="0" w:line="172" w:lineRule="exact"/>
              <w:rPr>
                <w:sz w:val="20"/>
                <w:szCs w:val="20"/>
                <w:color w:val="auto"/>
              </w:rPr>
            </w:pPr>
            <w:r>
              <w:rPr>
                <w:rFonts w:ascii="Times New Roman" w:cs="Times New Roman" w:eastAsia="Times New Roman" w:hAnsi="Times New Roman"/>
                <w:sz w:val="18"/>
                <w:szCs w:val="18"/>
                <w:color w:val="0000FF"/>
              </w:rPr>
              <w:t>Rule 13a-14(a) Certification in accordance with Section 302 of the</w:t>
            </w:r>
          </w:p>
        </w:tc>
        <w:tc>
          <w:tcPr>
            <w:tcW w:w="120" w:type="dxa"/>
            <w:vAlign w:val="bottom"/>
            <w:tcBorders>
              <w:right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0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bottom w:val="single" w:sz="8" w:color="0000FF"/>
            </w:tcBorders>
            <w:gridSpan w:val="12"/>
          </w:tcPr>
          <w:p>
            <w:pPr>
              <w:spacing w:after="0" w:line="172"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right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5040" w:type="dxa"/>
            <w:vAlign w:val="bottom"/>
            <w:gridSpan w:val="11"/>
          </w:tcPr>
          <w:p>
            <w:pPr>
              <w:ind w:left="458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-2189480</wp:posOffset>
            </wp:positionV>
            <wp:extent cx="3231515" cy="1431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6">
                      <a:extLst>
                        <a:ext uri="{28A0092B-C50C-407E-A947-70E740481C1C}"/>
                      </a:extLst>
                    </a:blip>
                    <a:srcRect/>
                    <a:stretch>
                      <a:fillRect/>
                    </a:stretch>
                  </pic:blipFill>
                  <pic:spPr bwMode="auto">
                    <a:xfrm>
                      <a:off x="0" y="0"/>
                      <a:ext cx="3231515" cy="14312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43" w:name="page144"/>
    <w:bookmarkEnd w:id="143"/>
    <w:p>
      <w:pPr>
        <w:ind w:left="1000" w:right="5100" w:hanging="886"/>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780415</wp:posOffset>
            </wp:positionH>
            <wp:positionV relativeFrom="page">
              <wp:posOffset>882015</wp:posOffset>
            </wp:positionV>
            <wp:extent cx="6572885" cy="3168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9">
                      <a:extLst>
                        <a:ext uri="{28A0092B-C50C-407E-A947-70E740481C1C}"/>
                      </a:extLst>
                    </a:blip>
                    <a:srcRect/>
                    <a:stretch>
                      <a:fillRect/>
                    </a:stretch>
                  </pic:blipFill>
                  <pic:spPr bwMode="auto">
                    <a:xfrm>
                      <a:off x="0" y="0"/>
                      <a:ext cx="6572885" cy="316865"/>
                    </a:xfrm>
                    <a:prstGeom prst="rect">
                      <a:avLst/>
                    </a:prstGeom>
                    <a:noFill/>
                  </pic:spPr>
                </pic:pic>
              </a:graphicData>
            </a:graphic>
          </wp:anchor>
        </w:drawing>
        <w:t>32.2</w:t>
      </w:r>
      <w:r>
        <w:rPr>
          <w:sz w:val="20"/>
          <w:szCs w:val="20"/>
          <w:color w:val="auto"/>
        </w:rPr>
        <w:tab/>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202" w:lineRule="exact"/>
        <w:rPr>
          <w:sz w:val="20"/>
          <w:szCs w:val="20"/>
          <w:color w:val="auto"/>
        </w:rPr>
      </w:pPr>
    </w:p>
    <w:p>
      <w:pPr>
        <w:jc w:val="right"/>
        <w:ind w:left="120" w:right="5300"/>
        <w:spacing w:after="0" w:line="261" w:lineRule="auto"/>
        <w:rPr>
          <w:sz w:val="20"/>
          <w:szCs w:val="20"/>
          <w:color w:val="auto"/>
        </w:rPr>
      </w:pPr>
      <w:r>
        <w:rPr>
          <w:rFonts w:ascii="Times New Roman" w:cs="Times New Roman" w:eastAsia="Times New Roman" w:hAnsi="Times New Roman"/>
          <w:sz w:val="18"/>
          <w:szCs w:val="18"/>
          <w:color w:val="auto"/>
        </w:rPr>
        <w:t>97.1      The GEO Group, Inc. Clawback Policy (incorporated by reference to Exhibit 97.1 to the Company's Annual Report on Form 10-K filed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-281940</wp:posOffset>
            </wp:positionV>
            <wp:extent cx="6566535" cy="1945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0">
                      <a:extLst>
                        <a:ext uri="{28A0092B-C50C-407E-A947-70E740481C1C}"/>
                      </a:extLst>
                    </a:blip>
                    <a:srcRect/>
                    <a:stretch>
                      <a:fillRect/>
                    </a:stretch>
                  </pic:blipFill>
                  <pic:spPr bwMode="auto">
                    <a:xfrm>
                      <a:off x="0" y="0"/>
                      <a:ext cx="6566535" cy="1945640"/>
                    </a:xfrm>
                    <a:prstGeom prst="rect">
                      <a:avLst/>
                    </a:prstGeom>
                    <a:noFill/>
                  </pic:spPr>
                </pic:pic>
              </a:graphicData>
            </a:graphic>
          </wp:anchor>
        </w:drawing>
      </w:r>
    </w:p>
    <w:p>
      <w:pPr>
        <w:ind w:left="6240" w:hanging="5313"/>
        <w:spacing w:after="0" w:line="265" w:lineRule="auto"/>
        <w:tabs>
          <w:tab w:leader="none" w:pos="6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February 29, 2024). †</w:t>
      </w:r>
      <w:r>
        <w:rPr>
          <w:sz w:val="20"/>
          <w:szCs w:val="20"/>
          <w:color w:val="auto"/>
        </w:rPr>
        <w:tab/>
      </w:r>
      <w:hyperlink r:id="rId521">
        <w:r>
          <w:rPr>
            <w:rFonts w:ascii="Times New Roman" w:cs="Times New Roman" w:eastAsia="Times New Roman" w:hAnsi="Times New Roman"/>
            <w:sz w:val="17"/>
            <w:szCs w:val="17"/>
            <w:u w:val="single" w:color="auto"/>
            <w:color w:val="0000FF"/>
          </w:rPr>
          <w:t>https://www.sec.gov/Archives/edgar/data/923796/000095017024023</w:t>
        </w:r>
      </w:hyperlink>
      <w:r>
        <w:rPr>
          <w:rFonts w:ascii="Times New Roman" w:cs="Times New Roman" w:eastAsia="Times New Roman" w:hAnsi="Times New Roman"/>
          <w:sz w:val="17"/>
          <w:szCs w:val="17"/>
          <w:u w:val="single" w:color="auto"/>
          <w:color w:val="0000FF"/>
        </w:rPr>
        <w:t xml:space="preserve"> </w:t>
      </w:r>
      <w:hyperlink r:id="rId521">
        <w:r>
          <w:rPr>
            <w:rFonts w:ascii="Times New Roman" w:cs="Times New Roman" w:eastAsia="Times New Roman" w:hAnsi="Times New Roman"/>
            <w:sz w:val="17"/>
            <w:szCs w:val="17"/>
            <w:u w:val="single" w:color="auto"/>
            <w:color w:val="0000FF"/>
          </w:rPr>
          <w:t>181/geo-ex97_1.htm</w:t>
        </w:r>
      </w:hyperlink>
    </w:p>
    <w:p>
      <w:pPr>
        <w:jc w:val="both"/>
        <w:ind w:left="980" w:right="5100" w:hanging="869"/>
        <w:spacing w:after="0" w:line="253"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Annual Report on Form 10-K for the year ended December 31, 2024, formatted in Inline XBRL (Extensible Business Reporting Language) includes: (i) the Consolidated Statements of Operations, (ii) the Consolidated Statements of Comprehensive Income (Loss), (iii) the Consolidated Balance Sheets, (iv) the Consolidated Statements of Cash Flows, (v) the Consolidated Statements of Stockholders' Equity, and (vi) the Notes to the Consolidated Financial Statements. The instance document does not appear in the interactive data file because its XBRL tags are embedded within the Inline XBRL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76200</wp:posOffset>
            </wp:positionV>
            <wp:extent cx="6572885" cy="3168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2">
                      <a:extLst>
                        <a:ext uri="{28A0092B-C50C-407E-A947-70E740481C1C}"/>
                      </a:extLst>
                    </a:blip>
                    <a:srcRect/>
                    <a:stretch>
                      <a:fillRect/>
                    </a:stretch>
                  </pic:blipFill>
                  <pic:spPr bwMode="auto">
                    <a:xfrm>
                      <a:off x="0" y="0"/>
                      <a:ext cx="6572885" cy="316865"/>
                    </a:xfrm>
                    <a:prstGeom prst="rect">
                      <a:avLst/>
                    </a:prstGeom>
                    <a:noFill/>
                  </pic:spPr>
                </pic:pic>
              </a:graphicData>
            </a:graphic>
          </wp:anchor>
        </w:drawing>
      </w:r>
    </w:p>
    <w:p>
      <w:pPr>
        <w:spacing w:after="0" w:line="115" w:lineRule="exact"/>
        <w:rPr>
          <w:sz w:val="20"/>
          <w:szCs w:val="20"/>
          <w:color w:val="auto"/>
        </w:rPr>
      </w:pPr>
    </w:p>
    <w:p>
      <w:pPr>
        <w:ind w:left="1000" w:right="5100" w:hanging="889"/>
        <w:spacing w:after="0" w:line="282" w:lineRule="auto"/>
        <w:tabs>
          <w:tab w:leader="none" w:pos="10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Title - the cover page XBRL tags are embedded within the Inline XBRL document. *</w:t>
      </w:r>
    </w:p>
    <w:p>
      <w:pPr>
        <w:spacing w:after="0" w:line="8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these Exhibits have been omitted in accordance with Regulation S-K Item 601 because they are both (i) not material to investors and (ii) the type of information that the Registrant customarily and actually treats as private or confidential and have been marked with ‘‘[***]’’ to indicate where omissions have been made. The Registrant agrees to furnish supplementally an unredacted copy of the Exhibit to the SEC upon its request.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contract or agreement as defined in Item 402 (a)(3) of Regulation S-K.</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Paper filing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25" w:lineRule="exact"/>
        <w:rPr>
          <w:sz w:val="20"/>
          <w:szCs w:val="20"/>
          <w:color w:val="auto"/>
        </w:rPr>
      </w:pPr>
    </w:p>
    <w:p>
      <w:pPr>
        <w:ind w:left="6240"/>
        <w:spacing w:after="0"/>
        <w:tabs>
          <w:tab w:leader="none" w:pos="65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Mark J. Suchinski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Mark J. Suchinski</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2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1" w:right="33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jc w:val="center"/>
              <w:ind w:right="1632"/>
              <w:spacing w:after="0"/>
              <w:rPr>
                <w:sz w:val="20"/>
                <w:szCs w:val="20"/>
                <w:color w:val="auto"/>
              </w:rPr>
            </w:pPr>
            <w:r>
              <w:rPr>
                <w:rFonts w:ascii="Times New Roman" w:cs="Times New Roman" w:eastAsia="Times New Roman" w:hAnsi="Times New Roman"/>
                <w:sz w:val="14"/>
                <w:szCs w:val="14"/>
                <w:b w:val="1"/>
                <w:bCs w:val="1"/>
                <w:color w:val="auto"/>
              </w:rPr>
              <w:t>Signature</w:t>
            </w:r>
          </w:p>
        </w:tc>
      </w:tr>
      <w:tr>
        <w:trPr>
          <w:trHeight w:val="331"/>
        </w:trPr>
        <w:tc>
          <w:tcPr>
            <w:tcW w:w="17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tcPr>
          <w:p>
            <w:pPr>
              <w:jc w:val="center"/>
              <w:ind w:right="1272"/>
              <w:spacing w:after="0"/>
              <w:rPr>
                <w:sz w:val="20"/>
                <w:szCs w:val="20"/>
                <w:color w:val="auto"/>
              </w:rPr>
            </w:pPr>
            <w:r>
              <w:rPr>
                <w:rFonts w:ascii="Times New Roman" w:cs="Times New Roman" w:eastAsia="Times New Roman" w:hAnsi="Times New Roman"/>
                <w:sz w:val="18"/>
                <w:szCs w:val="18"/>
                <w:color w:val="auto"/>
                <w:w w:val="99"/>
              </w:rPr>
              <w:t>George C. Zoley</w:t>
            </w:r>
          </w:p>
        </w:tc>
      </w:tr>
      <w:tr>
        <w:trPr>
          <w:trHeight w:val="228"/>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George C. Zoley</w:t>
            </w:r>
          </w:p>
        </w:tc>
      </w:tr>
      <w:tr>
        <w:trPr>
          <w:trHeight w:val="616"/>
        </w:trPr>
        <w:tc>
          <w:tcPr>
            <w:tcW w:w="17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tcPr>
          <w:p>
            <w:pPr>
              <w:jc w:val="center"/>
              <w:ind w:right="1252"/>
              <w:spacing w:after="0"/>
              <w:rPr>
                <w:sz w:val="20"/>
                <w:szCs w:val="20"/>
                <w:color w:val="auto"/>
              </w:rPr>
            </w:pPr>
            <w:r>
              <w:rPr>
                <w:rFonts w:ascii="Times New Roman" w:cs="Times New Roman" w:eastAsia="Times New Roman" w:hAnsi="Times New Roman"/>
                <w:sz w:val="18"/>
                <w:szCs w:val="18"/>
                <w:color w:val="auto"/>
              </w:rPr>
              <w:t>J. David Donahue</w:t>
            </w:r>
          </w:p>
        </w:tc>
      </w:tr>
      <w:tr>
        <w:trPr>
          <w:trHeight w:val="228"/>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 David Donahue</w:t>
            </w:r>
          </w:p>
        </w:tc>
      </w:tr>
      <w:tr>
        <w:trPr>
          <w:trHeight w:val="562"/>
        </w:trPr>
        <w:tc>
          <w:tcPr>
            <w:tcW w:w="17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tcPr>
          <w:p>
            <w:pPr>
              <w:jc w:val="center"/>
              <w:ind w:right="1252"/>
              <w:spacing w:after="0"/>
              <w:rPr>
                <w:sz w:val="20"/>
                <w:szCs w:val="20"/>
                <w:color w:val="auto"/>
              </w:rPr>
            </w:pPr>
            <w:r>
              <w:rPr>
                <w:rFonts w:ascii="Times New Roman" w:cs="Times New Roman" w:eastAsia="Times New Roman" w:hAnsi="Times New Roman"/>
                <w:sz w:val="18"/>
                <w:szCs w:val="18"/>
                <w:color w:val="auto"/>
                <w:w w:val="99"/>
              </w:rPr>
              <w:t>Mark J. Suchinski</w:t>
            </w:r>
          </w:p>
        </w:tc>
      </w:tr>
      <w:tr>
        <w:trPr>
          <w:trHeight w:val="228"/>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Mark J. Suchinski</w:t>
            </w:r>
          </w:p>
        </w:tc>
      </w:tr>
      <w:tr>
        <w:trPr>
          <w:trHeight w:val="535"/>
        </w:trPr>
        <w:tc>
          <w:tcPr>
            <w:tcW w:w="17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tcPr>
          <w:p>
            <w:pPr>
              <w:jc w:val="center"/>
              <w:ind w:right="1252"/>
              <w:spacing w:after="0"/>
              <w:rPr>
                <w:sz w:val="20"/>
                <w:szCs w:val="20"/>
                <w:color w:val="auto"/>
              </w:rPr>
            </w:pPr>
            <w:r>
              <w:rPr>
                <w:rFonts w:ascii="Times New Roman" w:cs="Times New Roman" w:eastAsia="Times New Roman" w:hAnsi="Times New Roman"/>
                <w:sz w:val="18"/>
                <w:szCs w:val="18"/>
                <w:color w:val="auto"/>
              </w:rPr>
              <w:t>Ronald A. Brack</w:t>
            </w:r>
          </w:p>
        </w:tc>
      </w:tr>
      <w:tr>
        <w:trPr>
          <w:trHeight w:val="228"/>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Ronald A. Brack</w:t>
            </w:r>
          </w:p>
        </w:tc>
      </w:tr>
      <w:tr>
        <w:trPr>
          <w:trHeight w:val="535"/>
        </w:trPr>
        <w:tc>
          <w:tcPr>
            <w:tcW w:w="17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w w:val="82"/>
              </w:rPr>
              <w:t>/s/</w:t>
            </w:r>
          </w:p>
        </w:tc>
        <w:tc>
          <w:tcPr>
            <w:tcW w:w="2760" w:type="dxa"/>
            <w:vAlign w:val="bottom"/>
            <w:tcBorders>
              <w:bottom w:val="single" w:sz="8" w:color="auto"/>
            </w:tcBorders>
          </w:tcPr>
          <w:p>
            <w:pPr>
              <w:jc w:val="center"/>
              <w:ind w:right="1272"/>
              <w:spacing w:after="0"/>
              <w:rPr>
                <w:sz w:val="20"/>
                <w:szCs w:val="20"/>
                <w:color w:val="auto"/>
              </w:rPr>
            </w:pPr>
            <w:r>
              <w:rPr>
                <w:rFonts w:ascii="Times New Roman" w:cs="Times New Roman" w:eastAsia="Times New Roman" w:hAnsi="Times New Roman"/>
                <w:sz w:val="18"/>
                <w:szCs w:val="18"/>
                <w:color w:val="auto"/>
                <w:w w:val="99"/>
              </w:rPr>
              <w:t>Terry Mayotte</w:t>
            </w:r>
          </w:p>
        </w:tc>
      </w:tr>
      <w:tr>
        <w:trPr>
          <w:trHeight w:val="228"/>
        </w:trPr>
        <w:tc>
          <w:tcPr>
            <w:tcW w:w="1740" w:type="dxa"/>
            <w:vAlign w:val="bottom"/>
          </w:tcPr>
          <w:p>
            <w:pPr>
              <w:spacing w:after="0"/>
              <w:rPr>
                <w:sz w:val="19"/>
                <w:szCs w:val="19"/>
                <w:color w:val="auto"/>
              </w:rPr>
            </w:pPr>
          </w:p>
        </w:tc>
        <w:tc>
          <w:tcPr>
            <w:tcW w:w="2760" w:type="dxa"/>
            <w:vAlign w:val="bottom"/>
          </w:tcPr>
          <w:p>
            <w:pPr>
              <w:jc w:val="center"/>
              <w:ind w:right="1612"/>
              <w:spacing w:after="0"/>
              <w:rPr>
                <w:sz w:val="20"/>
                <w:szCs w:val="20"/>
                <w:color w:val="auto"/>
              </w:rPr>
            </w:pPr>
            <w:r>
              <w:rPr>
                <w:rFonts w:ascii="Times New Roman" w:cs="Times New Roman" w:eastAsia="Times New Roman" w:hAnsi="Times New Roman"/>
                <w:sz w:val="18"/>
                <w:szCs w:val="18"/>
                <w:color w:val="auto"/>
              </w:rPr>
              <w:t>Terry Mayotte</w:t>
            </w:r>
          </w:p>
        </w:tc>
      </w:tr>
      <w:tr>
        <w:trPr>
          <w:trHeight w:val="319"/>
        </w:trPr>
        <w:tc>
          <w:tcPr>
            <w:tcW w:w="17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3"/>
              </w:rPr>
              <w:t>/s/</w:t>
            </w:r>
          </w:p>
        </w:tc>
        <w:tc>
          <w:tcPr>
            <w:tcW w:w="2760" w:type="dxa"/>
            <w:vAlign w:val="bottom"/>
            <w:tcBorders>
              <w:bottom w:val="single" w:sz="8" w:color="auto"/>
            </w:tcBorders>
          </w:tcPr>
          <w:p>
            <w:pPr>
              <w:jc w:val="center"/>
              <w:ind w:right="1272"/>
              <w:spacing w:after="0"/>
              <w:rPr>
                <w:sz w:val="20"/>
                <w:szCs w:val="20"/>
                <w:color w:val="auto"/>
              </w:rPr>
            </w:pPr>
            <w:r>
              <w:rPr>
                <w:rFonts w:ascii="Times New Roman" w:cs="Times New Roman" w:eastAsia="Times New Roman" w:hAnsi="Times New Roman"/>
                <w:sz w:val="18"/>
                <w:szCs w:val="18"/>
                <w:color w:val="auto"/>
              </w:rPr>
              <w:t>Julie M. Wood</w:t>
            </w:r>
          </w:p>
        </w:tc>
      </w:tr>
      <w:tr>
        <w:trPr>
          <w:trHeight w:val="228"/>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Julie M. Wood</w:t>
            </w:r>
          </w:p>
        </w:tc>
      </w:tr>
      <w:tr>
        <w:trPr>
          <w:trHeight w:val="441"/>
        </w:trPr>
        <w:tc>
          <w:tcPr>
            <w:tcW w:w="17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tcPr>
          <w:p>
            <w:pPr>
              <w:jc w:val="center"/>
              <w:ind w:right="1272"/>
              <w:spacing w:after="0"/>
              <w:rPr>
                <w:sz w:val="20"/>
                <w:szCs w:val="20"/>
                <w:color w:val="auto"/>
              </w:rPr>
            </w:pPr>
            <w:r>
              <w:rPr>
                <w:rFonts w:ascii="Times New Roman" w:cs="Times New Roman" w:eastAsia="Times New Roman" w:hAnsi="Times New Roman"/>
                <w:sz w:val="18"/>
                <w:szCs w:val="18"/>
                <w:color w:val="auto"/>
              </w:rPr>
              <w:t>Lindsay L. Koren</w:t>
            </w:r>
          </w:p>
        </w:tc>
      </w:tr>
      <w:tr>
        <w:trPr>
          <w:trHeight w:val="228"/>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Lindsay L. Koren</w:t>
            </w:r>
          </w:p>
        </w:tc>
      </w:tr>
      <w:tr>
        <w:trPr>
          <w:trHeight w:val="319"/>
        </w:trPr>
        <w:tc>
          <w:tcPr>
            <w:tcW w:w="4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Jack Brewer</w:t>
            </w:r>
          </w:p>
        </w:tc>
      </w:tr>
      <w:tr>
        <w:trPr>
          <w:trHeight w:val="228"/>
        </w:trPr>
        <w:tc>
          <w:tcPr>
            <w:tcW w:w="1740" w:type="dxa"/>
            <w:vAlign w:val="bottom"/>
          </w:tcPr>
          <w:p>
            <w:pPr>
              <w:spacing w:after="0"/>
              <w:rPr>
                <w:sz w:val="19"/>
                <w:szCs w:val="19"/>
                <w:color w:val="auto"/>
              </w:rPr>
            </w:pPr>
          </w:p>
        </w:tc>
        <w:tc>
          <w:tcPr>
            <w:tcW w:w="2760" w:type="dxa"/>
            <w:vAlign w:val="bottom"/>
          </w:tcPr>
          <w:p>
            <w:pPr>
              <w:jc w:val="center"/>
              <w:ind w:right="1612"/>
              <w:spacing w:after="0"/>
              <w:rPr>
                <w:sz w:val="20"/>
                <w:szCs w:val="20"/>
                <w:color w:val="auto"/>
              </w:rPr>
            </w:pPr>
            <w:r>
              <w:rPr>
                <w:rFonts w:ascii="Times New Roman" w:cs="Times New Roman" w:eastAsia="Times New Roman" w:hAnsi="Times New Roman"/>
                <w:sz w:val="18"/>
                <w:szCs w:val="18"/>
                <w:color w:val="auto"/>
              </w:rPr>
              <w:t>Jack Brewer</w:t>
            </w:r>
          </w:p>
        </w:tc>
      </w:tr>
    </w:tbl>
    <w:p>
      <w:pPr>
        <w:spacing w:after="0" w:line="85" w:lineRule="exact"/>
        <w:rPr>
          <w:sz w:val="20"/>
          <w:szCs w:val="20"/>
          <w:color w:val="auto"/>
        </w:rPr>
      </w:pPr>
    </w:p>
    <w:p>
      <w:pPr>
        <w:jc w:val="center"/>
        <w:ind w:left="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Dr. Thomas Bartzokis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Dr. Thomas Bartzokis</w:t>
      </w:r>
    </w:p>
    <w:p>
      <w:pPr>
        <w:spacing w:after="0" w:line="220"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/s/ Donna Arduin Kauranen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Donna Arduin Kauranen</w:t>
      </w:r>
    </w:p>
    <w:p>
      <w:pPr>
        <w:spacing w:after="0" w:line="126" w:lineRule="exact"/>
        <w:rPr>
          <w:sz w:val="20"/>
          <w:szCs w:val="20"/>
          <w:color w:val="auto"/>
        </w:rPr>
      </w:pPr>
    </w:p>
    <w:p>
      <w:pPr>
        <w:jc w:val="center"/>
        <w:ind w:left="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Scott M. Kernan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Scott M. Kernan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44"/>
        </w:trPr>
        <w:tc>
          <w:tcPr>
            <w:tcW w:w="44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Executive Chairman</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630"/>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4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792"/>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4"/>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9"/>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Vice President, Chief Accounting Officer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1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Controller</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51"/>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567"/>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68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567"/>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567"/>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661"/>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567"/>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February 28, 2025</w:t>
            </w:r>
          </w:p>
        </w:tc>
      </w:tr>
    </w:tbl>
    <w:p>
      <w:pPr>
        <w:spacing w:after="0" w:line="393" w:lineRule="exact"/>
        <w:rPr>
          <w:sz w:val="20"/>
          <w:szCs w:val="20"/>
          <w:color w:val="auto"/>
        </w:rPr>
      </w:pPr>
    </w:p>
    <w:p>
      <w:pPr>
        <w:sectPr>
          <w:pgSz w:w="11900" w:h="16838" w:orient="portrait"/>
          <w:cols w:equalWidth="0" w:num="2">
            <w:col w:w="4500" w:space="140"/>
            <w:col w:w="6600"/>
          </w:cols>
          <w:pgMar w:left="320" w:top="1251" w:right="3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45" w:name="page146"/>
    <w:bookmarkEnd w:id="145"/>
    <w:p>
      <w:pPr>
        <w:ind w:left="4640"/>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r>
      <w:tr>
        <w:trPr>
          <w:trHeight w:val="173"/>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34"/>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1,155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809</w:t>
            </w:r>
          </w:p>
        </w:tc>
      </w:tr>
      <w:tr>
        <w:trPr>
          <w:trHeight w:val="630"/>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458"/>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3"/>
        </w:trPr>
        <w:tc>
          <w:tcPr>
            <w:tcW w:w="5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6" w:name="page147"/>
    <w:bookmarkEnd w:id="146"/>
    <w:p>
      <w:pPr>
        <w:ind w:left="8420"/>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GENERAL RELEASE</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Confidential Separation Agreement and General Release (“AGREEMENT”) is entered into by and between James Black (“EMPLOYEE”) and The GEO Group, Inc. (“GEO”) (collectively “Parties”).</w:t>
      </w:r>
    </w:p>
    <w:p>
      <w:pPr>
        <w:spacing w:after="0" w:line="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AGREEMENT is made with reference to the following facts:</w:t>
      </w:r>
    </w:p>
    <w:p>
      <w:pPr>
        <w:spacing w:after="0" w:line="94" w:lineRule="exact"/>
        <w:rPr>
          <w:sz w:val="20"/>
          <w:szCs w:val="20"/>
          <w:color w:val="auto"/>
        </w:rPr>
      </w:pPr>
    </w:p>
    <w:p>
      <w:pPr>
        <w:ind w:left="1500" w:hanging="690"/>
        <w:spacing w:after="0" w:line="246" w:lineRule="auto"/>
        <w:tabs>
          <w:tab w:leader="none" w:pos="123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EMPLOYEE is separating his employment with GEO with a termination date of December 31, 2024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Date”), and EMPLOYEE and GEO wish to express the understandings and agreements they have reached concerning EMPLOYEE’s separation from GEO; and</w:t>
      </w:r>
    </w:p>
    <w:p>
      <w:pPr>
        <w:spacing w:after="0" w:line="167"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all wages due to EMPLOYEE have been unconditionally paid; and</w:t>
      </w:r>
    </w:p>
    <w:p>
      <w:pPr>
        <w:spacing w:after="0" w:line="206" w:lineRule="exact"/>
        <w:rPr>
          <w:rFonts w:ascii="Times New Roman" w:cs="Times New Roman" w:eastAsia="Times New Roman" w:hAnsi="Times New Roman"/>
          <w:sz w:val="22"/>
          <w:szCs w:val="22"/>
          <w:color w:val="auto"/>
        </w:rPr>
      </w:pPr>
    </w:p>
    <w:p>
      <w:pPr>
        <w:ind w:left="1500" w:hanging="690"/>
        <w:spacing w:after="0" w:line="246" w:lineRule="auto"/>
        <w:tabs>
          <w:tab w:leader="none" w:pos="123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GEO will provide EMPLOYEE with the consideration described below provided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releases GEO from any claims EMPLOYEE has or may have arising out of his employment with GEO and agrees to comply with the other promises and considerations set forth in this AGREEMENT.</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and promises contained herein,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are hereby acknowledged by the Parties, the Parties agree to be legally bound by the following terms and conditions:</w:t>
      </w:r>
    </w:p>
    <w:p>
      <w:pPr>
        <w:spacing w:after="0" w:line="167" w:lineRule="exact"/>
        <w:rPr>
          <w:sz w:val="20"/>
          <w:szCs w:val="20"/>
          <w:color w:val="auto"/>
        </w:rPr>
      </w:pPr>
    </w:p>
    <w:p>
      <w:pPr>
        <w:ind w:left="760" w:hanging="752"/>
        <w:spacing w:after="0" w:line="262"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acknowledge that the “WHEREAS” clauses preceding Paragraph 1 are true and correct and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herein as material parts to this AGREEMENT.</w:t>
      </w:r>
    </w:p>
    <w:p>
      <w:pPr>
        <w:spacing w:after="0" w:line="149"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Throughout this AGREEMENT, the term “GEO” shall include the following:</w:t>
      </w:r>
    </w:p>
    <w:p>
      <w:pPr>
        <w:spacing w:after="0" w:line="210" w:lineRule="exact"/>
        <w:rPr>
          <w:rFonts w:ascii="Times New Roman" w:cs="Times New Roman" w:eastAsia="Times New Roman" w:hAnsi="Times New Roman"/>
          <w:sz w:val="22"/>
          <w:szCs w:val="22"/>
          <w:color w:val="auto"/>
        </w:rPr>
      </w:pPr>
    </w:p>
    <w:p>
      <w:pPr>
        <w:ind w:left="1500" w:firstLine="5"/>
        <w:spacing w:after="0" w:line="258" w:lineRule="auto"/>
        <w:tabs>
          <w:tab w:leader="none" w:pos="203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GEO Group, Inc., as well as any subsidiary, parent company, affiliated entity, related entity, operating entity, franchise, or division of The GEO Group, Inc.; and</w:t>
      </w:r>
    </w:p>
    <w:p>
      <w:pPr>
        <w:spacing w:after="0" w:line="158" w:lineRule="exact"/>
        <w:rPr>
          <w:rFonts w:ascii="Times New Roman" w:cs="Times New Roman" w:eastAsia="Times New Roman" w:hAnsi="Times New Roman"/>
          <w:sz w:val="22"/>
          <w:szCs w:val="22"/>
          <w:color w:val="auto"/>
        </w:rPr>
      </w:pPr>
    </w:p>
    <w:p>
      <w:pPr>
        <w:ind w:left="1500" w:firstLine="5"/>
        <w:spacing w:after="0" w:line="258" w:lineRule="auto"/>
        <w:tabs>
          <w:tab w:leader="none" w:pos="203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officer, director, trustee, agent, attorney, employee, or insurer of any entity encompassed by subparagraph (A).</w:t>
      </w:r>
    </w:p>
    <w:p>
      <w:pPr>
        <w:spacing w:after="0" w:line="154" w:lineRule="exact"/>
        <w:rPr>
          <w:rFonts w:ascii="Times New Roman" w:cs="Times New Roman" w:eastAsia="Times New Roman" w:hAnsi="Times New Roman"/>
          <w:sz w:val="22"/>
          <w:szCs w:val="22"/>
          <w:color w:val="auto"/>
        </w:rPr>
      </w:pPr>
    </w:p>
    <w:p>
      <w:pPr>
        <w:ind w:left="760" w:right="20" w:hanging="752"/>
        <w:spacing w:after="0" w:line="262"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from Employment</w:t>
      </w:r>
      <w:r>
        <w:rPr>
          <w:rFonts w:ascii="Times New Roman" w:cs="Times New Roman" w:eastAsia="Times New Roman" w:hAnsi="Times New Roman"/>
          <w:sz w:val="22"/>
          <w:szCs w:val="22"/>
          <w:color w:val="auto"/>
        </w:rPr>
        <w:t>: The effective date of EMPLOYEE’s termination of employment with GEO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 2024 (“Termination Date”).</w:t>
      </w:r>
    </w:p>
    <w:p>
      <w:pPr>
        <w:spacing w:after="0" w:line="149" w:lineRule="exact"/>
        <w:rPr>
          <w:rFonts w:ascii="Times New Roman" w:cs="Times New Roman" w:eastAsia="Times New Roman" w:hAnsi="Times New Roman"/>
          <w:sz w:val="22"/>
          <w:szCs w:val="22"/>
          <w:color w:val="auto"/>
        </w:rPr>
      </w:pPr>
    </w:p>
    <w:p>
      <w:pPr>
        <w:ind w:left="760" w:hanging="752"/>
        <w:spacing w:after="0" w:line="262" w:lineRule="auto"/>
        <w:tabs>
          <w:tab w:leader="none" w:pos="45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w:t>
      </w:r>
      <w:r>
        <w:rPr>
          <w:rFonts w:ascii="Times New Roman" w:cs="Times New Roman" w:eastAsia="Times New Roman" w:hAnsi="Times New Roman"/>
          <w:sz w:val="22"/>
          <w:szCs w:val="22"/>
          <w:color w:val="auto"/>
        </w:rPr>
        <w:t>: In consideration for EMPLOYEE's execution of this AGREEMENT and in compliance with the promises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herein, GEO agrees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925195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7" w:name="page148"/>
    <w:bookmarkEnd w:id="147"/>
    <w:p>
      <w:pPr>
        <w:jc w:val="both"/>
        <w:ind w:left="1600" w:hanging="469"/>
        <w:spacing w:after="0" w:line="249" w:lineRule="auto"/>
        <w:tabs>
          <w:tab w:leader="none" w:pos="16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GEO agrees to pay EMPLOYEE forty-six thousand, four hundred fifteen dollars ($46,415) (“Consideration”) per month. The Consideration shall commence upon the Effective Date of the Consultant Agreement and shall continue through December 31, 2026.</w:t>
      </w:r>
    </w:p>
    <w:p>
      <w:pPr>
        <w:spacing w:after="0" w:line="65"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be entitled to his 2024 Annual Performance Award (“Bonus”), which will be paid in 2025, at the same time and under the same terms as other executives.</w:t>
      </w:r>
    </w:p>
    <w:p>
      <w:pPr>
        <w:spacing w:after="0" w:line="185" w:lineRule="exact"/>
        <w:rPr>
          <w:rFonts w:ascii="Times New Roman" w:cs="Times New Roman" w:eastAsia="Times New Roman" w:hAnsi="Times New Roman"/>
          <w:sz w:val="22"/>
          <w:szCs w:val="22"/>
          <w:color w:val="auto"/>
        </w:rPr>
      </w:pPr>
    </w:p>
    <w:p>
      <w:pPr>
        <w:jc w:val="both"/>
        <w:ind w:left="1500" w:hanging="369"/>
        <w:spacing w:after="0" w:line="251" w:lineRule="auto"/>
        <w:tabs>
          <w:tab w:leader="none" w:pos="150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GEO agrees to pay the cost for COBRA coverage (or arrange to have such coverage provided at no cost) with respect to all group health benefits EMPLOYEE is receiving from GEO as of the Termination Date for EMPLOYEE and, if applicable, any covered dependents for eighteen (18) months. This agreement shall not prohibit EMPLOYEE from applying for any applicable extensions to COBRA coverage he or any covered dependent may be entitled to; however, the cost of continued coverage shall be at EMPLOYEE’S own expense.</w:t>
      </w:r>
    </w:p>
    <w:p>
      <w:pPr>
        <w:spacing w:after="0" w:line="195" w:lineRule="exact"/>
        <w:rPr>
          <w:rFonts w:ascii="Times New Roman" w:cs="Times New Roman" w:eastAsia="Times New Roman" w:hAnsi="Times New Roman"/>
          <w:sz w:val="21"/>
          <w:szCs w:val="21"/>
          <w:color w:val="auto"/>
        </w:rPr>
      </w:pPr>
    </w:p>
    <w:p>
      <w:pPr>
        <w:jc w:val="both"/>
        <w:ind w:left="1500" w:hanging="369"/>
        <w:spacing w:after="0" w:line="239" w:lineRule="auto"/>
        <w:tabs>
          <w:tab w:leader="none" w:pos="15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unvested stock options and restricted stock granted to the Employee prior to termination will fully vest immediately upon termination, provided however, that any restricted stock that is still subject to performance-based vesting at the time of such termination shall only vest when and to the extent the Compensation Committee of the Board certifies that the performance goals are actually met.</w:t>
      </w:r>
    </w:p>
    <w:p>
      <w:pPr>
        <w:spacing w:after="0" w:line="207"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EMPLOYEE does not waive or release any entitlement to unrestricted stocks, deferred compensation, or ERISA plans.</w:t>
      </w:r>
    </w:p>
    <w:p>
      <w:pPr>
        <w:spacing w:after="0" w:line="185"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will be provided a GEO consulting email address for use during the term of the consulting agreement.</w:t>
      </w:r>
    </w:p>
    <w:p>
      <w:pPr>
        <w:spacing w:after="0" w:line="181" w:lineRule="exact"/>
        <w:rPr>
          <w:rFonts w:ascii="Times New Roman" w:cs="Times New Roman" w:eastAsia="Times New Roman" w:hAnsi="Times New Roman"/>
          <w:sz w:val="22"/>
          <w:szCs w:val="22"/>
          <w:color w:val="auto"/>
        </w:rPr>
      </w:pPr>
    </w:p>
    <w:p>
      <w:pPr>
        <w:ind w:left="760" w:hanging="752"/>
        <w:spacing w:after="0" w:line="233" w:lineRule="auto"/>
        <w:tabs>
          <w:tab w:leader="none" w:pos="47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 of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exchange for and in consideration of the payments, benefits, and other commitments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Paragraph 4 above, for himself and for each of his heirs, executors, administrators, and assigns, EMPLOYEE hereby fully releases, acquits, and forever discharges GEO and each of its predecessors, successors and assigns, parent corporations, subsidiary corporations, affiliates, and the officers, directors, shareholders, partners, managers, employees, attorneys, and agents, past and present, of each of the aforesaid entities (the "Released Parties") of and from any and all claims, liabilities, causes of action, damages, costs, attorneys' fees, expenses, and compensation whatsoever, of whatever kind or nature, in law, equity or otherwise, whether known or unknown, suspected or unsuspected, that EMPLOYEE may now have, has ever had, or hereafter may have against the Released Parties. This releases all claims, including those of which EMPLOYEE is aware or may not be aware, and those mentioned specifically, and which may not have been mentioned specifically in this general release. Notwithstanding the foregoing, EMPLOYEE understands that this release shall not apply to and does not waive any rights or claims that may arise after the date that this AGREEMENT is executed. Without limiting the generality of the foregoing, EMPLOYEE specifically releases any and all claims relating to (i) EMPLOYEE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 employment by GEO, the terms and conditions of such employment, employee benefits related to EMPLOYEE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 employment, the termination of EMPLOYEE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 employment, and/or any of the events relating directly or indirectly to or surrounding such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48" w:name="page149"/>
    <w:bookmarkEnd w:id="148"/>
    <w:p>
      <w:pPr>
        <w:jc w:val="both"/>
        <w:ind w:left="760"/>
        <w:spacing w:after="0" w:line="242" w:lineRule="auto"/>
        <w:rPr>
          <w:sz w:val="20"/>
          <w:szCs w:val="20"/>
          <w:color w:val="auto"/>
        </w:rPr>
      </w:pPr>
      <w:r>
        <w:rPr>
          <w:rFonts w:ascii="Times New Roman" w:cs="Times New Roman" w:eastAsia="Times New Roman" w:hAnsi="Times New Roman"/>
          <w:sz w:val="21"/>
          <w:szCs w:val="21"/>
          <w:color w:val="auto"/>
        </w:rPr>
        <w:t>termination; (ii) any and all claims of discrimination, harassment, whistle blowing or retaliation in employment (whether based on federal, state, or local law, statutory or decisional), including, without limitation, all claims under the Older Worker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s Benefit Protection Act ("OWBPA"), the Age Discrimination in Employment Act of 1967, as amended ("ADEA"), Title VII of the Civil Rights Act of 1964, as amended, the Americans with Disabilities Act ("ADA"), the Civil Rights Act of 1991, the Reconstruction Era Civil Rights Act of 1866, 42 USC §§ 1981-86, as amended, the Equal Pay Act ("EPA"), the Fair Labor Standards Act ("FLSA"), the Family and Medical Leave Act ("FMLA"), the Sarbannes-Oxley Act ("SOX"); the Dodd-Frank Act; Genetic Information Nondiscrimination Act ("GINA"), the Employee Retirement Income Security Act ("ERISA"), Sections 503 and 504 of the Rehabilitation Act of 1973, the Occupational Safety and Health Act ("OSHA"), the National Labor Relations Act ("NLRA"), the Consolidated Omnibus Budget Reconciliation Act ("COBRA"), the Worker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s Adjustment and Retraining Notification Act ("WARN"); the Florida Civil Rights Act of 1992 f/k/a Human Rights Act of 1977, the Palm Beach County Equal Employment Ordinance, any and all claims/actions which have been or could have been raised under Florida's Workers' Compensation statute (Chapter 440), including, but not limited to, any claims/actions under the retaliation section of that statute (Florida Statute § 440.205), the Florida Private Sector Whistle-Blower Act (Fla. Stat. § 448.101-.105), the Florida Equal Pay Act, any claims under Fla. Stat. § 448.08 for unpaid wages, and waivable rights under the Florida Constitution; (iii) any and all claims for wrongful discharge; (iv) any and all claims for damages of any kind whatsoever, including, without limitation, compensatory, punitive, treble, liquidated and/or consequential damages; (v) any and all claims under any contract, whether express or implied; (vi) any and all claims for unintentional or intentional torts, for emotional distress and for pain and suffering; (vii) any and all claims for violation of any statutory or administrative rules, regulations, or codes;</w:t>
      </w:r>
    </w:p>
    <w:p>
      <w:pPr>
        <w:spacing w:after="0" w:line="15" w:lineRule="exact"/>
        <w:rPr>
          <w:sz w:val="20"/>
          <w:szCs w:val="20"/>
          <w:color w:val="auto"/>
        </w:rPr>
      </w:pPr>
    </w:p>
    <w:p>
      <w:pPr>
        <w:jc w:val="both"/>
        <w:ind w:left="760" w:hanging="3"/>
        <w:spacing w:after="0" w:line="234" w:lineRule="auto"/>
        <w:tabs>
          <w:tab w:leader="none" w:pos="127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attorneys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fees, paralegals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fees, costs, disbursements, wages, bonuses, benefits, vacation and/or the like. EMPLOYEE represents that EMPLOYEE knows of no claim that EMPLOYEE has against the Released Parties that has not been released by this Paragraph. EMPLOYEE understands and agrees that this general release is binding on EMPLOYEE and on anyone who succeeds to EMPLOYEE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 rights.</w:t>
      </w:r>
    </w:p>
    <w:p>
      <w:pPr>
        <w:spacing w:after="0" w:line="173" w:lineRule="exact"/>
        <w:rPr>
          <w:rFonts w:ascii="Times New Roman" w:cs="Times New Roman" w:eastAsia="Times New Roman" w:hAnsi="Times New Roman"/>
          <w:sz w:val="22"/>
          <w:szCs w:val="22"/>
          <w:color w:val="auto"/>
        </w:rPr>
      </w:pPr>
    </w:p>
    <w:p>
      <w:pPr>
        <w:ind w:left="760" w:hanging="752"/>
        <w:spacing w:after="0" w:line="245" w:lineRule="auto"/>
        <w:tabs>
          <w:tab w:leader="none" w:pos="49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Liability: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paying the amount specified in Paragraph 4, GEO makes no representation regarding the tax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consequences or liability arising from the Payment and nothing herein shall constitute tax advice. EMPLOYEE understands and agrees that he bears sole responsibility for any and all tax consequences and liability (other than payroll taxes) that may be due or become due as a result of the payment of the Consideration referenced in Paragraph 4, and that he will pay any such taxes that may be due or become due and understands and agrees that any necessary tax documentation may be filed by GEO with regard the Payment under this AGREEMENT. EMPLOYEE further agrees to hold GEO harmless from and against any tax or tax withholdings claims, amounts, interest, penalties, fines, or assessments brought or sought by any taxing authority or governmental agency with regard to the above recited sums. In the event GEO receives written notice that any claim or assessments for taxes, withholding obligations, penalties and/or interest arising out of this AGREEMENT are being made or will be made against GEO, GEO shall promptly, after receipt of such written notice, notify EMPLOYEE pursuant to the “Notice Requirements” set forth in Paragraph 26.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ind w:left="440" w:hanging="432"/>
        <w:spacing w:after="0"/>
        <w:tabs>
          <w:tab w:leader="none" w:pos="4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1"/>
          <w:numId w:val="6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Non-Disclosure of Confidential and/or Proprietary Information</w:t>
      </w:r>
      <w:r>
        <w:rPr>
          <w:rFonts w:ascii="Times New Roman" w:cs="Times New Roman" w:eastAsia="Times New Roman" w:hAnsi="Times New Roman"/>
          <w:sz w:val="22"/>
          <w:szCs w:val="22"/>
          <w:color w:val="auto"/>
        </w:rPr>
        <w:t>. EMPLOYEE warrants and agrees not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disclose, sell, transfer, and/or use at any time in the future any confidential and/or proprietary information concerning GEO that was acquired during the course of the EMPLOYEE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 employment, including, but not limited to, any and all information regarding: (i) business affiliates, client lists, and prospective clients' names;</w:t>
      </w:r>
    </w:p>
    <w:p>
      <w:pPr>
        <w:jc w:val="both"/>
        <w:ind w:left="1500" w:firstLine="6"/>
        <w:spacing w:after="0" w:line="243" w:lineRule="auto"/>
        <w:tabs>
          <w:tab w:leader="none" w:pos="187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plans, strategies, operations methods, and techniques; (iii) research; (iv) computer programs, software, applications, directories, databases, passwords, and access codes; (v) payroll records, salary and wage rates paid to employees, and employee identities; (vi) wage administration plans and policies, and benefits plans and policies; (vii) personnel matters and health and safety information; (viii) financial data, accounting, and planning techniques; (ix) operating, administrative and training materials; (x) marketing and fundraising strategies, materials, and information; and (xi) any other service, product, equipment, financial, licensing and marketing information relating to GEO, or the business of GEO, (the "Confidential and/or Proprietary Information"), to any person, firm, corporation, association, or other entity. EMPLOYEE agrees not to disclose, sell, transfer, and/or use any Confidential and/or Proprietary Information of GEO for EMPLOYEE's own use and/or benefit or for the use and/or benefit of any other third Party, whether for personal or business reasons. EMPLOYEE agrees to abide by all GEO policies, rules and procedures that relate to the protection of the GEO's Confidential and/or Proprietary Information after termination of EMPLOYEE's employment.</w:t>
      </w:r>
    </w:p>
    <w:p>
      <w:pPr>
        <w:spacing w:after="0" w:line="201" w:lineRule="exact"/>
        <w:rPr>
          <w:sz w:val="20"/>
          <w:szCs w:val="20"/>
          <w:color w:val="auto"/>
        </w:rPr>
      </w:pPr>
    </w:p>
    <w:p>
      <w:pPr>
        <w:jc w:val="both"/>
        <w:ind w:left="1500" w:hanging="262"/>
        <w:spacing w:after="0" w:line="238" w:lineRule="auto"/>
        <w:rPr>
          <w:sz w:val="20"/>
          <w:szCs w:val="20"/>
          <w:color w:val="auto"/>
        </w:rPr>
      </w:pPr>
      <w:r>
        <w:rPr>
          <w:rFonts w:ascii="Times New Roman" w:cs="Times New Roman" w:eastAsia="Times New Roman" w:hAnsi="Times New Roman"/>
          <w:sz w:val="22"/>
          <w:szCs w:val="22"/>
          <w:color w:val="auto"/>
        </w:rPr>
        <w:t>EMPLOYEE agrees that the Confidential and/or Proprietary Information as set forth in this Paragraph 7(a): (i) is valuable, special, and a unique asset of GEO; (ii) has provided and will hereafter provide GEO with a substantial competitive advantage in the operation of its business; and (iii) is a legitimate business interest that justifies the need for the confidentiality restrictions set forth in this Paragraph 7(a) above, and the confidentiality restrictions are reasonably necessary to protect GEO's legitimate business interests.</w:t>
      </w:r>
    </w:p>
    <w:p>
      <w:pPr>
        <w:spacing w:after="0" w:line="204"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1"/>
          <w:szCs w:val="21"/>
          <w:color w:val="auto"/>
        </w:rPr>
        <w:t>Should EMPLOYEE be required to disclose GEO's Confidential and/or Proprietary Information in response to a valid subpoena issued by a state or federal court or governmental agency, EMPLOYEE agrees that, prior to such disclosure, EMPLOYEE will provide to GEO a copy of such judicial order or subpoena, by facsimile or overnight mail to GEO, c/o The GEO Group, Inc., General 4955 Technology Way, Boca Raton, Florida 33431, within forty-eight (48) hours after receipt. EMPLOYEE agrees to provide GEO with a reasonable opportunity to intervene to assert what rights it may have to non-disclosure, prior to any response to the order or subpoena.</w:t>
      </w:r>
    </w:p>
    <w:p>
      <w:pPr>
        <w:spacing w:after="0" w:line="167" w:lineRule="exact"/>
        <w:rPr>
          <w:sz w:val="20"/>
          <w:szCs w:val="20"/>
          <w:color w:val="auto"/>
        </w:rPr>
      </w:pPr>
    </w:p>
    <w:p>
      <w:pPr>
        <w:jc w:val="both"/>
        <w:ind w:left="1500" w:hanging="743"/>
        <w:spacing w:after="0" w:line="236" w:lineRule="auto"/>
        <w:tabs>
          <w:tab w:leader="none" w:pos="1500" w:val="left"/>
        </w:tabs>
        <w:numPr>
          <w:ilvl w:val="0"/>
          <w:numId w:val="6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Return of Confidential and/or Proprietary Information. </w:t>
      </w:r>
      <w:r>
        <w:rPr>
          <w:rFonts w:ascii="Times New Roman" w:cs="Times New Roman" w:eastAsia="Times New Roman" w:hAnsi="Times New Roman"/>
          <w:sz w:val="22"/>
          <w:szCs w:val="22"/>
          <w:color w:val="auto"/>
        </w:rPr>
        <w:t>EMPLOYEE shall promptly return all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and/or Proprietary Information in EMPLOYEE's possession or under EMPLOYEE's control to GEO and shall not retain any copies or other reproductions or extracts thereof, electronic or otherwise. EMPLOYEE shall destroy or have destroyed all memoranda, notes, reports, and documents, whether in "hard</w:t>
      </w:r>
    </w:p>
    <w:p>
      <w:pPr>
        <w:jc w:val="center"/>
        <w:spacing w:after="0" w:line="237" w:lineRule="auto"/>
        <w:rPr>
          <w:sz w:val="20"/>
          <w:szCs w:val="20"/>
          <w:color w:val="auto"/>
        </w:rPr>
      </w:pPr>
      <w:r>
        <w:rPr>
          <w:rFonts w:ascii="Arial" w:cs="Arial" w:eastAsia="Arial" w:hAnsi="Arial"/>
          <w:sz w:val="22"/>
          <w:szCs w:val="22"/>
          <w:color w:val="auto"/>
        </w:rPr>
        <w:t>4</w:t>
      </w:r>
    </w:p>
    <w:p>
      <w:pPr>
        <w:spacing w:after="0" w:line="1"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0" w:name="page151"/>
    <w:bookmarkEnd w:id="150"/>
    <w:p>
      <w:pPr>
        <w:ind w:left="1500"/>
        <w:spacing w:after="0" w:line="258" w:lineRule="auto"/>
        <w:rPr>
          <w:sz w:val="20"/>
          <w:szCs w:val="20"/>
          <w:color w:val="auto"/>
        </w:rPr>
      </w:pPr>
      <w:r>
        <w:rPr>
          <w:rFonts w:ascii="Times New Roman" w:cs="Times New Roman" w:eastAsia="Times New Roman" w:hAnsi="Times New Roman"/>
          <w:sz w:val="22"/>
          <w:szCs w:val="22"/>
          <w:color w:val="auto"/>
        </w:rPr>
        <w:t>copy" form or as stored on magnetic or other media, and all copies and other reproductions and extracts thereof, prepared by EMPLOYEE.</w:t>
      </w:r>
    </w:p>
    <w:p>
      <w:pPr>
        <w:spacing w:after="0" w:line="181" w:lineRule="exact"/>
        <w:rPr>
          <w:sz w:val="20"/>
          <w:szCs w:val="20"/>
          <w:color w:val="auto"/>
        </w:rPr>
      </w:pPr>
    </w:p>
    <w:p>
      <w:pPr>
        <w:jc w:val="both"/>
        <w:ind w:left="1500" w:hanging="743"/>
        <w:spacing w:after="0" w:line="232" w:lineRule="auto"/>
        <w:tabs>
          <w:tab w:leader="none" w:pos="1500" w:val="left"/>
        </w:tabs>
        <w:numPr>
          <w:ilvl w:val="1"/>
          <w:numId w:val="6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Non-Disclosure of Agreement. </w:t>
      </w:r>
      <w:r>
        <w:rPr>
          <w:rFonts w:ascii="Times New Roman" w:cs="Times New Roman" w:eastAsia="Times New Roman" w:hAnsi="Times New Roman"/>
          <w:sz w:val="22"/>
          <w:szCs w:val="22"/>
          <w:color w:val="auto"/>
        </w:rPr>
        <w:t>In consideration of the obligations under this AGREEMENT,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agrees that this AGREEMENT, the circumstances surrounding his termination from employment and the terms and conditions hereof, are and shall forever remain, strictly confidential, and that neither EMPLOYEE nor his heirs, agents, executors, administrators, attorneys, legal representatives, or assigns shall disclose or disseminate, directly or indirectly, any information concerning any such terms to any third person(s), including, but not limited to, representatives of the media or other present or former associates of GEO, under any circumstances, except that EMPLOYEE may disclose the terms of this AGREEMENT to his attorney, accountant, tax advisor, the Internal Revenue Service, or as otherwise required by law ("Third Parties"), provided, however, that the Third Parties to whom such disclosure is made shall agree in advance to be bound by the terms of this Paragraph 7 and all of its subparts. EMPLOYEE acknowledges and agrees that any other disclosure regarding or discussing the terms of this AGREEMENT would constitute a material breach of the AGREEMENT, except as otherwise outlined in Paragraph 11 below. Nothing herein shall be construed to abrogate any contrary rights under the ADEA. If EMPLOYEE is required to disclose this AGREEMENT, its terms or underlying facts pursuant to court order and/or subpoena, EMPLOYEE shall notify GEO, in writing via facsimile or overnight mail, within twenty-four (24) hours of his receipt of such court order or subpoena, and simultaneously provide GEO with a copy of such court order or subpoena. The notice shall comply with the notice requirements set forth below in Paragraph 28. EMPLOYEE agrees to waive any objection to GEO's request that the document production or testimony be done </w:t>
      </w:r>
      <w:r>
        <w:rPr>
          <w:rFonts w:ascii="Times New Roman" w:cs="Times New Roman" w:eastAsia="Times New Roman" w:hAnsi="Times New Roman"/>
          <w:sz w:val="22"/>
          <w:szCs w:val="22"/>
          <w:i w:val="1"/>
          <w:iCs w:val="1"/>
          <w:color w:val="auto"/>
        </w:rPr>
        <w:t>in camera</w:t>
      </w:r>
      <w:r>
        <w:rPr>
          <w:rFonts w:ascii="Times New Roman" w:cs="Times New Roman" w:eastAsia="Times New Roman" w:hAnsi="Times New Roman"/>
          <w:sz w:val="22"/>
          <w:szCs w:val="22"/>
          <w:color w:val="auto"/>
        </w:rPr>
        <w:t xml:space="preserve"> and under seal.</w:t>
      </w:r>
    </w:p>
    <w:p>
      <w:pPr>
        <w:spacing w:after="0" w:line="215" w:lineRule="exact"/>
        <w:rPr>
          <w:rFonts w:ascii="Times New Roman" w:cs="Times New Roman" w:eastAsia="Times New Roman" w:hAnsi="Times New Roman"/>
          <w:sz w:val="22"/>
          <w:szCs w:val="22"/>
          <w:i w:val="1"/>
          <w:iCs w:val="1"/>
          <w:color w:val="auto"/>
        </w:rPr>
      </w:pPr>
    </w:p>
    <w:p>
      <w:pPr>
        <w:jc w:val="right"/>
        <w:ind w:left="760" w:hanging="752"/>
        <w:spacing w:after="0" w:line="234" w:lineRule="auto"/>
        <w:tabs>
          <w:tab w:leader="none" w:pos="49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and warrants that at no time in the future will EMPLOYEE make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statements (orally or in writing, including, without limitation, whether in fiction or nonfiction) or take any actions which in any way publicly disparage or defame any of the Released Parties in any way, directly or indirectly, cause or encourage the making of such statements, or the taking of such actions by anyone else. EMPLOYEE acknowledges that any incitement of others to publicly disparage or to defame any of the Released Parties would constitute a material breach of this AGREEMENT. In the event that such a communication is made to anyone, including, but not limited to, the media, public interest groups, and publishing companies, it will be considered a material breach of the terms of this</w:t>
      </w:r>
    </w:p>
    <w:p>
      <w:pPr>
        <w:spacing w:after="0" w:line="2"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78" w:lineRule="exact"/>
        <w:rPr>
          <w:rFonts w:ascii="Times New Roman" w:cs="Times New Roman" w:eastAsia="Times New Roman" w:hAnsi="Times New Roman"/>
          <w:sz w:val="22"/>
          <w:szCs w:val="22"/>
          <w:color w:val="auto"/>
        </w:rPr>
      </w:pPr>
    </w:p>
    <w:p>
      <w:pPr>
        <w:ind w:left="760" w:hanging="752"/>
        <w:spacing w:after="0" w:line="241" w:lineRule="auto"/>
        <w:tabs>
          <w:tab w:leader="none" w:pos="45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Incitement of Claims</w:t>
      </w:r>
      <w:r>
        <w:rPr>
          <w:rFonts w:ascii="Times New Roman" w:cs="Times New Roman" w:eastAsia="Times New Roman" w:hAnsi="Times New Roman"/>
          <w:sz w:val="22"/>
          <w:szCs w:val="22"/>
          <w:color w:val="auto"/>
        </w:rPr>
        <w:t>. EMPLOYEE also agrees that EMPLOYEE will not encourage or incite any person, including,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limited to, other current or former employees of GEO to assert any complaint or claim in federal or state court against GEO. EMPLOYEE acknowledges that any incitement of others to file such claims would constitute a material breach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ind w:left="760" w:hanging="752"/>
        <w:spacing w:after="0" w:line="241" w:lineRule="auto"/>
        <w:tabs>
          <w:tab w:leader="none" w:pos="45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Claims or Charges Filed</w:t>
      </w:r>
      <w:r>
        <w:rPr>
          <w:rFonts w:ascii="Times New Roman" w:cs="Times New Roman" w:eastAsia="Times New Roman" w:hAnsi="Times New Roman"/>
          <w:sz w:val="22"/>
          <w:szCs w:val="22"/>
          <w:color w:val="auto"/>
        </w:rPr>
        <w:t>: EMPLOYEE represents and warrants EMPLOYEE has not filed any charges, complaints,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causes of action, or other proceedings against the Released Parties, including, but not limited to, any charges of discrimination, harassment, or retaliation with any federal, state, or local agency or court. This representation is a material inducement to GEO for entering into this AGREEMENT.</w:t>
      </w:r>
    </w:p>
    <w:p>
      <w:pPr>
        <w:spacing w:after="0" w:line="171" w:lineRule="exact"/>
        <w:rPr>
          <w:rFonts w:ascii="Times New Roman" w:cs="Times New Roman" w:eastAsia="Times New Roman" w:hAnsi="Times New Roman"/>
          <w:sz w:val="22"/>
          <w:szCs w:val="22"/>
          <w:color w:val="auto"/>
        </w:rPr>
      </w:pPr>
    </w:p>
    <w:p>
      <w:pPr>
        <w:ind w:left="760" w:hanging="752"/>
        <w:spacing w:after="0" w:line="248" w:lineRule="auto"/>
        <w:tabs>
          <w:tab w:leader="none" w:pos="44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Non-Interference: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Paragraphs 9 and 10 above, nothing in this AGREEMENT is intended to limit, restrict,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otherwise interfere with any rights that EMPLOYEE may have to file a charge with or to participate in any investigation or proceeding conducted by the Equal Employment Opportunity Commission, the National Labor Relations Board ("NLRB"), or any other federal, state, or local agency. However, the Payment provided to EMPLOYEE under this AGREEMENT shall be the sole relief provided to EMPLOYEE for the claims that are released herein, and EMPLOYEE understands and agrees that he is releasing GEO from and agrees to waive any compensation, damages, or any other form of relief in any proceeding without regard to who has brought such complaint, charge or proceeding.</w:t>
      </w:r>
    </w:p>
    <w:p>
      <w:pPr>
        <w:spacing w:after="0" w:line="170" w:lineRule="exact"/>
        <w:rPr>
          <w:rFonts w:ascii="Times New Roman" w:cs="Times New Roman" w:eastAsia="Times New Roman" w:hAnsi="Times New Roman"/>
          <w:sz w:val="21"/>
          <w:szCs w:val="21"/>
          <w:color w:val="auto"/>
        </w:rPr>
      </w:pPr>
    </w:p>
    <w:p>
      <w:pPr>
        <w:ind w:left="760" w:hanging="752"/>
        <w:spacing w:after="0" w:line="233" w:lineRule="auto"/>
        <w:tabs>
          <w:tab w:leader="none" w:pos="48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Affirmations: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acknowledges that EMPLOYEE has been afforded the opportunity to consider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for a period of twenty-one (21) days prior to its execution and has been advised in writing to consult with an attorney before signing this AGREEMENT and incorporated general release and has done so. EMPLOYEE acknowledges that no representation, promise, or inducement has been made other than as set forth in this Agreement, and that EMPLOYEE enters into this Agreement without reliance upon any other representation, promise or inducement not set forth herein. EMPLOYEE acknowledges and represents that EMPLOYEE assumes the risk for any mistake of fact now known or unknown and that EMPLOYEE understands and acknowledges the significance and consequences of this Agreement. EMPLOYEE further acknowledges that EMPLOYEE has read this Agreement in its entirety; that EMPLOYEE fully understands all of its terms and their significance; and that EMPLOYEE has signed it voluntarily and of EMPLOYEE's own free will. EMPLOYEE represents, acknowledges, and affirms that as of the date of this AGREEMENT he has been paid and/or has received all leave (paid or unpaid), compensation, wages, bonuses, commissions, and/or benefits to which he may be entitled and that no other leave (paid or unpaid), compensation, wages, bonuses, commissions, and/or benefits are due him, except as provided for in this AGREEMENT. EMPLOYEE further affirms that he has been provided and/or has not been denied any leave requested under the Family and Medical Leave Act and has not suffered any workplace injuries.</w:t>
      </w:r>
    </w:p>
    <w:p>
      <w:pPr>
        <w:spacing w:after="0" w:line="177" w:lineRule="exact"/>
        <w:rPr>
          <w:rFonts w:ascii="Times New Roman" w:cs="Times New Roman" w:eastAsia="Times New Roman" w:hAnsi="Times New Roman"/>
          <w:sz w:val="22"/>
          <w:szCs w:val="22"/>
          <w:color w:val="auto"/>
        </w:rPr>
      </w:pPr>
    </w:p>
    <w:p>
      <w:pPr>
        <w:ind w:left="760" w:hanging="752"/>
        <w:spacing w:after="0" w:line="241" w:lineRule="auto"/>
        <w:tabs>
          <w:tab w:leader="none" w:pos="45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References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that unless otherwise required by law GEO will respond to reference inquiries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by providing only EMPLOYEE's dates of employment, last position held, and last salary. EMPLOYEE understands and agrees that GEO is not responsible for any information given regarding EMPLOYEE that was solicited from any source other than GEO's Senior Management.</w:t>
      </w:r>
    </w:p>
    <w:p>
      <w:pPr>
        <w:spacing w:after="0" w:line="171" w:lineRule="exact"/>
        <w:rPr>
          <w:rFonts w:ascii="Times New Roman" w:cs="Times New Roman" w:eastAsia="Times New Roman" w:hAnsi="Times New Roman"/>
          <w:sz w:val="22"/>
          <w:szCs w:val="22"/>
          <w:color w:val="auto"/>
        </w:rPr>
      </w:pPr>
    </w:p>
    <w:p>
      <w:pPr>
        <w:ind w:left="760" w:hanging="752"/>
        <w:spacing w:after="0" w:line="246" w:lineRule="auto"/>
        <w:tabs>
          <w:tab w:leader="none" w:pos="49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GEO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GEO property, including, but not limited to, keys, credit cards, passwords, files, charts, data, lists,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manuals, CD's, DVD's, audiotapes, videotapes, books, records, and accounts, whether prepared by EMPLOYEE or otherwise coming into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2" w:name="page153"/>
    <w:bookmarkEnd w:id="152"/>
    <w:p>
      <w:pPr>
        <w:ind w:left="760"/>
        <w:spacing w:after="0"/>
        <w:rPr>
          <w:sz w:val="20"/>
          <w:szCs w:val="20"/>
          <w:color w:val="auto"/>
        </w:rPr>
      </w:pPr>
      <w:r>
        <w:rPr>
          <w:rFonts w:ascii="Times New Roman" w:cs="Times New Roman" w:eastAsia="Times New Roman" w:hAnsi="Times New Roman"/>
          <w:sz w:val="22"/>
          <w:szCs w:val="22"/>
          <w:color w:val="auto"/>
        </w:rPr>
        <w:t>EMPLOYEE's possession, shall be returned immediately to the GEO upon termination of employment.</w:t>
      </w:r>
    </w:p>
    <w:p>
      <w:pPr>
        <w:spacing w:after="0" w:line="202" w:lineRule="exact"/>
        <w:rPr>
          <w:sz w:val="20"/>
          <w:szCs w:val="20"/>
          <w:color w:val="auto"/>
        </w:rPr>
      </w:pPr>
    </w:p>
    <w:p>
      <w:pPr>
        <w:ind w:left="760" w:hanging="752"/>
        <w:spacing w:after="0" w:line="235" w:lineRule="auto"/>
        <w:tabs>
          <w:tab w:leader="none" w:pos="44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Assignment/Transfer of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represent and warrant that no person other than the signatories hereto had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has any interest in the matters referred to in this AGREEMENT, that the Parties have the sole right and exclusive authority to execute this AGREEMENT, and that the Parties have not sold, assigned, transferred, conveyed, or otherwise disposed of any claim, demand or legal right that is the subject of this AGREEMENT. EMPLOYEE agrees to indemnify and to hold harmless GEO against, without any limitation, any and all rights, claims, warranties, demands, debts, obligations, liabilities, costs, court costs, expenses (including attorneys' fees, paralegals' fees, and costs, at all levels), causes of action or judgments based on or arising out of any such assignment or transfer. The Parties further warrant that there is nothing that would prohibit either Party from entering into this Agreement. Each Party's representations to same constitute a material inducement for the other Party to enter into this AGREEMENT.</w:t>
      </w:r>
    </w:p>
    <w:p>
      <w:pPr>
        <w:spacing w:after="0" w:line="173" w:lineRule="exact"/>
        <w:rPr>
          <w:rFonts w:ascii="Times New Roman" w:cs="Times New Roman" w:eastAsia="Times New Roman" w:hAnsi="Times New Roman"/>
          <w:sz w:val="22"/>
          <w:szCs w:val="22"/>
          <w:color w:val="auto"/>
        </w:rPr>
      </w:pPr>
    </w:p>
    <w:p>
      <w:pPr>
        <w:ind w:left="760" w:hanging="752"/>
        <w:spacing w:after="0" w:line="244" w:lineRule="auto"/>
        <w:tabs>
          <w:tab w:leader="none" w:pos="45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Breach/Remedies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Should EMPLOYEE ever breach any provision or obligation under this AGREEMENT, including, but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limited to, materially breaching or threatening to materially breach this AGREEMENT, disclosing, selling, transferring, and/or using GEO's Confidential and/or Proprietary Information, breaching the confidentiality and non-disparagement provisions of the AGREEMENT, and/or commences a suit, action, proceeding, or complaint in contravention of this AGREEMENT and waiver of claims (except as outlined in Paragraph 11 above), GEO's obligations to pay the monies and/or to provide the benefits referred to in Paragraph 4 above shall immediately cease and GEO shall be entitled to receive from EMPLOYEE all damages (including, but not limited to, litigation and/or defense costs, expenses, and reasonable attorneys' fees) incurred by GEO as a result of EMPLOYEE'S breach, and all other remedies allowed in law or equity. Further, any breach shall terminate and revoke EMPLOYEE's entitlement to any further payment from the date such breach occurs, and EMPLOYEE shall upon demand by GEO immediately return all payments made to him under this AGREEMENT. Nothing in this Paragraph is intended to, nor shall be construed to, limit or restrict any other rights or remedies GEO may have by virtue of this AGREEMENT or otherwise. Further, nothing in this AGREEMENT shall prevent GEO from pursuing an injunction to enforce the provisions of Paragraphs 7, 8, and 9 above. Nothing in this paragraph shall be construed to abrogate any of EMPLOYEE's rights under the ADEA.</w:t>
      </w:r>
    </w:p>
    <w:p>
      <w:pPr>
        <w:spacing w:after="0" w:line="180" w:lineRule="exact"/>
        <w:rPr>
          <w:rFonts w:ascii="Times New Roman" w:cs="Times New Roman" w:eastAsia="Times New Roman" w:hAnsi="Times New Roman"/>
          <w:sz w:val="21"/>
          <w:szCs w:val="21"/>
          <w:color w:val="auto"/>
        </w:rPr>
      </w:pPr>
    </w:p>
    <w:p>
      <w:pPr>
        <w:ind w:left="760" w:hanging="752"/>
        <w:spacing w:after="0" w:line="263" w:lineRule="auto"/>
        <w:tabs>
          <w:tab w:leader="none" w:pos="44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Admission of Liability: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understands and agrees that neither this AGREEMENT nor the furnishing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under Paragraph 4 of this AGREEMENT shall be deemed or construed at any time, for any purpose, as an admission of, or evidence of, liability by GEO for any violation of the law, willful or otherwise, by any person or entity.</w:t>
      </w:r>
    </w:p>
    <w:p>
      <w:pPr>
        <w:spacing w:after="0" w:line="151" w:lineRule="exact"/>
        <w:rPr>
          <w:rFonts w:ascii="Times New Roman" w:cs="Times New Roman" w:eastAsia="Times New Roman" w:hAnsi="Times New Roman"/>
          <w:sz w:val="21"/>
          <w:szCs w:val="21"/>
          <w:color w:val="auto"/>
        </w:rPr>
      </w:pPr>
    </w:p>
    <w:p>
      <w:pPr>
        <w:ind w:left="760" w:hanging="752"/>
        <w:spacing w:after="0" w:line="241" w:lineRule="auto"/>
        <w:tabs>
          <w:tab w:leader="none" w:pos="44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explicitly acknowledge and agree that the provisions of this AGREEMENT are both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enforceable. However, if any portion or provision of this AGREEMENT (including, without implication of limitation, any portion or provision of any section of this AGREEMENT) is determined to be illegal, invalid, or unenforceable by any court of competent jurisdiction and cannot be modified to be legal, valid,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enforceable, the remainder of this AGREEMENT shall not be affected or impaired in any way by such determination and shall continue to be valid and enforceable to the fullest extent permitted by law, and the illegal, invalid, or unenforceable portion or provision shall be deemed not to be a part of this AGREEMENT.</w:t>
      </w:r>
    </w:p>
    <w:p>
      <w:pPr>
        <w:spacing w:after="0" w:line="169" w:lineRule="exact"/>
        <w:rPr>
          <w:sz w:val="20"/>
          <w:szCs w:val="20"/>
          <w:color w:val="auto"/>
        </w:rPr>
      </w:pPr>
    </w:p>
    <w:p>
      <w:pPr>
        <w:ind w:left="760" w:hanging="752"/>
        <w:spacing w:after="0" w:line="237" w:lineRule="auto"/>
        <w:tabs>
          <w:tab w:leader="none" w:pos="45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along with the Consultant Agreement entered into by the Parties simultaneously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herewith sets forth the entire agreement and understanding between the Parties hereto, and fully supersedes all prior and contemporaneous agreements, understandings, inducements, or conditions, express or implied, oral or written, including any prior obligation of GEO to EMPLOYEE. EMPLOYEE acknowledges that he has not relied on any representations, promises, or agreements of any kind made to him in connection with his decision to accept this AGREEMENT, except for those set forth in this AGREEMENT.</w:t>
      </w:r>
    </w:p>
    <w:p>
      <w:pPr>
        <w:spacing w:after="0" w:line="175" w:lineRule="exact"/>
        <w:rPr>
          <w:rFonts w:ascii="Times New Roman" w:cs="Times New Roman" w:eastAsia="Times New Roman" w:hAnsi="Times New Roman"/>
          <w:sz w:val="22"/>
          <w:szCs w:val="22"/>
          <w:color w:val="auto"/>
        </w:rPr>
      </w:pPr>
    </w:p>
    <w:p>
      <w:pPr>
        <w:ind w:left="760" w:hanging="752"/>
        <w:spacing w:after="0" w:line="235" w:lineRule="auto"/>
        <w:tabs>
          <w:tab w:leader="none" w:pos="47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interpreted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State of Florida without regard to its conflict of laws principles (except where federal law applies) and shall be decided by a judge, not a jury. </w:t>
      </w:r>
      <w:r>
        <w:rPr>
          <w:rFonts w:ascii="Times New Roman" w:cs="Times New Roman" w:eastAsia="Times New Roman" w:hAnsi="Times New Roman"/>
          <w:sz w:val="22"/>
          <w:szCs w:val="22"/>
          <w:b w:val="1"/>
          <w:bCs w:val="1"/>
          <w:u w:val="single" w:color="auto"/>
          <w:color w:val="auto"/>
        </w:rPr>
        <w:t>THE PARTIES SPECIFICALLY WAIVE THEIR RIGHT TO A TRIAL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JURY</w:t>
      </w:r>
      <w:r>
        <w:rPr>
          <w:rFonts w:ascii="Times New Roman" w:cs="Times New Roman" w:eastAsia="Times New Roman" w:hAnsi="Times New Roman"/>
          <w:sz w:val="22"/>
          <w:szCs w:val="22"/>
          <w:color w:val="auto"/>
        </w:rPr>
        <w:t>. In the event that EMPLOYEE or GEO breaches any provision of this AGREEMENT, or there is any dispute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arising out of or relating to this Agreement, EMPLOYEE and GEO affirm that either may institute an action to specifically enforce any term or terms of this AGREEMENT, and the prevailing Party in any such action shall be entitled to its reasonable attorneys' fees, paralegals' fees, and costs, at all levels. In the event of any litigation arising out of or relating to this AGREEMENT, the exclusive venue shall be in a court of competent jurisdiction located in Palm Beach County, Florida.</w:t>
      </w:r>
    </w:p>
    <w:p>
      <w:pPr>
        <w:spacing w:after="0" w:line="173" w:lineRule="exact"/>
        <w:rPr>
          <w:rFonts w:ascii="Times New Roman" w:cs="Times New Roman" w:eastAsia="Times New Roman" w:hAnsi="Times New Roman"/>
          <w:sz w:val="22"/>
          <w:szCs w:val="22"/>
          <w:color w:val="auto"/>
        </w:rPr>
      </w:pPr>
    </w:p>
    <w:p>
      <w:pPr>
        <w:ind w:left="760" w:hanging="752"/>
        <w:spacing w:after="0" w:line="262" w:lineRule="auto"/>
        <w:tabs>
          <w:tab w:leader="none" w:pos="44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headings of the provisions herein are intended for convenient reference only, and the same shall not be,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be, interpretative of the contents of such provision.</w:t>
      </w:r>
    </w:p>
    <w:p>
      <w:pPr>
        <w:spacing w:after="0" w:line="149" w:lineRule="exact"/>
        <w:rPr>
          <w:rFonts w:ascii="Times New Roman" w:cs="Times New Roman" w:eastAsia="Times New Roman" w:hAnsi="Times New Roman"/>
          <w:sz w:val="22"/>
          <w:szCs w:val="22"/>
          <w:color w:val="auto"/>
        </w:rPr>
      </w:pPr>
    </w:p>
    <w:p>
      <w:pPr>
        <w:ind w:left="760" w:hanging="752"/>
        <w:spacing w:after="0" w:line="241" w:lineRule="auto"/>
        <w:tabs>
          <w:tab w:leader="none" w:pos="44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Modification of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not be amended, revoked, changed, or modified in any way,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writing executed by all Parties. EMPLOYEE agrees not to make any claim at any time or place that this AGREEMENT has been verbally modified in any respect whatsoever. The Parties acknowledge that only an authorized representative of GEO has the authority to modify this AGREEMENT on behalf of GEO.</w:t>
      </w:r>
    </w:p>
    <w:p>
      <w:pPr>
        <w:spacing w:after="0" w:line="171" w:lineRule="exact"/>
        <w:rPr>
          <w:rFonts w:ascii="Times New Roman" w:cs="Times New Roman" w:eastAsia="Times New Roman" w:hAnsi="Times New Roman"/>
          <w:sz w:val="22"/>
          <w:szCs w:val="22"/>
          <w:color w:val="auto"/>
        </w:rPr>
      </w:pPr>
    </w:p>
    <w:p>
      <w:pPr>
        <w:ind w:left="760" w:hanging="752"/>
        <w:spacing w:after="0" w:line="246" w:lineRule="auto"/>
        <w:tabs>
          <w:tab w:leader="none" w:pos="44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language of all parts of this AGREEMENT shall in all cases be construed as a whole, according to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fair meaning, and not strictly for or against any of the Parties. This AGREEMENT has been negotiated by and between attorneys for the Parties and shall not be construed against the drafter of the AGREEMENT.</w:t>
      </w:r>
    </w:p>
    <w:p>
      <w:pPr>
        <w:spacing w:after="0" w:line="167" w:lineRule="exact"/>
        <w:rPr>
          <w:rFonts w:ascii="Times New Roman" w:cs="Times New Roman" w:eastAsia="Times New Roman" w:hAnsi="Times New Roman"/>
          <w:sz w:val="22"/>
          <w:szCs w:val="22"/>
          <w:color w:val="auto"/>
        </w:rPr>
      </w:pPr>
    </w:p>
    <w:p>
      <w:pPr>
        <w:ind w:left="760" w:hanging="752"/>
        <w:spacing w:after="0" w:line="246" w:lineRule="auto"/>
        <w:tabs>
          <w:tab w:leader="none" w:pos="45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Nature of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each of the Parties and upon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heirs, administrators, representatives, executors, successors, and assigns, and shall inure to the benefit of each party and to their respective heirs, administrators, representatives, executors, successors, and assigns.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6"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ind w:left="760" w:hanging="752"/>
        <w:spacing w:after="0" w:line="246" w:lineRule="auto"/>
        <w:tabs>
          <w:tab w:leader="none" w:pos="4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Fiduciary Obligations/Cooperation: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in no way relieves EMPLOYEE of any fiduciary obligations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may owe to GEO. EMPLOYEE agrees to cooperate with GEO in any investigations, defenses to claims, prosecution of claims, depositions, court appearances, and all other inquiries of EMPLOYEE.</w:t>
      </w:r>
    </w:p>
    <w:p>
      <w:pPr>
        <w:spacing w:after="0" w:line="167" w:lineRule="exact"/>
        <w:rPr>
          <w:rFonts w:ascii="Times New Roman" w:cs="Times New Roman" w:eastAsia="Times New Roman" w:hAnsi="Times New Roman"/>
          <w:sz w:val="22"/>
          <w:szCs w:val="22"/>
          <w:color w:val="auto"/>
        </w:rPr>
      </w:pPr>
    </w:p>
    <w:p>
      <w:pPr>
        <w:ind w:left="760" w:hanging="752"/>
        <w:spacing w:after="0" w:line="234" w:lineRule="auto"/>
        <w:tabs>
          <w:tab w:leader="none" w:pos="4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notice (“Notice”) provided for under this AGREEMENT, must comply with the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set forth in this Paragraph. Each Notice shall be in writing and sent by facsimile or depositing it with a nationally recognized overnight courier service that obtains receipts (such as Federal Express or UPS Next Day Air), addressed to the appropriate party (and marked to a particular individual’s attention, if so indicated) as hereinafter provided. Each Notice shall be effective upon being so telecopied or deposited, but the time period in which a response to any notice must be given or any action taken with respect thereto shall commence to run from the date of receipt of the Notice by the addressee thereof, as evidenced by the return receipt. Rejection or other refusal by the addressee to accept or the inability to deliver because of a changed address of which no Notice was given shall be deemed to be the receipt of the Notice sent. Any Party shall have the right from time to time to change the address or individual’s attention to which notices to it shall be sent by giving to the other party at least ten (10) calendar days' prior Notice thereof. The Parties' addresses for providing Notices hereunder shall be as follows: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Notices to GEO:</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GEO Group, Inc.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4955 Technology Way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Boca Raton, Florida 33431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Notices to EMPLOYEE: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111 San Miniato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San Antonio, TX 78260</w:t>
      </w:r>
    </w:p>
    <w:p>
      <w:pPr>
        <w:spacing w:after="0" w:line="200" w:lineRule="exact"/>
        <w:rPr>
          <w:sz w:val="20"/>
          <w:szCs w:val="20"/>
          <w:color w:val="auto"/>
        </w:rPr>
      </w:pPr>
    </w:p>
    <w:p>
      <w:pPr>
        <w:spacing w:after="0" w:line="245" w:lineRule="exact"/>
        <w:rPr>
          <w:sz w:val="20"/>
          <w:szCs w:val="20"/>
          <w:color w:val="auto"/>
        </w:rPr>
      </w:pPr>
    </w:p>
    <w:p>
      <w:pPr>
        <w:jc w:val="both"/>
        <w:ind w:left="760" w:hanging="752"/>
        <w:spacing w:after="0" w:line="238"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Waiver/Selective Enforcement: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waiver of any provision of this AGREEMENT will be valid unless it is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signed by the party committing the waiver. The Parties agree that the failure of any Party to enforce or to exercise any right, condition, term, or provision of this AGREEMENT shall not be construed as or deemed a relinquishment or waiver thereof, and the same shall continue in full force and effect, and no waiver shall be deemed to be a waiver of any subsequent breach or rights. All rights are cumulative under this AGREEMENT.</w:t>
      </w:r>
    </w:p>
    <w:p>
      <w:pPr>
        <w:spacing w:after="0" w:line="176" w:lineRule="exact"/>
        <w:rPr>
          <w:rFonts w:ascii="Times New Roman" w:cs="Times New Roman" w:eastAsia="Times New Roman" w:hAnsi="Times New Roman"/>
          <w:sz w:val="22"/>
          <w:szCs w:val="22"/>
          <w:color w:val="auto"/>
        </w:rPr>
      </w:pPr>
    </w:p>
    <w:p>
      <w:pPr>
        <w:jc w:val="both"/>
        <w:ind w:left="760" w:hanging="752"/>
        <w:spacing w:after="0" w:line="238"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Execution of Necessary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Party shall, upon the request of the other, execute and re-execute,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and deliver this AGREEMENT and incorporated general release and any and all papers or documents or other instruments, as may be reasonably necessary to implement the terms hereof with any formalities as may be required and otherwise shall cooperate to fulfill the terms hereof and enable the other Party to effectuate any of the provisions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6"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5" w:name="page156"/>
    <w:bookmarkEnd w:id="155"/>
    <w:p>
      <w:pPr>
        <w:jc w:val="both"/>
        <w:ind w:left="760" w:hanging="752"/>
        <w:spacing w:after="0" w:line="263" w:lineRule="auto"/>
        <w:tabs>
          <w:tab w:leader="none" w:pos="7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Electronic Transmission and 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may be executed in several counterparts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exchanged by electronic transmission (facsimile, pdf, e-mail) and all so executed shall constitute one AGREEMENT, binding on all the Parties hereto, notwithstanding that the Parties are not signatories to the original or same counterpart.</w:t>
      </w:r>
    </w:p>
    <w:p>
      <w:pPr>
        <w:spacing w:after="0" w:line="151" w:lineRule="exact"/>
        <w:rPr>
          <w:rFonts w:ascii="Times New Roman" w:cs="Times New Roman" w:eastAsia="Times New Roman" w:hAnsi="Times New Roman"/>
          <w:sz w:val="21"/>
          <w:szCs w:val="21"/>
          <w:color w:val="auto"/>
        </w:rPr>
      </w:pPr>
    </w:p>
    <w:p>
      <w:pPr>
        <w:ind w:left="760" w:right="20" w:hanging="752"/>
        <w:spacing w:after="0" w:line="262"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Older Workers Benefit Protection Act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being forty (40) years of age or older,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advised of and acknowledges the following:</w:t>
      </w:r>
    </w:p>
    <w:p>
      <w:pPr>
        <w:spacing w:after="0" w:line="149" w:lineRule="exact"/>
        <w:rPr>
          <w:rFonts w:ascii="Times New Roman" w:cs="Times New Roman" w:eastAsia="Times New Roman" w:hAnsi="Times New Roman"/>
          <w:sz w:val="22"/>
          <w:szCs w:val="22"/>
          <w:color w:val="auto"/>
        </w:rPr>
      </w:pPr>
    </w:p>
    <w:p>
      <w:pPr>
        <w:jc w:val="both"/>
        <w:ind w:left="1500" w:hanging="743"/>
        <w:spacing w:after="0" w:line="236" w:lineRule="auto"/>
        <w:tabs>
          <w:tab w:leader="none" w:pos="15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Twenty-One Day Consideration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have up to twenty-one (21) days to consider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accept the terms of this AGREEMENT by fully executing and notarizing it below, and returning it to GEO's counsel, as identified in Paragraph 28. During this twenty-one (21) day period and before signing this AGREEMENT, EMPLOYEE is encouraged to consult with an attorney regarding the terms and provisions of this AGREEMENT, at his own expense. The terms and provisions of this AGREEMENT are null and void if not accepted by EMPLOYEE within the twenty-one (21) day period. EMPLOYEE may sign the AGREEMENT prior to the conclusion of the twenty-one (21) day period.</w:t>
      </w:r>
    </w:p>
    <w:p>
      <w:pPr>
        <w:spacing w:after="0" w:line="175" w:lineRule="exact"/>
        <w:rPr>
          <w:rFonts w:ascii="Times New Roman" w:cs="Times New Roman" w:eastAsia="Times New Roman" w:hAnsi="Times New Roman"/>
          <w:sz w:val="22"/>
          <w:szCs w:val="22"/>
          <w:color w:val="auto"/>
        </w:rPr>
      </w:pPr>
    </w:p>
    <w:p>
      <w:pPr>
        <w:jc w:val="both"/>
        <w:ind w:left="1500" w:hanging="743"/>
        <w:spacing w:after="0" w:line="246" w:lineRule="auto"/>
        <w:tabs>
          <w:tab w:leader="none" w:pos="15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of Age Discrimination in Employment Act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signing this AGREEMENT,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waives any claims he has or might have against GEO under the Age Discrimination in Employment Act ("ADEA") that accrued prior to the date of EMPLOYEE's execution of the AGREEMENT.</w:t>
      </w:r>
    </w:p>
    <w:p>
      <w:pPr>
        <w:spacing w:after="0" w:line="167"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Revocation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have seven (7) calendar days from the date he signs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revoke the AGREEMENT by notifying GEO in writing prior to the expiration of the seven (7) calendar day period. Any revocation within this period must state "I hereby revoke my acceptance of our Confidential Agreement and General Release." The written revocation must be personally delivered to GEO in the manner proscribed by Paragraph 28 above, and must be postmarked within seven (7) calendar days of EMPLOYEE's execution of this AGREEMENT. This AGREEMENT shall not become effective or enforceable until the revocation period has expired (the "Effective Date"). If the last day of the revocation period is a Saturday, Sunday, or legal holiday, then the revocation period shall not expire until the next following day that is not a Saturday, Sunday, or legal holiday.</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EMPLOYEE IS HEREBY ADVISED THAT HE HAS UP TO TWENTY-ONE (21) CALENDAR DAYS TO REVIEW AND CONSIDER THIS AGREEMENT AND IS HEREBY ADVISED IN WRITING TO CONSULT WITH AN ATTORNEY PRIOR TO EXECUTION OF THIS AGREEMENT.</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HAVING ELECTED TO EXECUTE THIS AGREEMENT, TO FULFILL THE PROMISES AND TO RECEIVE THE SUMS AND BENEFITS IN PARAGRAPH 4 ABOVE, EMPLOYEE FREELY AND KNOWINGLY, AND AFTER DUE CONSIDERATION, ENTERS INTO THIS AGREEMENT INTENDING TO WAIVE, SETTLE, AND RELEASE ALL CLAIMS HE HAS OR MIGHT HAVE AGAINST GEO.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6" w:lineRule="exact"/>
        <w:rPr>
          <w:sz w:val="20"/>
          <w:szCs w:val="20"/>
          <w:color w:val="auto"/>
        </w:rPr>
      </w:pPr>
    </w:p>
    <w:p>
      <w:pPr>
        <w:ind w:left="2760"/>
        <w:spacing w:after="0"/>
        <w:tabs>
          <w:tab w:leader="none" w:pos="6740" w:val="left"/>
        </w:tabs>
        <w:rPr>
          <w:sz w:val="20"/>
          <w:szCs w:val="20"/>
          <w:color w:val="auto"/>
        </w:rPr>
      </w:pPr>
      <w:r>
        <w:rPr>
          <w:rFonts w:ascii="Arial" w:cs="Arial" w:eastAsia="Arial" w:hAnsi="Arial"/>
          <w:sz w:val="18"/>
          <w:szCs w:val="18"/>
          <w:color w:val="auto"/>
        </w:rPr>
        <w:t>EMPLOYEE's Initials ______</w:t>
      </w:r>
      <w:r>
        <w:rPr>
          <w:sz w:val="20"/>
          <w:szCs w:val="20"/>
          <w:color w:val="auto"/>
        </w:rPr>
        <w:tab/>
      </w:r>
      <w:r>
        <w:rPr>
          <w:rFonts w:ascii="Arial" w:cs="Arial" w:eastAsia="Arial" w:hAnsi="Arial"/>
          <w:sz w:val="18"/>
          <w:szCs w:val="18"/>
          <w:color w:val="auto"/>
        </w:rPr>
        <w:t>GEO's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b w:val="1"/>
          <w:bCs w:val="1"/>
          <w:color w:val="auto"/>
        </w:rPr>
        <w:t>ACCEPTED AND AGREED: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James Black</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12/3/2024</w:t>
            </w:r>
          </w:p>
        </w:tc>
        <w:tc>
          <w:tcPr>
            <w:tcW w:w="1720" w:type="dxa"/>
            <w:vAlign w:val="bottom"/>
          </w:tcPr>
          <w:p>
            <w:pPr>
              <w:spacing w:after="0"/>
              <w:rPr>
                <w:sz w:val="22"/>
                <w:szCs w:val="22"/>
                <w:color w:val="auto"/>
              </w:rPr>
            </w:pPr>
          </w:p>
        </w:tc>
        <w:tc>
          <w:tcPr>
            <w:tcW w:w="5940" w:type="dxa"/>
            <w:vAlign w:val="bottom"/>
          </w:tcPr>
          <w:p>
            <w:pPr>
              <w:spacing w:after="0"/>
              <w:rPr>
                <w:sz w:val="22"/>
                <w:szCs w:val="22"/>
                <w:color w:val="auto"/>
              </w:rPr>
            </w:pPr>
          </w:p>
        </w:tc>
      </w:tr>
      <w:tr>
        <w:trPr>
          <w:trHeight w:val="276"/>
        </w:trPr>
        <w:tc>
          <w:tcPr>
            <w:tcW w:w="440" w:type="dxa"/>
            <w:vAlign w:val="bottom"/>
          </w:tcPr>
          <w:p>
            <w:pPr>
              <w:spacing w:after="0"/>
              <w:rPr>
                <w:sz w:val="23"/>
                <w:szCs w:val="23"/>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James Black</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2"/>
                <w:szCs w:val="22"/>
                <w:color w:val="auto"/>
              </w:rPr>
              <w:t>Date</w:t>
            </w:r>
          </w:p>
        </w:tc>
        <w:tc>
          <w:tcPr>
            <w:tcW w:w="1720" w:type="dxa"/>
            <w:vAlign w:val="bottom"/>
          </w:tcPr>
          <w:p>
            <w:pPr>
              <w:spacing w:after="0"/>
              <w:rPr>
                <w:sz w:val="23"/>
                <w:szCs w:val="23"/>
                <w:color w:val="auto"/>
              </w:rPr>
            </w:pPr>
          </w:p>
        </w:tc>
        <w:tc>
          <w:tcPr>
            <w:tcW w:w="5940" w:type="dxa"/>
            <w:vAlign w:val="bottom"/>
          </w:tcPr>
          <w:p>
            <w:pPr>
              <w:spacing w:after="0"/>
              <w:rPr>
                <w:sz w:val="23"/>
                <w:szCs w:val="23"/>
                <w:color w:val="auto"/>
              </w:rPr>
            </w:pPr>
          </w:p>
        </w:tc>
      </w:tr>
      <w:tr>
        <w:trPr>
          <w:trHeight w:val="919"/>
        </w:trPr>
        <w:tc>
          <w:tcPr>
            <w:tcW w:w="2600" w:type="dxa"/>
            <w:vAlign w:val="bottom"/>
            <w:gridSpan w:val="4"/>
          </w:tcPr>
          <w:p>
            <w:pPr>
              <w:jc w:val="right"/>
              <w:ind w:right="612"/>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George Zoley</w:t>
            </w:r>
          </w:p>
        </w:tc>
        <w:tc>
          <w:tcPr>
            <w:tcW w:w="8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12/3/2024</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76"/>
        </w:trPr>
        <w:tc>
          <w:tcPr>
            <w:tcW w:w="440" w:type="dxa"/>
            <w:vAlign w:val="bottom"/>
          </w:tcPr>
          <w:p>
            <w:pPr>
              <w:spacing w:after="0"/>
              <w:rPr>
                <w:sz w:val="23"/>
                <w:szCs w:val="23"/>
                <w:color w:val="auto"/>
              </w:rPr>
            </w:pPr>
          </w:p>
        </w:tc>
        <w:tc>
          <w:tcPr>
            <w:tcW w:w="1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w w:val="93"/>
              </w:rPr>
              <w:t>The GEO Group,</w:t>
            </w:r>
          </w:p>
        </w:tc>
        <w:tc>
          <w:tcPr>
            <w:tcW w:w="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Date</w:t>
            </w:r>
          </w:p>
        </w:tc>
        <w:tc>
          <w:tcPr>
            <w:tcW w:w="1820" w:type="dxa"/>
            <w:vAlign w:val="bottom"/>
            <w:gridSpan w:val="2"/>
          </w:tcPr>
          <w:p>
            <w:pPr>
              <w:spacing w:after="0"/>
              <w:rPr>
                <w:sz w:val="23"/>
                <w:szCs w:val="23"/>
                <w:color w:val="auto"/>
              </w:rPr>
            </w:pPr>
          </w:p>
        </w:tc>
        <w:tc>
          <w:tcPr>
            <w:tcW w:w="5940" w:type="dxa"/>
            <w:vAlign w:val="bottom"/>
          </w:tcPr>
          <w:p>
            <w:pPr>
              <w:spacing w:after="0"/>
              <w:rPr>
                <w:sz w:val="23"/>
                <w:szCs w:val="23"/>
                <w:color w:val="auto"/>
              </w:rPr>
            </w:pPr>
          </w:p>
        </w:tc>
      </w:tr>
      <w:tr>
        <w:trPr>
          <w:trHeight w:val="671"/>
        </w:trPr>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40" w:type="dxa"/>
            <w:vAlign w:val="bottom"/>
          </w:tcPr>
          <w:p>
            <w:pPr>
              <w:jc w:val="right"/>
              <w:ind w:right="5401"/>
              <w:spacing w:after="0"/>
              <w:rPr>
                <w:sz w:val="20"/>
                <w:szCs w:val="20"/>
                <w:color w:val="auto"/>
              </w:rPr>
            </w:pPr>
            <w:r>
              <w:rPr>
                <w:rFonts w:ascii="Arial" w:cs="Arial" w:eastAsia="Arial" w:hAnsi="Arial"/>
                <w:sz w:val="22"/>
                <w:szCs w:val="22"/>
                <w:color w:val="auto"/>
              </w:rPr>
              <w:t>11</w:t>
            </w:r>
          </w:p>
        </w:tc>
      </w:tr>
      <w:tr>
        <w:trPr>
          <w:trHeight w:val="239"/>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3"/>
          </w:tcPr>
          <w:p>
            <w:pPr>
              <w:ind w:left="60"/>
              <w:spacing w:after="0"/>
              <w:rPr>
                <w:sz w:val="20"/>
                <w:szCs w:val="20"/>
                <w:color w:val="auto"/>
              </w:rPr>
            </w:pPr>
            <w:r>
              <w:rPr>
                <w:rFonts w:ascii="Arial" w:cs="Arial" w:eastAsia="Arial" w:hAnsi="Arial"/>
                <w:sz w:val="18"/>
                <w:szCs w:val="18"/>
                <w:color w:val="auto"/>
              </w:rPr>
              <w:t>EMPLOYEE's Initials ______</w:t>
            </w:r>
          </w:p>
        </w:tc>
        <w:tc>
          <w:tcPr>
            <w:tcW w:w="5940" w:type="dxa"/>
            <w:vAlign w:val="bottom"/>
          </w:tcPr>
          <w:p>
            <w:pPr>
              <w:jc w:val="right"/>
              <w:ind w:right="2641"/>
              <w:spacing w:after="0"/>
              <w:rPr>
                <w:sz w:val="20"/>
                <w:szCs w:val="20"/>
                <w:color w:val="auto"/>
              </w:rPr>
            </w:pPr>
            <w:r>
              <w:rPr>
                <w:rFonts w:ascii="Arial" w:cs="Arial" w:eastAsia="Arial" w:hAnsi="Arial"/>
                <w:sz w:val="18"/>
                <w:szCs w:val="18"/>
                <w:color w:val="auto"/>
              </w:rPr>
              <w:t>GEO's Initials ______</w:t>
            </w:r>
          </w:p>
        </w:tc>
      </w:tr>
      <w:tr>
        <w:trPr>
          <w:trHeight w:val="988"/>
        </w:trPr>
        <w:tc>
          <w:tcPr>
            <w:tcW w:w="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7" w:name="page158"/>
    <w:bookmarkEnd w:id="157"/>
    <w:p>
      <w:pPr>
        <w:ind w:left="8600"/>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CONSULTANT AGREEMENT</w:t>
      </w:r>
    </w:p>
    <w:p>
      <w:pPr>
        <w:spacing w:after="0" w:line="2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consultant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effective as of January 1,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by and between James Black (“</w:t>
      </w:r>
      <w:r>
        <w:rPr>
          <w:rFonts w:ascii="Times New Roman" w:cs="Times New Roman" w:eastAsia="Times New Roman" w:hAnsi="Times New Roman"/>
          <w:sz w:val="22"/>
          <w:szCs w:val="22"/>
          <w:b w:val="1"/>
          <w:bCs w:val="1"/>
          <w:u w:val="single" w:color="auto"/>
          <w:color w:val="auto"/>
        </w:rPr>
        <w:t>Consultant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The GEO Group, Inc.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GEO</w:t>
      </w:r>
      <w:r>
        <w:rPr>
          <w:rFonts w:ascii="Times New Roman" w:cs="Times New Roman" w:eastAsia="Times New Roman" w:hAnsi="Times New Roman"/>
          <w:sz w:val="22"/>
          <w:szCs w:val="22"/>
          <w:color w:val="auto"/>
        </w:rPr>
        <w:t xml:space="preserve">”), a Florida corporation with its primary place of business at 4955 Technology Way, Boca Raton, Florida 33431. For purposes of this Agreement,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includes any and all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subsidiaries. This Agreement supersedes all prior written and/or verbal agreements which may exist between the parties hereto.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consideration of the mutual promises herein contained,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agree as follows:</w:t>
      </w:r>
    </w:p>
    <w:p>
      <w:pPr>
        <w:spacing w:after="0" w:line="233"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 OF SERVICES</w:t>
      </w:r>
    </w:p>
    <w:p>
      <w:pPr>
        <w:spacing w:after="0" w:line="18" w:lineRule="exact"/>
        <w:rPr>
          <w:rFonts w:ascii="Times New Roman" w:cs="Times New Roman" w:eastAsia="Times New Roman" w:hAnsi="Times New Roman"/>
          <w:sz w:val="22"/>
          <w:szCs w:val="22"/>
          <w:b w:val="1"/>
          <w:bCs w:val="1"/>
          <w:color w:val="auto"/>
        </w:rPr>
      </w:pPr>
    </w:p>
    <w:p>
      <w:pPr>
        <w:jc w:val="both"/>
        <w:ind w:left="3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shall provide consulting services for</w:t>
      </w:r>
      <w:r>
        <w:rPr>
          <w:rFonts w:ascii="Times New Roman" w:cs="Times New Roman" w:eastAsia="Times New Roman" w:hAnsi="Times New Roman"/>
          <w:sz w:val="22"/>
          <w:szCs w:val="22"/>
          <w:b w:val="1"/>
          <w:bCs w:val="1"/>
          <w:color w:val="auto"/>
        </w:rPr>
        <w:t xml:space="preserve"> GEO </w:t>
      </w:r>
      <w:r>
        <w:rPr>
          <w:rFonts w:ascii="Times New Roman" w:cs="Times New Roman" w:eastAsia="Times New Roman" w:hAnsi="Times New Roman"/>
          <w:sz w:val="22"/>
          <w:szCs w:val="22"/>
          <w:color w:val="auto"/>
        </w:rPr>
        <w:t>with respect to secure service business opportunities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United States or overseas, as more specifically set forth below. Accordingly,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shall provide one or more of the following services:</w:t>
      </w:r>
    </w:p>
    <w:p>
      <w:pPr>
        <w:spacing w:after="0" w:line="308" w:lineRule="exact"/>
        <w:rPr>
          <w:rFonts w:ascii="Times New Roman" w:cs="Times New Roman" w:eastAsia="Times New Roman" w:hAnsi="Times New Roman"/>
          <w:sz w:val="22"/>
          <w:szCs w:val="22"/>
          <w:b w:val="1"/>
          <w:bCs w:val="1"/>
          <w:color w:val="auto"/>
        </w:rPr>
      </w:pPr>
    </w:p>
    <w:p>
      <w:pPr>
        <w:ind w:left="760" w:hanging="378"/>
        <w:spacing w:after="0"/>
        <w:tabs>
          <w:tab w:leader="none" w:pos="760"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Business Development</w:t>
      </w:r>
    </w:p>
    <w:p>
      <w:pPr>
        <w:spacing w:after="0" w:line="98" w:lineRule="exact"/>
        <w:rPr>
          <w:rFonts w:ascii="Times New Roman" w:cs="Times New Roman" w:eastAsia="Times New Roman" w:hAnsi="Times New Roman"/>
          <w:sz w:val="22"/>
          <w:szCs w:val="22"/>
          <w:b w:val="1"/>
          <w:bCs w:val="1"/>
          <w:color w:val="auto"/>
        </w:rPr>
      </w:pPr>
    </w:p>
    <w:p>
      <w:pPr>
        <w:ind w:left="1140" w:hanging="383"/>
        <w:spacing w:after="0"/>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Assist in identifying and/or promoting new business opportunities for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b w:val="1"/>
          <w:bCs w:val="1"/>
          <w:color w:val="auto"/>
        </w:rPr>
      </w:pPr>
    </w:p>
    <w:p>
      <w:pPr>
        <w:ind w:left="1140" w:hanging="383"/>
        <w:spacing w:after="0" w:line="262" w:lineRule="auto"/>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Review any and all pending legislation regarding or affecting new contracted service opportunities, and advise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with respect to same;</w:t>
      </w:r>
    </w:p>
    <w:p>
      <w:pPr>
        <w:spacing w:after="0" w:line="41" w:lineRule="exact"/>
        <w:rPr>
          <w:rFonts w:ascii="Times New Roman" w:cs="Times New Roman" w:eastAsia="Times New Roman" w:hAnsi="Times New Roman"/>
          <w:sz w:val="22"/>
          <w:szCs w:val="22"/>
          <w:b w:val="1"/>
          <w:bCs w:val="1"/>
          <w:color w:val="auto"/>
        </w:rPr>
      </w:pPr>
    </w:p>
    <w:p>
      <w:pPr>
        <w:ind w:left="1140" w:right="20" w:hanging="383"/>
        <w:spacing w:after="0" w:line="262" w:lineRule="auto"/>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Meet with government officials as necessary to promote </w:t>
      </w:r>
      <w:r>
        <w:rPr>
          <w:rFonts w:ascii="Times New Roman" w:cs="Times New Roman" w:eastAsia="Times New Roman" w:hAnsi="Times New Roman"/>
          <w:sz w:val="22"/>
          <w:szCs w:val="22"/>
          <w:b w:val="1"/>
          <w:bCs w:val="1"/>
          <w:color w:val="auto"/>
        </w:rPr>
        <w:t>GEO’s</w:t>
      </w:r>
      <w:r>
        <w:rPr>
          <w:rFonts w:ascii="Times New Roman" w:cs="Times New Roman" w:eastAsia="Times New Roman" w:hAnsi="Times New Roman"/>
          <w:sz w:val="22"/>
          <w:szCs w:val="22"/>
          <w:color w:val="auto"/>
        </w:rPr>
        <w:t xml:space="preserve"> legislative and/or contractual interests, including interests related to new business opportunities;</w:t>
      </w:r>
    </w:p>
    <w:p>
      <w:pPr>
        <w:spacing w:after="0" w:line="41" w:lineRule="exact"/>
        <w:rPr>
          <w:rFonts w:ascii="Times New Roman" w:cs="Times New Roman" w:eastAsia="Times New Roman" w:hAnsi="Times New Roman"/>
          <w:sz w:val="22"/>
          <w:szCs w:val="22"/>
          <w:b w:val="1"/>
          <w:bCs w:val="1"/>
          <w:color w:val="auto"/>
        </w:rPr>
      </w:pPr>
    </w:p>
    <w:p>
      <w:pPr>
        <w:ind w:left="1140" w:hanging="383"/>
        <w:spacing w:after="0" w:line="262" w:lineRule="auto"/>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Facilitate, and upon request, attend meetings between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and governmental executive staff, legislative members, and departmental staff related to new business opportunities;</w:t>
      </w:r>
    </w:p>
    <w:p>
      <w:pPr>
        <w:spacing w:after="0" w:line="41" w:lineRule="exact"/>
        <w:rPr>
          <w:rFonts w:ascii="Times New Roman" w:cs="Times New Roman" w:eastAsia="Times New Roman" w:hAnsi="Times New Roman"/>
          <w:sz w:val="22"/>
          <w:szCs w:val="22"/>
          <w:b w:val="1"/>
          <w:bCs w:val="1"/>
          <w:color w:val="auto"/>
        </w:rPr>
      </w:pPr>
    </w:p>
    <w:p>
      <w:pPr>
        <w:ind w:left="1140" w:hanging="383"/>
        <w:spacing w:after="0" w:line="262" w:lineRule="auto"/>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Meet with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staff, as requested, to discuss the design, financing, construction and/or operation of newly identified projects;</w:t>
      </w:r>
    </w:p>
    <w:p>
      <w:pPr>
        <w:spacing w:after="0" w:line="41" w:lineRule="exact"/>
        <w:rPr>
          <w:rFonts w:ascii="Times New Roman" w:cs="Times New Roman" w:eastAsia="Times New Roman" w:hAnsi="Times New Roman"/>
          <w:sz w:val="22"/>
          <w:szCs w:val="22"/>
          <w:b w:val="1"/>
          <w:bCs w:val="1"/>
          <w:color w:val="auto"/>
        </w:rPr>
      </w:pPr>
    </w:p>
    <w:p>
      <w:pPr>
        <w:ind w:left="1140" w:hanging="383"/>
        <w:spacing w:after="0"/>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Assist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in finding suitable locations for any newly identified projects;</w:t>
      </w:r>
    </w:p>
    <w:p>
      <w:pPr>
        <w:spacing w:after="0" w:line="98" w:lineRule="exact"/>
        <w:rPr>
          <w:rFonts w:ascii="Times New Roman" w:cs="Times New Roman" w:eastAsia="Times New Roman" w:hAnsi="Times New Roman"/>
          <w:sz w:val="22"/>
          <w:szCs w:val="22"/>
          <w:b w:val="1"/>
          <w:bCs w:val="1"/>
          <w:color w:val="auto"/>
        </w:rPr>
      </w:pPr>
    </w:p>
    <w:p>
      <w:pPr>
        <w:ind w:left="1140" w:hanging="383"/>
        <w:spacing w:after="0" w:line="262" w:lineRule="auto"/>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Provide any and all other related assistance requested by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to assist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in submitting proposals for new projects, consistent with the services outlined herein.</w:t>
      </w:r>
    </w:p>
    <w:p>
      <w:pPr>
        <w:spacing w:after="0" w:line="41" w:lineRule="exact"/>
        <w:rPr>
          <w:rFonts w:ascii="Times New Roman" w:cs="Times New Roman" w:eastAsia="Times New Roman" w:hAnsi="Times New Roman"/>
          <w:sz w:val="22"/>
          <w:szCs w:val="22"/>
          <w:b w:val="1"/>
          <w:bCs w:val="1"/>
          <w:color w:val="auto"/>
        </w:rPr>
      </w:pPr>
    </w:p>
    <w:p>
      <w:pPr>
        <w:ind w:left="760" w:hanging="378"/>
        <w:spacing w:after="0"/>
        <w:tabs>
          <w:tab w:leader="none" w:pos="760"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Contract Administration Assistance – Existing Contracts</w:t>
      </w:r>
    </w:p>
    <w:p>
      <w:pPr>
        <w:spacing w:after="0" w:line="98" w:lineRule="exact"/>
        <w:rPr>
          <w:rFonts w:ascii="Times New Roman" w:cs="Times New Roman" w:eastAsia="Times New Roman" w:hAnsi="Times New Roman"/>
          <w:sz w:val="22"/>
          <w:szCs w:val="22"/>
          <w:b w:val="1"/>
          <w:bCs w:val="1"/>
          <w:color w:val="auto"/>
        </w:rPr>
      </w:pPr>
    </w:p>
    <w:p>
      <w:pPr>
        <w:ind w:left="1140" w:hanging="383"/>
        <w:spacing w:after="0" w:line="262" w:lineRule="auto"/>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Meet with client representatives, in coordination with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to discuss client objectives, changes in policies,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performance and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business interests;</w:t>
      </w:r>
    </w:p>
    <w:p>
      <w:pPr>
        <w:spacing w:after="0" w:line="41" w:lineRule="exact"/>
        <w:rPr>
          <w:rFonts w:ascii="Times New Roman" w:cs="Times New Roman" w:eastAsia="Times New Roman" w:hAnsi="Times New Roman"/>
          <w:sz w:val="22"/>
          <w:szCs w:val="22"/>
          <w:b w:val="1"/>
          <w:bCs w:val="1"/>
          <w:color w:val="auto"/>
        </w:rPr>
      </w:pPr>
    </w:p>
    <w:p>
      <w:pPr>
        <w:ind w:left="1140" w:hanging="383"/>
        <w:spacing w:after="0"/>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Monitor contract utilization levels in order to promote full use of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’s business interests;</w:t>
      </w:r>
    </w:p>
    <w:p>
      <w:pPr>
        <w:spacing w:after="0" w:line="98" w:lineRule="exact"/>
        <w:rPr>
          <w:rFonts w:ascii="Times New Roman" w:cs="Times New Roman" w:eastAsia="Times New Roman" w:hAnsi="Times New Roman"/>
          <w:sz w:val="22"/>
          <w:szCs w:val="22"/>
          <w:b w:val="1"/>
          <w:bCs w:val="1"/>
          <w:color w:val="auto"/>
        </w:rPr>
      </w:pPr>
    </w:p>
    <w:p>
      <w:pPr>
        <w:ind w:left="1140" w:hanging="383"/>
        <w:spacing w:after="0"/>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Monitor funding for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contracts in order to assure continuity in funding for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b w:val="1"/>
          <w:bCs w:val="1"/>
          <w:color w:val="auto"/>
        </w:rPr>
      </w:pPr>
    </w:p>
    <w:p>
      <w:pPr>
        <w:ind w:left="1140" w:hanging="383"/>
        <w:spacing w:after="0"/>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Assist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in obtaining contract extensions and financial increases;</w:t>
      </w:r>
    </w:p>
    <w:p>
      <w:pPr>
        <w:spacing w:after="0" w:line="98" w:lineRule="exact"/>
        <w:rPr>
          <w:rFonts w:ascii="Times New Roman" w:cs="Times New Roman" w:eastAsia="Times New Roman" w:hAnsi="Times New Roman"/>
          <w:sz w:val="22"/>
          <w:szCs w:val="22"/>
          <w:b w:val="1"/>
          <w:bCs w:val="1"/>
          <w:color w:val="auto"/>
        </w:rPr>
      </w:pPr>
    </w:p>
    <w:p>
      <w:pPr>
        <w:ind w:left="1140" w:hanging="383"/>
        <w:spacing w:after="0" w:line="262" w:lineRule="auto"/>
        <w:tabs>
          <w:tab w:leader="none" w:pos="114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Monitor client funding requests to the legislature as they apply to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contracts, determine the adequacy of the requested funding, and advise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with respect to such funding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650875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58" w:name="page159"/>
    <w:bookmarkEnd w:id="158"/>
    <w:p>
      <w:pPr>
        <w:ind w:left="1140" w:hanging="383"/>
        <w:spacing w:after="0"/>
        <w:tabs>
          <w:tab w:leader="none" w:pos="1140" w:val="left"/>
        </w:tabs>
        <w:numPr>
          <w:ilvl w:val="2"/>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Attend meetings with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staff as requested;</w:t>
      </w:r>
    </w:p>
    <w:p>
      <w:pPr>
        <w:spacing w:after="0" w:line="102" w:lineRule="exact"/>
        <w:rPr>
          <w:rFonts w:ascii="Times New Roman" w:cs="Times New Roman" w:eastAsia="Times New Roman" w:hAnsi="Times New Roman"/>
          <w:sz w:val="22"/>
          <w:szCs w:val="22"/>
          <w:b w:val="1"/>
          <w:bCs w:val="1"/>
          <w:color w:val="auto"/>
        </w:rPr>
      </w:pPr>
    </w:p>
    <w:p>
      <w:pPr>
        <w:ind w:left="1140" w:hanging="383"/>
        <w:spacing w:after="0" w:line="258" w:lineRule="auto"/>
        <w:tabs>
          <w:tab w:leader="none" w:pos="1140" w:val="left"/>
        </w:tabs>
        <w:numPr>
          <w:ilvl w:val="2"/>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Meet key state or federal executive and legislative officials with respect to the promotion and continuation of </w:t>
      </w:r>
      <w:r>
        <w:rPr>
          <w:rFonts w:ascii="Times New Roman" w:cs="Times New Roman" w:eastAsia="Times New Roman" w:hAnsi="Times New Roman"/>
          <w:sz w:val="22"/>
          <w:szCs w:val="22"/>
          <w:b w:val="1"/>
          <w:bCs w:val="1"/>
          <w:color w:val="auto"/>
        </w:rPr>
        <w:t xml:space="preserve">GEO’s </w:t>
      </w:r>
      <w:r>
        <w:rPr>
          <w:rFonts w:ascii="Times New Roman" w:cs="Times New Roman" w:eastAsia="Times New Roman" w:hAnsi="Times New Roman"/>
          <w:sz w:val="22"/>
          <w:szCs w:val="22"/>
          <w:color w:val="auto"/>
        </w:rPr>
        <w:t>existing contract interests;</w:t>
      </w:r>
    </w:p>
    <w:p>
      <w:pPr>
        <w:spacing w:after="0" w:line="46" w:lineRule="exact"/>
        <w:rPr>
          <w:rFonts w:ascii="Times New Roman" w:cs="Times New Roman" w:eastAsia="Times New Roman" w:hAnsi="Times New Roman"/>
          <w:sz w:val="22"/>
          <w:szCs w:val="22"/>
          <w:b w:val="1"/>
          <w:bCs w:val="1"/>
          <w:color w:val="auto"/>
        </w:rPr>
      </w:pPr>
    </w:p>
    <w:p>
      <w:pPr>
        <w:ind w:left="1140" w:hanging="383"/>
        <w:spacing w:after="0"/>
        <w:tabs>
          <w:tab w:leader="none" w:pos="1140" w:val="left"/>
        </w:tabs>
        <w:numPr>
          <w:ilvl w:val="2"/>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Schedule meetings with client representatives and other public officials, as requested by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AGREEMENT</w:t>
      </w:r>
    </w:p>
    <w:p>
      <w:pPr>
        <w:spacing w:after="0" w:line="18" w:lineRule="exact"/>
        <w:rPr>
          <w:rFonts w:ascii="Times New Roman" w:cs="Times New Roman" w:eastAsia="Times New Roman" w:hAnsi="Times New Roman"/>
          <w:sz w:val="22"/>
          <w:szCs w:val="22"/>
          <w:b w:val="1"/>
          <w:bCs w:val="1"/>
          <w:color w:val="auto"/>
        </w:rPr>
      </w:pPr>
    </w:p>
    <w:p>
      <w:pPr>
        <w:ind w:left="380" w:right="2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shall commence upon the Effective Date set forth above and shall continue through December 31, 2026, unless extended by mutual agreement in writing with not less than 30 days’ prior written notice.</w:t>
      </w:r>
    </w:p>
    <w:p>
      <w:pPr>
        <w:spacing w:after="0" w:line="201"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RATES AND BILLING</w:t>
      </w:r>
    </w:p>
    <w:p>
      <w:pPr>
        <w:spacing w:after="0" w:line="18" w:lineRule="exact"/>
        <w:rPr>
          <w:rFonts w:ascii="Times New Roman" w:cs="Times New Roman" w:eastAsia="Times New Roman" w:hAnsi="Times New Roman"/>
          <w:sz w:val="22"/>
          <w:szCs w:val="22"/>
          <w:b w:val="1"/>
          <w:bCs w:val="1"/>
          <w:color w:val="auto"/>
        </w:rPr>
      </w:pPr>
    </w:p>
    <w:p>
      <w:pPr>
        <w:ind w:left="760" w:hanging="378"/>
        <w:spacing w:after="0"/>
        <w:tabs>
          <w:tab w:leader="none" w:pos="760"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Required Reports</w:t>
      </w:r>
    </w:p>
    <w:p>
      <w:pPr>
        <w:spacing w:after="0" w:line="178" w:lineRule="exact"/>
        <w:rPr>
          <w:rFonts w:ascii="Times New Roman" w:cs="Times New Roman" w:eastAsia="Times New Roman" w:hAnsi="Times New Roman"/>
          <w:sz w:val="22"/>
          <w:szCs w:val="22"/>
          <w:b w:val="1"/>
          <w:bCs w:val="1"/>
          <w:color w:val="auto"/>
        </w:rPr>
      </w:pPr>
    </w:p>
    <w:p>
      <w:pPr>
        <w:ind w:left="76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shall submit verbal and/or written reports as may be directed by</w:t>
      </w:r>
      <w:r>
        <w:rPr>
          <w:rFonts w:ascii="Times New Roman" w:cs="Times New Roman" w:eastAsia="Times New Roman" w:hAnsi="Times New Roman"/>
          <w:sz w:val="22"/>
          <w:szCs w:val="22"/>
          <w:b w:val="1"/>
          <w:bCs w:val="1"/>
          <w:color w:val="auto"/>
        </w:rPr>
        <w:t xml:space="preserve"> GEO</w:t>
      </w:r>
      <w:r>
        <w:rPr>
          <w:rFonts w:ascii="Times New Roman" w:cs="Times New Roman" w:eastAsia="Times New Roman" w:hAnsi="Times New Roman"/>
          <w:sz w:val="22"/>
          <w:szCs w:val="22"/>
          <w:color w:val="auto"/>
        </w:rPr>
        <w:t>, and all periodic reports or forms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prescribed by applicable state or federal requirements.</w:t>
      </w:r>
    </w:p>
    <w:p>
      <w:pPr>
        <w:spacing w:after="0" w:line="149" w:lineRule="exact"/>
        <w:rPr>
          <w:rFonts w:ascii="Times New Roman" w:cs="Times New Roman" w:eastAsia="Times New Roman" w:hAnsi="Times New Roman"/>
          <w:sz w:val="22"/>
          <w:szCs w:val="22"/>
          <w:b w:val="1"/>
          <w:bCs w:val="1"/>
          <w:color w:val="auto"/>
        </w:rPr>
      </w:pPr>
    </w:p>
    <w:p>
      <w:pPr>
        <w:ind w:left="760" w:hanging="378"/>
        <w:spacing w:after="0"/>
        <w:tabs>
          <w:tab w:leader="none" w:pos="760"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Business Development and Contract Administration Services</w:t>
      </w:r>
    </w:p>
    <w:p>
      <w:pPr>
        <w:spacing w:after="0" w:line="206" w:lineRule="exact"/>
        <w:rPr>
          <w:rFonts w:ascii="Times New Roman" w:cs="Times New Roman" w:eastAsia="Times New Roman" w:hAnsi="Times New Roman"/>
          <w:sz w:val="22"/>
          <w:szCs w:val="22"/>
          <w:b w:val="1"/>
          <w:bCs w:val="1"/>
          <w:color w:val="auto"/>
        </w:rPr>
      </w:pPr>
    </w:p>
    <w:p>
      <w:pPr>
        <w:jc w:val="both"/>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shall be compensated for business development and/or contract administration services for existing contracts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in accordance with Sections 1.A. and B., above, at the rate of </w:t>
      </w:r>
      <w:r>
        <w:rPr>
          <w:rFonts w:ascii="Times New Roman" w:cs="Times New Roman" w:eastAsia="Times New Roman" w:hAnsi="Times New Roman"/>
          <w:sz w:val="20"/>
          <w:szCs w:val="20"/>
          <w:color w:val="auto"/>
        </w:rPr>
        <w:t>forty-six thousand, four hundred fifteen dollars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($46,415)</w:t>
      </w:r>
      <w:r>
        <w:rPr>
          <w:rFonts w:ascii="Times New Roman" w:cs="Times New Roman" w:eastAsia="Times New Roman" w:hAnsi="Times New Roman"/>
          <w:sz w:val="21"/>
          <w:szCs w:val="21"/>
          <w:color w:val="auto"/>
        </w:rPr>
        <w:t>, with payment to be made upon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color w:val="auto"/>
        </w:rPr>
        <w:t>Consultant’s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submission of a billing statement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at the end of each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month. Previous payments made to </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after the Effective Date, but prior to the execution date, of this Agreement shall be considered as payments made pursuant to and credited against this Agreement.</w:t>
      </w:r>
    </w:p>
    <w:p>
      <w:pPr>
        <w:spacing w:after="0" w:line="1" w:lineRule="exact"/>
        <w:rPr>
          <w:rFonts w:ascii="Times New Roman" w:cs="Times New Roman" w:eastAsia="Times New Roman" w:hAnsi="Times New Roman"/>
          <w:sz w:val="22"/>
          <w:szCs w:val="22"/>
          <w:b w:val="1"/>
          <w:bCs w:val="1"/>
          <w:color w:val="auto"/>
        </w:rPr>
      </w:pPr>
    </w:p>
    <w:p>
      <w:pPr>
        <w:ind w:left="760" w:hanging="378"/>
        <w:spacing w:after="0" w:line="230" w:lineRule="auto"/>
        <w:tabs>
          <w:tab w:leader="none" w:pos="760"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Travel and Business Expense Reimbursement</w:t>
      </w:r>
    </w:p>
    <w:p>
      <w:pPr>
        <w:jc w:val="both"/>
        <w:ind w:left="76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shall be reimbursed for all reasonable and necessary documented travel and business expenses incurred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as a result of providing services under this contract. All air travel and lodging shall require the prior approval and authorization in order to qualify for reimbursement hereunder.</w:t>
      </w:r>
    </w:p>
    <w:p>
      <w:pPr>
        <w:spacing w:after="0" w:line="200"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AND DATA</w:t>
      </w:r>
    </w:p>
    <w:p>
      <w:pPr>
        <w:spacing w:after="0" w:line="18" w:lineRule="exact"/>
        <w:rPr>
          <w:rFonts w:ascii="Times New Roman" w:cs="Times New Roman" w:eastAsia="Times New Roman" w:hAnsi="Times New Roman"/>
          <w:sz w:val="22"/>
          <w:szCs w:val="22"/>
          <w:b w:val="1"/>
          <w:bCs w:val="1"/>
          <w:color w:val="auto"/>
        </w:rPr>
      </w:pPr>
    </w:p>
    <w:p>
      <w:pPr>
        <w:jc w:val="both"/>
        <w:ind w:left="760" w:hanging="378"/>
        <w:spacing w:after="0" w:line="243" w:lineRule="auto"/>
        <w:tabs>
          <w:tab w:leader="none" w:pos="760" w:val="left"/>
        </w:tabs>
        <w:numPr>
          <w:ilvl w:val="1"/>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Consultant </w:t>
      </w:r>
      <w:r>
        <w:rPr>
          <w:rFonts w:ascii="Times New Roman" w:cs="Times New Roman" w:eastAsia="Times New Roman" w:hAnsi="Times New Roman"/>
          <w:sz w:val="21"/>
          <w:szCs w:val="21"/>
          <w:color w:val="auto"/>
        </w:rPr>
        <w:t>agrees that all data, including drawings, designs, prints, photographs, specifications, test data tabulation,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completed forms, reports, proposals, and all other information furnished by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for use in connection with the performance of this Agreement or emanating from the work called for under this Agreement (collectively, “</w:t>
      </w:r>
      <w:r>
        <w:rPr>
          <w:rFonts w:ascii="Times New Roman" w:cs="Times New Roman" w:eastAsia="Times New Roman" w:hAnsi="Times New Roman"/>
          <w:sz w:val="21"/>
          <w:szCs w:val="21"/>
          <w:u w:val="single" w:color="auto"/>
          <w:color w:val="auto"/>
        </w:rPr>
        <w:t>GEO Data</w:t>
      </w:r>
      <w:r>
        <w:rPr>
          <w:rFonts w:ascii="Times New Roman" w:cs="Times New Roman" w:eastAsia="Times New Roman" w:hAnsi="Times New Roman"/>
          <w:sz w:val="21"/>
          <w:szCs w:val="21"/>
          <w:color w:val="auto"/>
        </w:rPr>
        <w:t xml:space="preserve">”) shall be and remain the sole property of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GEO Data that qualifies as Confidential GEO Information, as defined below, provided to </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shall be governed by the obligations of confidentiality in Section 5, data security and privacy best practices, and restrictions against disclosure at least as restrictive as those contained in this Section and Section 5 of this Agreement. </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further agrees that all GEO Data not considered Confidential GEO Information shall be kept in confidence and not disclosed to third parties, excepting that certain data, as appropriate, may be disclosed to appropriate agencies/departments in connection with the performance of this Agreement. </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agrees that GEO Data shall not be used for any other purposes or disclosed to any other parties except with the prior written consent of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At the conclusion of the work hereunder, </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shall deliver all GEO Data to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and shall be fully responsible for the care and protection of GEO Data until such delivery.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9" w:name="page160"/>
    <w:bookmarkEnd w:id="159"/>
    <w:p>
      <w:pPr>
        <w:ind w:left="760" w:hanging="378"/>
        <w:spacing w:after="0"/>
        <w:tabs>
          <w:tab w:leader="none" w:pos="760" w:val="left"/>
        </w:tabs>
        <w:numPr>
          <w:ilvl w:val="1"/>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will, and will cause its employees and/or, agents to:</w:t>
      </w:r>
    </w:p>
    <w:p>
      <w:pPr>
        <w:spacing w:after="0" w:line="18" w:lineRule="exact"/>
        <w:rPr>
          <w:rFonts w:ascii="Times New Roman" w:cs="Times New Roman" w:eastAsia="Times New Roman" w:hAnsi="Times New Roman"/>
          <w:sz w:val="22"/>
          <w:szCs w:val="22"/>
          <w:b w:val="1"/>
          <w:bCs w:val="1"/>
          <w:color w:val="auto"/>
        </w:rPr>
      </w:pPr>
    </w:p>
    <w:p>
      <w:pPr>
        <w:ind w:left="1140" w:hanging="383"/>
        <w:spacing w:after="0" w:line="230" w:lineRule="auto"/>
        <w:tabs>
          <w:tab w:leader="none" w:pos="1140" w:val="left"/>
        </w:tabs>
        <w:numPr>
          <w:ilvl w:val="2"/>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Wipe clean the device memory on all equipment and machines on which GEO Data is placed, at the time of disposal, sale or recycling, as applicable;</w:t>
      </w:r>
    </w:p>
    <w:p>
      <w:pPr>
        <w:spacing w:after="0" w:line="1" w:lineRule="exact"/>
        <w:rPr>
          <w:rFonts w:ascii="Times New Roman" w:cs="Times New Roman" w:eastAsia="Times New Roman" w:hAnsi="Times New Roman"/>
          <w:sz w:val="22"/>
          <w:szCs w:val="22"/>
          <w:b w:val="1"/>
          <w:bCs w:val="1"/>
          <w:color w:val="auto"/>
        </w:rPr>
      </w:pPr>
    </w:p>
    <w:p>
      <w:pPr>
        <w:jc w:val="both"/>
        <w:ind w:left="1140" w:hanging="383"/>
        <w:spacing w:after="0" w:line="230" w:lineRule="auto"/>
        <w:tabs>
          <w:tab w:leader="none" w:pos="1140" w:val="left"/>
        </w:tabs>
        <w:numPr>
          <w:ilvl w:val="2"/>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Sanitize storage media, as well as temporary files and back up files on which GEO Data is stored, at the time </w:t>
      </w:r>
      <w:r>
        <w:rPr>
          <w:rFonts w:ascii="Times New Roman" w:cs="Times New Roman" w:eastAsia="Times New Roman" w:hAnsi="Times New Roman"/>
          <w:sz w:val="22"/>
          <w:szCs w:val="22"/>
          <w:b w:val="1"/>
          <w:bCs w:val="1"/>
          <w:color w:val="auto"/>
        </w:rPr>
        <w:t xml:space="preserve">Consultant’s </w:t>
      </w:r>
      <w:r>
        <w:rPr>
          <w:rFonts w:ascii="Times New Roman" w:cs="Times New Roman" w:eastAsia="Times New Roman" w:hAnsi="Times New Roman"/>
          <w:sz w:val="22"/>
          <w:szCs w:val="22"/>
          <w:color w:val="auto"/>
        </w:rPr>
        <w:t>retention timeframe for archival or audit purposes expires, and shall certify such destruction to</w:t>
      </w:r>
      <w:r>
        <w:rPr>
          <w:rFonts w:ascii="Times New Roman" w:cs="Times New Roman" w:eastAsia="Times New Roman" w:hAnsi="Times New Roman"/>
          <w:sz w:val="22"/>
          <w:szCs w:val="22"/>
          <w:b w:val="1"/>
          <w:bCs w:val="1"/>
          <w:color w:val="auto"/>
        </w:rPr>
        <w:t xml:space="preserve"> GEO </w:t>
      </w:r>
      <w:r>
        <w:rPr>
          <w:rFonts w:ascii="Times New Roman" w:cs="Times New Roman" w:eastAsia="Times New Roman" w:hAnsi="Times New Roman"/>
          <w:sz w:val="22"/>
          <w:szCs w:val="22"/>
          <w:color w:val="auto"/>
        </w:rPr>
        <w:t>in writing;</w:t>
      </w:r>
    </w:p>
    <w:p>
      <w:pPr>
        <w:spacing w:after="0" w:line="1" w:lineRule="exact"/>
        <w:rPr>
          <w:rFonts w:ascii="Times New Roman" w:cs="Times New Roman" w:eastAsia="Times New Roman" w:hAnsi="Times New Roman"/>
          <w:sz w:val="22"/>
          <w:szCs w:val="22"/>
          <w:b w:val="1"/>
          <w:bCs w:val="1"/>
          <w:color w:val="auto"/>
        </w:rPr>
      </w:pPr>
    </w:p>
    <w:p>
      <w:pPr>
        <w:ind w:left="1140" w:right="20" w:hanging="383"/>
        <w:spacing w:after="0" w:line="237" w:lineRule="auto"/>
        <w:tabs>
          <w:tab w:leader="none" w:pos="1140" w:val="left"/>
        </w:tabs>
        <w:numPr>
          <w:ilvl w:val="2"/>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Upon completion or termination of the Services to be furnished under this Agreement, return and, or, destroy all remaining GEO Data in accordance with </w:t>
      </w:r>
      <w:r>
        <w:rPr>
          <w:rFonts w:ascii="Times New Roman" w:cs="Times New Roman" w:eastAsia="Times New Roman" w:hAnsi="Times New Roman"/>
          <w:sz w:val="22"/>
          <w:szCs w:val="22"/>
          <w:b w:val="1"/>
          <w:bCs w:val="1"/>
          <w:color w:val="auto"/>
        </w:rPr>
        <w:t>Consultant’s</w:t>
      </w:r>
      <w:r>
        <w:rPr>
          <w:rFonts w:ascii="Times New Roman" w:cs="Times New Roman" w:eastAsia="Times New Roman" w:hAnsi="Times New Roman"/>
          <w:sz w:val="22"/>
          <w:szCs w:val="22"/>
          <w:color w:val="auto"/>
        </w:rPr>
        <w:t xml:space="preserve"> record retention and destruction policies.</w:t>
      </w:r>
    </w:p>
    <w:p>
      <w:pPr>
        <w:spacing w:after="0" w:line="201"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8" w:lineRule="exact"/>
        <w:rPr>
          <w:rFonts w:ascii="Times New Roman" w:cs="Times New Roman" w:eastAsia="Times New Roman" w:hAnsi="Times New Roman"/>
          <w:sz w:val="22"/>
          <w:szCs w:val="22"/>
          <w:b w:val="1"/>
          <w:bCs w:val="1"/>
          <w:color w:val="auto"/>
        </w:rPr>
      </w:pPr>
    </w:p>
    <w:p>
      <w:pPr>
        <w:jc w:val="both"/>
        <w:ind w:left="760" w:hanging="378"/>
        <w:spacing w:after="0" w:line="230" w:lineRule="auto"/>
        <w:tabs>
          <w:tab w:leader="none" w:pos="76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GEO Information</w:t>
      </w:r>
      <w:r>
        <w:rPr>
          <w:rFonts w:ascii="Times New Roman" w:cs="Times New Roman" w:eastAsia="Times New Roman" w:hAnsi="Times New Roman"/>
          <w:sz w:val="22"/>
          <w:szCs w:val="22"/>
          <w:color w:val="auto"/>
        </w:rPr>
        <w:t xml:space="preserve">” means any GEO Data or information provided under this Agreement by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that is commercially valuable, confidential, proprietary, or a trade secret. Confidential GEO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however, shall not include information that is or was, at the time of the disclosure:</w:t>
      </w:r>
    </w:p>
    <w:p>
      <w:pPr>
        <w:spacing w:after="0" w:line="1" w:lineRule="exact"/>
        <w:rPr>
          <w:rFonts w:ascii="Times New Roman" w:cs="Times New Roman" w:eastAsia="Times New Roman" w:hAnsi="Times New Roman"/>
          <w:sz w:val="22"/>
          <w:szCs w:val="22"/>
          <w:b w:val="1"/>
          <w:bCs w:val="1"/>
          <w:color w:val="auto"/>
        </w:rPr>
      </w:pPr>
    </w:p>
    <w:p>
      <w:pPr>
        <w:ind w:left="1140" w:hanging="383"/>
        <w:spacing w:after="0" w:line="230" w:lineRule="auto"/>
        <w:tabs>
          <w:tab w:leader="none" w:pos="1140" w:val="left"/>
        </w:tabs>
        <w:numPr>
          <w:ilvl w:val="2"/>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known or available to the public;</w:t>
      </w:r>
    </w:p>
    <w:p>
      <w:pPr>
        <w:ind w:left="1140" w:hanging="383"/>
        <w:spacing w:after="0" w:line="230" w:lineRule="auto"/>
        <w:tabs>
          <w:tab w:leader="none" w:pos="1140" w:val="left"/>
        </w:tabs>
        <w:numPr>
          <w:ilvl w:val="2"/>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Received by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from a third-party;</w:t>
      </w:r>
    </w:p>
    <w:p>
      <w:pPr>
        <w:ind w:left="1140" w:hanging="383"/>
        <w:spacing w:after="0" w:line="230" w:lineRule="auto"/>
        <w:tabs>
          <w:tab w:leader="none" w:pos="1140" w:val="left"/>
        </w:tabs>
        <w:numPr>
          <w:ilvl w:val="2"/>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Already in </w:t>
      </w:r>
      <w:r>
        <w:rPr>
          <w:rFonts w:ascii="Times New Roman" w:cs="Times New Roman" w:eastAsia="Times New Roman" w:hAnsi="Times New Roman"/>
          <w:sz w:val="22"/>
          <w:szCs w:val="22"/>
          <w:b w:val="1"/>
          <w:bCs w:val="1"/>
          <w:color w:val="auto"/>
        </w:rPr>
        <w:t>Consultant’s</w:t>
      </w:r>
      <w:r>
        <w:rPr>
          <w:rFonts w:ascii="Times New Roman" w:cs="Times New Roman" w:eastAsia="Times New Roman" w:hAnsi="Times New Roman"/>
          <w:sz w:val="22"/>
          <w:szCs w:val="22"/>
          <w:color w:val="auto"/>
        </w:rPr>
        <w:t xml:space="preserve"> possession prior to the date of </w:t>
      </w:r>
      <w:r>
        <w:rPr>
          <w:rFonts w:ascii="Times New Roman" w:cs="Times New Roman" w:eastAsia="Times New Roman" w:hAnsi="Times New Roman"/>
          <w:sz w:val="22"/>
          <w:szCs w:val="22"/>
          <w:b w:val="1"/>
          <w:bCs w:val="1"/>
          <w:color w:val="auto"/>
        </w:rPr>
        <w:t>GEO’s</w:t>
      </w:r>
      <w:r>
        <w:rPr>
          <w:rFonts w:ascii="Times New Roman" w:cs="Times New Roman" w:eastAsia="Times New Roman" w:hAnsi="Times New Roman"/>
          <w:sz w:val="22"/>
          <w:szCs w:val="22"/>
          <w:color w:val="auto"/>
        </w:rPr>
        <w:t xml:space="preserve"> disclosure; or</w:t>
      </w:r>
    </w:p>
    <w:p>
      <w:pPr>
        <w:ind w:left="1140" w:hanging="383"/>
        <w:spacing w:after="0" w:line="230" w:lineRule="auto"/>
        <w:tabs>
          <w:tab w:leader="none" w:pos="1140" w:val="left"/>
        </w:tabs>
        <w:numPr>
          <w:ilvl w:val="2"/>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Independently developed by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760"/>
        <w:spacing w:after="0" w:line="230" w:lineRule="auto"/>
        <w:rPr>
          <w:sz w:val="20"/>
          <w:szCs w:val="20"/>
          <w:color w:val="auto"/>
        </w:rPr>
      </w:pPr>
      <w:r>
        <w:rPr>
          <w:rFonts w:ascii="Times New Roman" w:cs="Times New Roman" w:eastAsia="Times New Roman" w:hAnsi="Times New Roman"/>
          <w:sz w:val="22"/>
          <w:szCs w:val="22"/>
          <w:color w:val="auto"/>
        </w:rPr>
        <w:t xml:space="preserve">These exceptions apply in each case as long as the information was not delivered to or obtained by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as a result of any breach of this Agreement, law, or any contractual, ethical, or fiduciary obligation owed to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w:t>
      </w:r>
    </w:p>
    <w:p>
      <w:pPr>
        <w:ind w:left="760" w:hanging="378"/>
        <w:spacing w:after="0" w:line="231" w:lineRule="auto"/>
        <w:tabs>
          <w:tab w:leader="none" w:pos="7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agrees:</w:t>
      </w:r>
    </w:p>
    <w:p>
      <w:pPr>
        <w:ind w:left="1140" w:right="20" w:hanging="383"/>
        <w:spacing w:after="0" w:line="230" w:lineRule="auto"/>
        <w:tabs>
          <w:tab w:leader="none" w:pos="1140" w:val="left"/>
        </w:tabs>
        <w:numPr>
          <w:ilvl w:val="1"/>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Not to disclose Confidential GEO Information to any other person, firm, or entity without first obtaining </w:t>
      </w:r>
      <w:r>
        <w:rPr>
          <w:rFonts w:ascii="Times New Roman" w:cs="Times New Roman" w:eastAsia="Times New Roman" w:hAnsi="Times New Roman"/>
          <w:sz w:val="22"/>
          <w:szCs w:val="22"/>
          <w:b w:val="1"/>
          <w:bCs w:val="1"/>
          <w:color w:val="auto"/>
        </w:rPr>
        <w:t>GEO’s</w:t>
      </w:r>
      <w:r>
        <w:rPr>
          <w:rFonts w:ascii="Times New Roman" w:cs="Times New Roman" w:eastAsia="Times New Roman" w:hAnsi="Times New Roman"/>
          <w:sz w:val="22"/>
          <w:szCs w:val="22"/>
          <w:color w:val="auto"/>
        </w:rPr>
        <w:t xml:space="preserve"> express written consent; and</w:t>
      </w:r>
    </w:p>
    <w:p>
      <w:pPr>
        <w:spacing w:after="0" w:line="1" w:lineRule="exact"/>
        <w:rPr>
          <w:rFonts w:ascii="Times New Roman" w:cs="Times New Roman" w:eastAsia="Times New Roman" w:hAnsi="Times New Roman"/>
          <w:sz w:val="22"/>
          <w:szCs w:val="22"/>
          <w:b w:val="1"/>
          <w:bCs w:val="1"/>
          <w:color w:val="auto"/>
        </w:rPr>
      </w:pPr>
    </w:p>
    <w:p>
      <w:pPr>
        <w:ind w:left="1140" w:hanging="383"/>
        <w:spacing w:after="0" w:line="241" w:lineRule="auto"/>
        <w:tabs>
          <w:tab w:leader="none" w:pos="1140" w:val="left"/>
        </w:tabs>
        <w:numPr>
          <w:ilvl w:val="1"/>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That it shall at all times use the same standard of care to protect Confidential GEO Information as it uses to protect its own confidential information of a similar nature, but not less than a commercially reasonable standard of care.</w:t>
      </w:r>
    </w:p>
    <w:p>
      <w:pPr>
        <w:spacing w:after="0" w:line="1" w:lineRule="exact"/>
        <w:rPr>
          <w:rFonts w:ascii="Times New Roman" w:cs="Times New Roman" w:eastAsia="Times New Roman" w:hAnsi="Times New Roman"/>
          <w:sz w:val="21"/>
          <w:szCs w:val="21"/>
          <w:b w:val="1"/>
          <w:bCs w:val="1"/>
          <w:color w:val="auto"/>
        </w:rPr>
      </w:pPr>
    </w:p>
    <w:p>
      <w:pPr>
        <w:jc w:val="both"/>
        <w:ind w:left="760" w:hanging="378"/>
        <w:spacing w:after="0" w:line="241" w:lineRule="auto"/>
        <w:tabs>
          <w:tab w:leader="none" w:pos="76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Consultant </w:t>
      </w:r>
      <w:r>
        <w:rPr>
          <w:rFonts w:ascii="Times New Roman" w:cs="Times New Roman" w:eastAsia="Times New Roman" w:hAnsi="Times New Roman"/>
          <w:sz w:val="21"/>
          <w:szCs w:val="21"/>
          <w:color w:val="auto"/>
        </w:rPr>
        <w:t>shall hold all Confidential GEO Information and all GEO Data in trust and confidence for</w:t>
      </w:r>
      <w:r>
        <w:rPr>
          <w:rFonts w:ascii="Times New Roman" w:cs="Times New Roman" w:eastAsia="Times New Roman" w:hAnsi="Times New Roman"/>
          <w:sz w:val="21"/>
          <w:szCs w:val="21"/>
          <w:b w:val="1"/>
          <w:bCs w:val="1"/>
          <w:color w:val="auto"/>
        </w:rPr>
        <w:t xml:space="preserve"> GEO</w:t>
      </w:r>
      <w:r>
        <w:rPr>
          <w:rFonts w:ascii="Times New Roman" w:cs="Times New Roman" w:eastAsia="Times New Roman" w:hAnsi="Times New Roman"/>
          <w:sz w:val="21"/>
          <w:szCs w:val="21"/>
          <w:color w:val="auto"/>
        </w:rPr>
        <w:t>, and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use any GEO Data other than for the benefit of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If </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becomes subject to a court order for the release of Confidential GEO Information and/or GEO Data, or is otherwise legally compelled to release any information related to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xml:space="preserve"> shall use its best efforts to provide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with as much advance notice as possible of the information’s prospective release, to the extent permitted by applicable laws, to enable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to petition for protective concealment or to otherwise oppose the disclosure of the GEO Data and/or Confidential GEO Information.</w:t>
      </w:r>
    </w:p>
    <w:p>
      <w:pPr>
        <w:spacing w:after="0" w:line="3" w:lineRule="exact"/>
        <w:rPr>
          <w:rFonts w:ascii="Times New Roman" w:cs="Times New Roman" w:eastAsia="Times New Roman" w:hAnsi="Times New Roman"/>
          <w:sz w:val="21"/>
          <w:szCs w:val="21"/>
          <w:b w:val="1"/>
          <w:bCs w:val="1"/>
          <w:color w:val="auto"/>
        </w:rPr>
      </w:pPr>
    </w:p>
    <w:p>
      <w:pPr>
        <w:jc w:val="both"/>
        <w:ind w:left="760" w:hanging="378"/>
        <w:spacing w:after="0" w:line="233" w:lineRule="auto"/>
        <w:tabs>
          <w:tab w:leader="none" w:pos="7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further agrees that the unauthorized disclosure of Confidential GEO Information is a material breach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that may result in irreparable harm to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In such cases, payment of money damages is inadequate and difficult to ascertain.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agrees, therefore, that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may, at its sole option, seek immediate injunctive relief in any court of competent jurisdiction enjoining any further such breach, and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consents to the entry of judgment for injunctive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0" w:name="page161"/>
    <w:bookmarkEnd w:id="160"/>
    <w:p>
      <w:pPr>
        <w:ind w:left="380" w:hanging="372"/>
        <w:spacing w:after="0"/>
        <w:tabs>
          <w:tab w:leader="none" w:pos="3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 OF AGREEMENT</w:t>
      </w:r>
    </w:p>
    <w:p>
      <w:pPr>
        <w:spacing w:after="0" w:line="18" w:lineRule="exact"/>
        <w:rPr>
          <w:rFonts w:ascii="Times New Roman" w:cs="Times New Roman" w:eastAsia="Times New Roman" w:hAnsi="Times New Roman"/>
          <w:sz w:val="22"/>
          <w:szCs w:val="22"/>
          <w:b w:val="1"/>
          <w:bCs w:val="1"/>
          <w:color w:val="auto"/>
        </w:rPr>
      </w:pPr>
    </w:p>
    <w:p>
      <w:pPr>
        <w:ind w:left="38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terms and conditions of this Agreement shall remain confidential between the parties hereto, and neither party shall disclose to any third party such terms and conditions, except as may be required by law or request of </w:t>
      </w:r>
      <w:r>
        <w:rPr>
          <w:rFonts w:ascii="Times New Roman" w:cs="Times New Roman" w:eastAsia="Times New Roman" w:hAnsi="Times New Roman"/>
          <w:sz w:val="22"/>
          <w:szCs w:val="22"/>
          <w:b w:val="1"/>
          <w:bCs w:val="1"/>
          <w:color w:val="auto"/>
        </w:rPr>
        <w:t>GEO’s</w:t>
      </w:r>
      <w:r>
        <w:rPr>
          <w:rFonts w:ascii="Times New Roman" w:cs="Times New Roman" w:eastAsia="Times New Roman" w:hAnsi="Times New Roman"/>
          <w:sz w:val="22"/>
          <w:szCs w:val="22"/>
          <w:color w:val="auto"/>
        </w:rPr>
        <w:t xml:space="preserve"> client.</w:t>
      </w:r>
    </w:p>
    <w:p>
      <w:pPr>
        <w:spacing w:after="0" w:line="201"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STATUS AND RESPONSIBILITY; NATURE OF RELATIONSHIP</w:t>
      </w:r>
    </w:p>
    <w:p>
      <w:pPr>
        <w:spacing w:after="0" w:line="18" w:lineRule="exact"/>
        <w:rPr>
          <w:rFonts w:ascii="Times New Roman" w:cs="Times New Roman" w:eastAsia="Times New Roman" w:hAnsi="Times New Roman"/>
          <w:sz w:val="22"/>
          <w:szCs w:val="22"/>
          <w:b w:val="1"/>
          <w:bCs w:val="1"/>
          <w:color w:val="auto"/>
        </w:rPr>
      </w:pPr>
    </w:p>
    <w:p>
      <w:pPr>
        <w:jc w:val="both"/>
        <w:ind w:left="380"/>
        <w:spacing w:after="0" w:line="23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shall perform services for</w:t>
      </w:r>
      <w:r>
        <w:rPr>
          <w:rFonts w:ascii="Times New Roman" w:cs="Times New Roman" w:eastAsia="Times New Roman" w:hAnsi="Times New Roman"/>
          <w:sz w:val="22"/>
          <w:szCs w:val="22"/>
          <w:b w:val="1"/>
          <w:bCs w:val="1"/>
          <w:color w:val="auto"/>
        </w:rPr>
        <w:t xml:space="preserve"> GEO </w:t>
      </w:r>
      <w:r>
        <w:rPr>
          <w:rFonts w:ascii="Times New Roman" w:cs="Times New Roman" w:eastAsia="Times New Roman" w:hAnsi="Times New Roman"/>
          <w:sz w:val="22"/>
          <w:szCs w:val="22"/>
          <w:color w:val="auto"/>
        </w:rPr>
        <w:t>as an independent contractor and not as an agent of</w:t>
      </w:r>
      <w:r>
        <w:rPr>
          <w:rFonts w:ascii="Times New Roman" w:cs="Times New Roman" w:eastAsia="Times New Roman" w:hAnsi="Times New Roman"/>
          <w:sz w:val="22"/>
          <w:szCs w:val="22"/>
          <w:b w:val="1"/>
          <w:bCs w:val="1"/>
          <w:color w:val="auto"/>
        </w:rPr>
        <w:t xml:space="preserve"> GEO</w:t>
      </w:r>
      <w:r>
        <w:rPr>
          <w:rFonts w:ascii="Times New Roman" w:cs="Times New Roman" w:eastAsia="Times New Roman" w:hAnsi="Times New Roman"/>
          <w:sz w:val="22"/>
          <w:szCs w:val="22"/>
          <w:color w:val="auto"/>
        </w:rPr>
        <w:t>. It shall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responsibility of the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to perform all services assigned hereunder in conformity and strict compliance with all applicable laws, rules and regulations of the United States, the several states, and any foreign country, including but not limited to compliance with the Foreign Corrupt Practices Act (“FCPA”) and the UK Bribery Act (“UKBA”).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further agrees to perform all services assigned hereunder in conformity and strict compliance with all applicable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policies, including but not limited to 1.1.12 Anti-Bribery Policy, 1.1.15 Code of Business Conduct and Ethics, 1.1.16 Gift Policy, 1.3.2 Confidentiality of Information Available to Consultants and Contractors Policy, and 3.2.10 Sexual and Workplace Harassment.</w:t>
      </w:r>
    </w:p>
    <w:p>
      <w:pPr>
        <w:spacing w:after="0" w:line="202" w:lineRule="exact"/>
        <w:rPr>
          <w:rFonts w:ascii="Times New Roman" w:cs="Times New Roman" w:eastAsia="Times New Roman" w:hAnsi="Times New Roman"/>
          <w:sz w:val="22"/>
          <w:szCs w:val="22"/>
          <w:b w:val="1"/>
          <w:bCs w:val="1"/>
          <w:color w:val="auto"/>
        </w:rPr>
      </w:pPr>
    </w:p>
    <w:p>
      <w:pPr>
        <w:jc w:val="both"/>
        <w:ind w:left="38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During the term of this Agreement and notwithstanding anything contained herein to the contrary regarding </w:t>
      </w:r>
      <w:r>
        <w:rPr>
          <w:rFonts w:ascii="Times New Roman" w:cs="Times New Roman" w:eastAsia="Times New Roman" w:hAnsi="Times New Roman"/>
          <w:sz w:val="22"/>
          <w:szCs w:val="22"/>
          <w:b w:val="1"/>
          <w:bCs w:val="1"/>
          <w:color w:val="auto"/>
        </w:rPr>
        <w:t>Consultant’s</w:t>
      </w:r>
      <w:r>
        <w:rPr>
          <w:rFonts w:ascii="Times New Roman" w:cs="Times New Roman" w:eastAsia="Times New Roman" w:hAnsi="Times New Roman"/>
          <w:sz w:val="22"/>
          <w:szCs w:val="22"/>
          <w:color w:val="auto"/>
        </w:rPr>
        <w:t xml:space="preserve"> duties under this Agreement, the parties hereto agree that this Agreement does not in any way create a joint venture, partnership or principal/agent relationship between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Unless expressly or specifically authorized in a writing executed by both parties hereto, neither party shall act or attempt to act, represent themselves, directly or by implication, as agent for the other, or in any manner assume or create, or attempt to assume or create, any obligation on behalf or in the name of the other party.</w:t>
      </w:r>
    </w:p>
    <w:p>
      <w:pPr>
        <w:spacing w:after="0" w:line="202" w:lineRule="exact"/>
        <w:rPr>
          <w:rFonts w:ascii="Times New Roman" w:cs="Times New Roman" w:eastAsia="Times New Roman" w:hAnsi="Times New Roman"/>
          <w:sz w:val="22"/>
          <w:szCs w:val="22"/>
          <w:b w:val="1"/>
          <w:bCs w:val="1"/>
          <w:color w:val="auto"/>
        </w:rPr>
      </w:pPr>
    </w:p>
    <w:p>
      <w:pPr>
        <w:ind w:left="380"/>
        <w:spacing w:after="0" w:line="28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 xml:space="preserve">Consultant </w:t>
      </w:r>
      <w:r>
        <w:rPr>
          <w:rFonts w:ascii="Times New Roman" w:cs="Times New Roman" w:eastAsia="Times New Roman" w:hAnsi="Times New Roman"/>
          <w:sz w:val="21"/>
          <w:szCs w:val="21"/>
          <w:color w:val="auto"/>
        </w:rPr>
        <w:t>shall be responsible for any required state or local lobbying registration and reporting requirements –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coordinating with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and its other retained lobbyists for preparation and filing of lobbyist employer or principal reports.</w:t>
      </w:r>
    </w:p>
    <w:p>
      <w:pPr>
        <w:spacing w:after="0" w:line="153"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 OF INTEREST</w:t>
      </w:r>
    </w:p>
    <w:p>
      <w:pPr>
        <w:spacing w:after="0" w:line="18" w:lineRule="exact"/>
        <w:rPr>
          <w:rFonts w:ascii="Times New Roman" w:cs="Times New Roman" w:eastAsia="Times New Roman" w:hAnsi="Times New Roman"/>
          <w:sz w:val="22"/>
          <w:szCs w:val="22"/>
          <w:b w:val="1"/>
          <w:bCs w:val="1"/>
          <w:color w:val="auto"/>
        </w:rPr>
      </w:pPr>
    </w:p>
    <w:p>
      <w:pPr>
        <w:ind w:left="760" w:hanging="378"/>
        <w:spacing w:after="0" w:line="230" w:lineRule="auto"/>
        <w:tabs>
          <w:tab w:leader="none" w:pos="760"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the term of this Agreement:</w:t>
      </w:r>
    </w:p>
    <w:p>
      <w:pPr>
        <w:jc w:val="both"/>
        <w:ind w:left="1140" w:hanging="383"/>
        <w:spacing w:after="0" w:line="241" w:lineRule="auto"/>
        <w:tabs>
          <w:tab w:leader="none" w:pos="1140" w:val="left"/>
        </w:tabs>
        <w:numPr>
          <w:ilvl w:val="2"/>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Consultant </w:t>
      </w:r>
      <w:r>
        <w:rPr>
          <w:rFonts w:ascii="Times New Roman" w:cs="Times New Roman" w:eastAsia="Times New Roman" w:hAnsi="Times New Roman"/>
          <w:sz w:val="21"/>
          <w:szCs w:val="21"/>
          <w:color w:val="auto"/>
        </w:rPr>
        <w:t>shall not have any direct or indirect financial interest in any company, firm, corporation or other entity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which competes with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in the provision of contracted detention, correctional, residential reentry, transportation or electronic monitoring services. For purposes of this Agreement, a ‘direct or indirect financial interest’ shall mean any interest which exceeds five percent (5%) of the value of such company, firm, corporation or other entity.</w:t>
      </w:r>
    </w:p>
    <w:p>
      <w:pPr>
        <w:spacing w:after="0" w:line="2" w:lineRule="exact"/>
        <w:rPr>
          <w:rFonts w:ascii="Times New Roman" w:cs="Times New Roman" w:eastAsia="Times New Roman" w:hAnsi="Times New Roman"/>
          <w:sz w:val="21"/>
          <w:szCs w:val="21"/>
          <w:b w:val="1"/>
          <w:bCs w:val="1"/>
          <w:color w:val="auto"/>
        </w:rPr>
      </w:pPr>
    </w:p>
    <w:p>
      <w:pPr>
        <w:jc w:val="both"/>
        <w:ind w:left="1140" w:hanging="383"/>
        <w:spacing w:after="0" w:line="241" w:lineRule="auto"/>
        <w:tabs>
          <w:tab w:leader="none" w:pos="1140" w:val="left"/>
        </w:tabs>
        <w:numPr>
          <w:ilvl w:val="2"/>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Consultant </w:t>
      </w:r>
      <w:r>
        <w:rPr>
          <w:rFonts w:ascii="Times New Roman" w:cs="Times New Roman" w:eastAsia="Times New Roman" w:hAnsi="Times New Roman"/>
          <w:sz w:val="21"/>
          <w:szCs w:val="21"/>
          <w:color w:val="auto"/>
        </w:rPr>
        <w:t>shall not engage in any activity, directly or indirectly, alone or in association with any other person,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 firm, corporation or entity, which competes with or assists another to compete with </w:t>
      </w:r>
      <w:r>
        <w:rPr>
          <w:rFonts w:ascii="Times New Roman" w:cs="Times New Roman" w:eastAsia="Times New Roman" w:hAnsi="Times New Roman"/>
          <w:sz w:val="21"/>
          <w:szCs w:val="21"/>
          <w:b w:val="1"/>
          <w:bCs w:val="1"/>
          <w:color w:val="auto"/>
        </w:rPr>
        <w:t>GEO</w:t>
      </w:r>
      <w:r>
        <w:rPr>
          <w:rFonts w:ascii="Times New Roman" w:cs="Times New Roman" w:eastAsia="Times New Roman" w:hAnsi="Times New Roman"/>
          <w:sz w:val="21"/>
          <w:szCs w:val="21"/>
          <w:color w:val="auto"/>
        </w:rPr>
        <w:t xml:space="preserve"> in the provision of contracted detention, correctional, residential reentry, transportation and electronic monitoring services.</w:t>
      </w:r>
    </w:p>
    <w:p>
      <w:pPr>
        <w:spacing w:after="0" w:line="1" w:lineRule="exact"/>
        <w:rPr>
          <w:rFonts w:ascii="Times New Roman" w:cs="Times New Roman" w:eastAsia="Times New Roman" w:hAnsi="Times New Roman"/>
          <w:sz w:val="21"/>
          <w:szCs w:val="21"/>
          <w:b w:val="1"/>
          <w:bCs w:val="1"/>
          <w:color w:val="auto"/>
        </w:rPr>
      </w:pPr>
    </w:p>
    <w:p>
      <w:pPr>
        <w:jc w:val="both"/>
        <w:ind w:left="760" w:hanging="378"/>
        <w:spacing w:after="0" w:line="234" w:lineRule="auto"/>
        <w:tabs>
          <w:tab w:leader="none" w:pos="760"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During the term of this Agreement and at all times thereafter,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is prohibited from accepting any compensation, in any form whatsoever, from any contractor, subcontractor, consultant, or other person, company, firm, corporation or other entity participating with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in a design-build and/or operational project which arises during the term of this Agreement.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1" w:name="page162"/>
    <w:bookmarkEnd w:id="161"/>
    <w:p>
      <w:pPr>
        <w:jc w:val="both"/>
        <w:ind w:left="752" w:right="20" w:hanging="378"/>
        <w:spacing w:after="0" w:line="246" w:lineRule="auto"/>
        <w:tabs>
          <w:tab w:leader="none" w:pos="752"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acknowledges that the breach of the provisions of this Section 8 by</w:t>
      </w:r>
      <w:r>
        <w:rPr>
          <w:rFonts w:ascii="Times New Roman" w:cs="Times New Roman" w:eastAsia="Times New Roman" w:hAnsi="Times New Roman"/>
          <w:sz w:val="22"/>
          <w:szCs w:val="22"/>
          <w:b w:val="1"/>
          <w:bCs w:val="1"/>
          <w:color w:val="auto"/>
        </w:rPr>
        <w:t xml:space="preserve"> Consultant </w:t>
      </w:r>
      <w:r>
        <w:rPr>
          <w:rFonts w:ascii="Times New Roman" w:cs="Times New Roman" w:eastAsia="Times New Roman" w:hAnsi="Times New Roman"/>
          <w:sz w:val="22"/>
          <w:szCs w:val="22"/>
          <w:color w:val="auto"/>
        </w:rPr>
        <w:t>will cause</w:t>
      </w:r>
      <w:r>
        <w:rPr>
          <w:rFonts w:ascii="Times New Roman" w:cs="Times New Roman" w:eastAsia="Times New Roman" w:hAnsi="Times New Roman"/>
          <w:sz w:val="22"/>
          <w:szCs w:val="22"/>
          <w:b w:val="1"/>
          <w:bCs w:val="1"/>
          <w:color w:val="auto"/>
        </w:rPr>
        <w:t xml:space="preserve"> GEO </w:t>
      </w:r>
      <w:r>
        <w:rPr>
          <w:rFonts w:ascii="Times New Roman" w:cs="Times New Roman" w:eastAsia="Times New Roman" w:hAnsi="Times New Roman"/>
          <w:sz w:val="22"/>
          <w:szCs w:val="22"/>
          <w:color w:val="auto"/>
        </w:rPr>
        <w:t>to suffer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significant competitive and economic damages and that any such breach will entitle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to seek legal damages and/or equitable relief in an appropriate court of law.</w:t>
      </w:r>
    </w:p>
    <w:p>
      <w:pPr>
        <w:spacing w:after="0" w:line="369" w:lineRule="exact"/>
        <w:rPr>
          <w:rFonts w:ascii="Times New Roman" w:cs="Times New Roman" w:eastAsia="Times New Roman" w:hAnsi="Times New Roman"/>
          <w:sz w:val="22"/>
          <w:szCs w:val="22"/>
          <w:b w:val="1"/>
          <w:bCs w:val="1"/>
          <w:color w:val="auto"/>
        </w:rPr>
      </w:pPr>
    </w:p>
    <w:p>
      <w:pPr>
        <w:ind w:left="372" w:hanging="372"/>
        <w:spacing w:after="0"/>
        <w:tabs>
          <w:tab w:leader="none" w:pos="372"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AMENDMENTS</w:t>
      </w:r>
    </w:p>
    <w:p>
      <w:pPr>
        <w:spacing w:after="0" w:line="169" w:lineRule="exact"/>
        <w:rPr>
          <w:rFonts w:ascii="Times New Roman" w:cs="Times New Roman" w:eastAsia="Times New Roman" w:hAnsi="Times New Roman"/>
          <w:sz w:val="22"/>
          <w:szCs w:val="22"/>
          <w:b w:val="1"/>
          <w:bCs w:val="1"/>
          <w:color w:val="auto"/>
        </w:rPr>
      </w:pPr>
    </w:p>
    <w:p>
      <w:pPr>
        <w:ind w:left="372"/>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instrument contains the entire Agreement between the parties hereto with respect to the transactions contemplated herein, and may not be modified or amended except by the mutual written agreement of the parties.</w:t>
      </w:r>
    </w:p>
    <w:p>
      <w:pPr>
        <w:spacing w:after="0" w:line="181" w:lineRule="exact"/>
        <w:rPr>
          <w:rFonts w:ascii="Times New Roman" w:cs="Times New Roman" w:eastAsia="Times New Roman" w:hAnsi="Times New Roman"/>
          <w:sz w:val="22"/>
          <w:szCs w:val="22"/>
          <w:b w:val="1"/>
          <w:bCs w:val="1"/>
          <w:color w:val="auto"/>
        </w:rPr>
      </w:pPr>
    </w:p>
    <w:p>
      <w:pPr>
        <w:ind w:left="372" w:hanging="372"/>
        <w:spacing w:after="0"/>
        <w:tabs>
          <w:tab w:leader="none" w:pos="372"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 SEVERABILITY</w:t>
      </w:r>
    </w:p>
    <w:p>
      <w:pPr>
        <w:spacing w:after="0" w:line="18" w:lineRule="exact"/>
        <w:rPr>
          <w:rFonts w:ascii="Times New Roman" w:cs="Times New Roman" w:eastAsia="Times New Roman" w:hAnsi="Times New Roman"/>
          <w:sz w:val="22"/>
          <w:szCs w:val="22"/>
          <w:b w:val="1"/>
          <w:bCs w:val="1"/>
          <w:color w:val="auto"/>
        </w:rPr>
      </w:pPr>
    </w:p>
    <w:p>
      <w:pPr>
        <w:ind w:left="372"/>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shall be construed and enforced in accordance with the laws of the State of Florida. If any provision of this Agreement is held invalid or unenforceable, the remaining provisions will remain in effect.</w:t>
      </w:r>
    </w:p>
    <w:p>
      <w:pPr>
        <w:spacing w:after="0" w:line="201" w:lineRule="exact"/>
        <w:rPr>
          <w:rFonts w:ascii="Times New Roman" w:cs="Times New Roman" w:eastAsia="Times New Roman" w:hAnsi="Times New Roman"/>
          <w:sz w:val="22"/>
          <w:szCs w:val="22"/>
          <w:b w:val="1"/>
          <w:bCs w:val="1"/>
          <w:color w:val="auto"/>
        </w:rPr>
      </w:pPr>
    </w:p>
    <w:p>
      <w:pPr>
        <w:ind w:left="372" w:hanging="372"/>
        <w:spacing w:after="0"/>
        <w:tabs>
          <w:tab w:leader="none" w:pos="372"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18" w:lineRule="exact"/>
        <w:rPr>
          <w:rFonts w:ascii="Times New Roman" w:cs="Times New Roman" w:eastAsia="Times New Roman" w:hAnsi="Times New Roman"/>
          <w:sz w:val="22"/>
          <w:szCs w:val="22"/>
          <w:b w:val="1"/>
          <w:bCs w:val="1"/>
          <w:color w:val="auto"/>
        </w:rPr>
      </w:pPr>
    </w:p>
    <w:p>
      <w:pPr>
        <w:ind w:left="372"/>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waiver by either party of any of the terms and conditions of this Agreement in one or more instances will not constitute a waiver of any other terms and conditions.</w:t>
      </w:r>
    </w:p>
    <w:p>
      <w:pPr>
        <w:spacing w:after="0" w:line="106" w:lineRule="exact"/>
        <w:rPr>
          <w:rFonts w:ascii="Times New Roman" w:cs="Times New Roman" w:eastAsia="Times New Roman" w:hAnsi="Times New Roman"/>
          <w:sz w:val="22"/>
          <w:szCs w:val="22"/>
          <w:b w:val="1"/>
          <w:bCs w:val="1"/>
          <w:color w:val="auto"/>
        </w:rPr>
      </w:pPr>
    </w:p>
    <w:p>
      <w:pPr>
        <w:ind w:left="372" w:hanging="372"/>
        <w:spacing w:after="0"/>
        <w:tabs>
          <w:tab w:leader="none" w:pos="372"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w:t>
      </w:r>
    </w:p>
    <w:p>
      <w:pPr>
        <w:spacing w:after="0" w:line="18" w:lineRule="exact"/>
        <w:rPr>
          <w:rFonts w:ascii="Times New Roman" w:cs="Times New Roman" w:eastAsia="Times New Roman" w:hAnsi="Times New Roman"/>
          <w:sz w:val="22"/>
          <w:szCs w:val="22"/>
          <w:b w:val="1"/>
          <w:bCs w:val="1"/>
          <w:color w:val="auto"/>
        </w:rPr>
      </w:pPr>
    </w:p>
    <w:p>
      <w:pPr>
        <w:jc w:val="both"/>
        <w:ind w:left="372"/>
        <w:spacing w:after="0" w:line="23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Consultant </w:t>
      </w:r>
      <w:r>
        <w:rPr>
          <w:rFonts w:ascii="Times New Roman" w:cs="Times New Roman" w:eastAsia="Times New Roman" w:hAnsi="Times New Roman"/>
          <w:sz w:val="22"/>
          <w:szCs w:val="22"/>
          <w:color w:val="auto"/>
        </w:rPr>
        <w:t>represents that the relationship, services, and compensation set forth in this Agreement are lawful and in strict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accordance with all applicable laws and regulations of the jurisdiction(s) identified in Section 1, above.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xml:space="preserve"> acknowledges that </w:t>
      </w:r>
      <w:r>
        <w:rPr>
          <w:rFonts w:ascii="Times New Roman" w:cs="Times New Roman" w:eastAsia="Times New Roman" w:hAnsi="Times New Roman"/>
          <w:sz w:val="22"/>
          <w:szCs w:val="22"/>
          <w:b w:val="1"/>
          <w:bCs w:val="1"/>
          <w:color w:val="auto"/>
        </w:rPr>
        <w:t>GEO</w:t>
      </w:r>
      <w:r>
        <w:rPr>
          <w:rFonts w:ascii="Times New Roman" w:cs="Times New Roman" w:eastAsia="Times New Roman" w:hAnsi="Times New Roman"/>
          <w:sz w:val="22"/>
          <w:szCs w:val="22"/>
          <w:color w:val="auto"/>
        </w:rPr>
        <w:t xml:space="preserve"> has relied upon </w:t>
      </w:r>
      <w:r>
        <w:rPr>
          <w:rFonts w:ascii="Times New Roman" w:cs="Times New Roman" w:eastAsia="Times New Roman" w:hAnsi="Times New Roman"/>
          <w:sz w:val="22"/>
          <w:szCs w:val="22"/>
          <w:b w:val="1"/>
          <w:bCs w:val="1"/>
          <w:color w:val="auto"/>
        </w:rPr>
        <w:t>Consultant’s</w:t>
      </w:r>
      <w:r>
        <w:rPr>
          <w:rFonts w:ascii="Times New Roman" w:cs="Times New Roman" w:eastAsia="Times New Roman" w:hAnsi="Times New Roman"/>
          <w:sz w:val="22"/>
          <w:szCs w:val="22"/>
          <w:color w:val="auto"/>
        </w:rPr>
        <w:t xml:space="preserve"> representation to such effect in entering into this Agreement. In the event any part or all of the terms and conditions of this Agreement are deemed to be contrary to such applicable laws or regulations of the identified jurisdiction(s), the parties hereto agree that such part or all of this Agreement shall be deemed null and void, and no services or compensation shall be due with respect to same.</w:t>
      </w:r>
    </w:p>
    <w:p>
      <w:pPr>
        <w:spacing w:after="0" w:line="205" w:lineRule="exact"/>
        <w:rPr>
          <w:rFonts w:ascii="Times New Roman" w:cs="Times New Roman" w:eastAsia="Times New Roman" w:hAnsi="Times New Roman"/>
          <w:sz w:val="22"/>
          <w:szCs w:val="22"/>
          <w:b w:val="1"/>
          <w:bCs w:val="1"/>
          <w:color w:val="auto"/>
        </w:rPr>
      </w:pPr>
    </w:p>
    <w:p>
      <w:pPr>
        <w:ind w:left="372" w:hanging="372"/>
        <w:spacing w:after="0"/>
        <w:tabs>
          <w:tab w:leader="none" w:pos="372"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p>
    <w:p>
      <w:pPr>
        <w:spacing w:after="0" w:line="18" w:lineRule="exact"/>
        <w:rPr>
          <w:rFonts w:ascii="Times New Roman" w:cs="Times New Roman" w:eastAsia="Times New Roman" w:hAnsi="Times New Roman"/>
          <w:sz w:val="22"/>
          <w:szCs w:val="22"/>
          <w:b w:val="1"/>
          <w:bCs w:val="1"/>
          <w:color w:val="auto"/>
        </w:rPr>
      </w:pPr>
    </w:p>
    <w:p>
      <w:pPr>
        <w:ind w:left="37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party hereto may assign its rights, duties and obligations hereunder without written consent to the other party.</w:t>
      </w:r>
    </w:p>
    <w:p>
      <w:pPr>
        <w:spacing w:after="0" w:line="205" w:lineRule="exact"/>
        <w:rPr>
          <w:rFonts w:ascii="Times New Roman" w:cs="Times New Roman" w:eastAsia="Times New Roman" w:hAnsi="Times New Roman"/>
          <w:sz w:val="22"/>
          <w:szCs w:val="22"/>
          <w:b w:val="1"/>
          <w:bCs w:val="1"/>
          <w:color w:val="auto"/>
        </w:rPr>
      </w:pPr>
    </w:p>
    <w:p>
      <w:pPr>
        <w:ind w:left="372" w:hanging="372"/>
        <w:spacing w:after="0"/>
        <w:tabs>
          <w:tab w:leader="none" w:pos="372"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18" w:lineRule="exact"/>
        <w:rPr>
          <w:rFonts w:ascii="Times New Roman" w:cs="Times New Roman" w:eastAsia="Times New Roman" w:hAnsi="Times New Roman"/>
          <w:sz w:val="22"/>
          <w:szCs w:val="22"/>
          <w:b w:val="1"/>
          <w:bCs w:val="1"/>
          <w:color w:val="auto"/>
        </w:rPr>
      </w:pPr>
    </w:p>
    <w:p>
      <w:pPr>
        <w:ind w:left="372"/>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will be executed in two or more counterparts, each of which shall be considered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471805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3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undersigned authorized parties affix their signatures effective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JAMES BLACK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i w:val="1"/>
                <w:iCs w:val="1"/>
                <w:color w:val="auto"/>
              </w:rPr>
              <w:t>/s/ James Black</w:t>
            </w:r>
          </w:p>
        </w:tc>
        <w:tc>
          <w:tcPr>
            <w:tcW w:w="1560" w:type="dxa"/>
            <w:vAlign w:val="bottom"/>
          </w:tcPr>
          <w:p>
            <w:pPr>
              <w:spacing w:after="0"/>
              <w:rPr>
                <w:sz w:val="22"/>
                <w:szCs w:val="22"/>
                <w:color w:val="auto"/>
              </w:rPr>
            </w:pPr>
          </w:p>
        </w:tc>
        <w:tc>
          <w:tcPr>
            <w:tcW w:w="146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w w:val="87"/>
              </w:rPr>
              <w:t>SSN or</w:t>
            </w:r>
          </w:p>
        </w:tc>
        <w:tc>
          <w:tcPr>
            <w:tcW w:w="3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The GEO Group, Inc.</w:t>
            </w:r>
          </w:p>
        </w:tc>
        <w:tc>
          <w:tcPr>
            <w:tcW w:w="0" w:type="dxa"/>
            <w:vAlign w:val="bottom"/>
          </w:tcPr>
          <w:p>
            <w:pPr>
              <w:spacing w:after="0"/>
              <w:rPr>
                <w:sz w:val="1"/>
                <w:szCs w:val="1"/>
                <w:color w:val="auto"/>
              </w:rPr>
            </w:pPr>
          </w:p>
        </w:tc>
      </w:tr>
      <w:tr>
        <w:trPr>
          <w:trHeight w:val="276"/>
        </w:trPr>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James Black, Consultant</w:t>
            </w:r>
          </w:p>
        </w:tc>
        <w:tc>
          <w:tcPr>
            <w:tcW w:w="1460" w:type="dxa"/>
            <w:vAlign w:val="bottom"/>
            <w:vMerge w:val="continue"/>
          </w:tcPr>
          <w:p>
            <w:pPr>
              <w:spacing w:after="0"/>
              <w:rPr>
                <w:sz w:val="23"/>
                <w:szCs w:val="23"/>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FEIN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GEO GROUP,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Brian Evans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Evans</w:t>
      </w:r>
    </w:p>
    <w:p>
      <w:pPr>
        <w:spacing w:after="0" w:line="235" w:lineRule="auto"/>
        <w:rPr>
          <w:sz w:val="20"/>
          <w:szCs w:val="20"/>
          <w:color w:val="auto"/>
        </w:rPr>
      </w:pPr>
      <w:r>
        <w:rPr>
          <w:rFonts w:ascii="Times New Roman" w:cs="Times New Roman" w:eastAsia="Times New Roman" w:hAnsi="Times New Roman"/>
          <w:sz w:val="22"/>
          <w:szCs w:val="22"/>
          <w:color w:val="auto"/>
        </w:rPr>
        <w:t>Chief Executive Officer</w:t>
      </w:r>
    </w:p>
    <w:p>
      <w:pPr>
        <w:ind w:left="55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891" w:right="959" w:bottom="1440" w:gutter="0" w:footer="0" w:header="0"/>
        </w:sectPr>
      </w:pPr>
    </w:p>
    <w:bookmarkStart w:id="163" w:name="page164"/>
    <w:bookmarkEnd w:id="163"/>
    <w:p>
      <w:pPr>
        <w:ind w:left="8600"/>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GEO GROUP,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February 25,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a director, officer or any employee of The GEO Group, Inc. and its subsidiaries (collectively “GEO” or the “Company”) or any agent or advisor of the Company has material, nonpublic information relating to the Company, it is the Company’s policy (the “Policy”) that neither that person nor any Related Person (as defined below) may buy or sell the Company’s securities, including common stock, options and any other securities that the Company may issue, such as preferred stock, notes, bonds and convertible securities, as well as derivative securities relating to any of the Company’s securities, whether or not issued by the Company (the “Company Securities”) or engage in any other action to take advantage of, or pass on to others, information. This Policy also applies to material, nonpublic information relating to any other company with publicly-traded securities, including our customers, suppliers or an economically-linked company, such as a competitor, obtained in the course of employment by or association with GEO.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Policy supersedes any previous policy of the Company concerning stock trading. In the event of any conflict or inconsistency between this Policy and any other materials previously distributed by the Company, this Policy shall govern.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avoid even the appearance of impropriety, additional restrictions on trading Company Securities apply to directors and members of executive management. See Section IV.</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Policy is applicable to all directors, officers and employees of GEO and any other individuals or entities, including consultants and independent contractors, that GEO's General Counsel may designate as Insiders because they have access to material nonpublic information concerning the Company. The Policy applies to our employees located in and outside the United States alike.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Questions regarding this Policy should be directed to GEO’s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left="440" w:hanging="432"/>
        <w:spacing w:after="0"/>
        <w:tabs>
          <w:tab w:leader="none" w:pos="4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an “Insider?”</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Any person who possesses material, nonpublic information is considered an “Insider” as to that information. Insiders include Company directors, officers, employees, independent contractors and those persons in a special relationship with the Company, e.g., its auditors, consultants or attorneys. The definition of Insider is transaction specific; that is, an individual is an Insider with respect to each material, nonpublic item of which he or she is aware.</w:t>
      </w:r>
    </w:p>
    <w:p>
      <w:pPr>
        <w:spacing w:after="0" w:line="180" w:lineRule="exact"/>
        <w:rPr>
          <w:sz w:val="20"/>
          <w:szCs w:val="20"/>
          <w:color w:val="auto"/>
        </w:rPr>
      </w:pPr>
    </w:p>
    <w:p>
      <w:pPr>
        <w:ind w:left="440" w:hanging="432"/>
        <w:spacing w:after="0"/>
        <w:tabs>
          <w:tab w:leader="none" w:pos="4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is “Material” Information?</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where the fact is likely to have a significant effect on the market price of the security, or where release of the information could produce a qualitative change to the total mix of information disclosed to the public by the Company. Material information can be positive or negative and can relate to virtually any aspect of a company’s business or to any type of security – debt or equity. Material information is not limited to historical facts but may also include projections and forecasts.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Some examples of material information include:</w:t>
      </w:r>
    </w:p>
    <w:p>
      <w:pPr>
        <w:spacing w:after="0" w:line="206" w:lineRule="exact"/>
        <w:rPr>
          <w:sz w:val="20"/>
          <w:szCs w:val="20"/>
          <w:color w:val="auto"/>
        </w:rPr>
      </w:pPr>
    </w:p>
    <w:p>
      <w:pPr>
        <w:ind w:left="760" w:hanging="752"/>
        <w:spacing w:after="0"/>
        <w:tabs>
          <w:tab w:leader="none" w:pos="7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Unpublished financial or operating results, whether for completed periods or relating to expectations for future periods;</w:t>
      </w:r>
    </w:p>
    <w:p>
      <w:pPr>
        <w:spacing w:after="0" w:line="25" w:lineRule="exact"/>
        <w:rPr>
          <w:rFonts w:ascii="Times New Roman" w:cs="Times New Roman" w:eastAsia="Times New Roman" w:hAnsi="Times New Roman"/>
          <w:sz w:val="21"/>
          <w:szCs w:val="21"/>
          <w:color w:val="auto"/>
        </w:rPr>
      </w:pP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projections or earnings guidance;</w:t>
      </w: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corporate objectives, including offering new services or discontinuing certain services;</w:t>
      </w: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the Company's prospects;</w:t>
      </w: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impairment or change in the value of the Company’s assets;</w:t>
      </w: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or loss of a significant customer contract;</w:t>
      </w: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company transaction, such as a merger, acquisition or sale of assets, a business or securities of another company;</w:t>
      </w:r>
    </w:p>
    <w:p>
      <w:pPr>
        <w:spacing w:after="0" w:line="1" w:lineRule="exact"/>
        <w:rPr>
          <w:rFonts w:ascii="Times New Roman" w:cs="Times New Roman" w:eastAsia="Times New Roman" w:hAnsi="Times New Roman"/>
          <w:sz w:val="22"/>
          <w:szCs w:val="22"/>
          <w:color w:val="auto"/>
        </w:rPr>
      </w:pP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public offering or private placement of Company Securities or other financing for the Company outside of the ordinary course of business;</w:t>
      </w:r>
    </w:p>
    <w:p>
      <w:pPr>
        <w:spacing w:after="0" w:line="1" w:lineRule="exact"/>
        <w:rPr>
          <w:rFonts w:ascii="Times New Roman" w:cs="Times New Roman" w:eastAsia="Times New Roman" w:hAnsi="Times New Roman"/>
          <w:sz w:val="22"/>
          <w:szCs w:val="22"/>
          <w:color w:val="auto"/>
        </w:rPr>
      </w:pP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repurchase or redemption of Company Securities;</w:t>
      </w: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w:t>
      </w: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w:t>
      </w: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approvals or challenges;</w:t>
      </w:r>
    </w:p>
    <w:p>
      <w:pPr>
        <w:ind w:left="760" w:right="2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litigation of potential significance to the Company, settlement or other resolution of ongoing litigation or government agency investigation;</w:t>
      </w:r>
    </w:p>
    <w:p>
      <w:pPr>
        <w:spacing w:after="0" w:line="1" w:lineRule="exact"/>
        <w:rPr>
          <w:rFonts w:ascii="Times New Roman" w:cs="Times New Roman" w:eastAsia="Times New Roman" w:hAnsi="Times New Roman"/>
          <w:sz w:val="22"/>
          <w:szCs w:val="22"/>
          <w:color w:val="auto"/>
        </w:rPr>
      </w:pPr>
    </w:p>
    <w:p>
      <w:pPr>
        <w:ind w:left="760" w:hanging="752"/>
        <w:spacing w:after="0" w:line="230"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vulnerabilities and breaches;</w:t>
      </w:r>
    </w:p>
    <w:p>
      <w:pPr>
        <w:ind w:left="760" w:hanging="752"/>
        <w:spacing w:after="0"/>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need to restate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39"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 and</w:t>
      </w:r>
    </w:p>
    <w:p>
      <w:pPr>
        <w:spacing w:after="0" w:line="14"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liquidity problems.</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above list is only illustrative; many other types of information may be considered “material,” depending on the circumstances. The materiality of particular information is subject to reassessment on a regular basis. If you are unsure whether information is material, you should treat it as such and consult with GEO’s General Counsel before making any decision to disclose such information (other than to persons who need to know it) or to trade in or recommend securities to which that information relates or assume that the information is material.</w:t>
      </w:r>
    </w:p>
    <w:p>
      <w:pPr>
        <w:spacing w:after="0" w:line="177"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is “Nonpublic” Information?</w:t>
      </w:r>
    </w:p>
    <w:p>
      <w:pPr>
        <w:spacing w:after="0" w:line="206"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Information is “nonpublic” if it is not available to the general public. In order for information to be considered public, it must be widely disseminated in a manner making it generally available to investors through disclosure in the Company’s periodic reports filed with the SEC, news wire releases, publication in widely available newspapers or news websites, widely available broadcasts on television and radio and publication on the Company’s website. The circulation of rumors, even if accurate and reported in the media, does not constitute effective public dissemination.</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even after a public announcement of material information, a reasonable period of time may need to elapse in order for the market to react to the information. Generally, one should allow approximately two full trading days following publication as a reasonable waiting period before such information is deemed to be public. Therefore, if an announcement is made before the commencement of trading on a Monday, an employee may trade in Company Securities starting on Wednesday of that week, because two full trading days would have elapsed by then (all of Monday and Tuesday). If the announcement is made on Monday after trading begins, employees may not trade in Company Securities until Thursday. If the announcement is made on Friday after trading begins, employees may not trade in Company Securities until Wednesday of the following week. However, this period varies depending on the type of information released, the market’s expectations relating to the subject matter of the release, and the market’s reaction after the information is released. Additional black-out periods may be implemented with regard to certain employees or groups from time to time who are in possession of material nonpublic information regarding potentially significant matters.</w:t>
      </w:r>
    </w:p>
    <w:p>
      <w:pPr>
        <w:spacing w:after="0" w:line="187" w:lineRule="exact"/>
        <w:rPr>
          <w:sz w:val="20"/>
          <w:szCs w:val="20"/>
          <w:color w:val="auto"/>
        </w:rPr>
      </w:pPr>
    </w:p>
    <w:p>
      <w:pPr>
        <w:ind w:left="440" w:hanging="432"/>
        <w:spacing w:after="0"/>
        <w:tabs>
          <w:tab w:leader="none" w:pos="4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 “Related Person?”</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purposes of this Policy, a “Related Person” includes your spouse, minor children and anyone else living in your household; partnerships in which you are a general partner; trusts of which you are a trustee; estates of which you are an executor; and other equivalent legal entities that you control. Although a person’s parent or sibling may not be considered a Related Person (unless living in the same household), a parent or sibling may be a “tippee” for securities laws purposes. See Section III. Guidelines D. below for a discussion on the prohibition on “tipping.”</w:t>
      </w:r>
    </w:p>
    <w:p>
      <w:pPr>
        <w:spacing w:after="0" w:line="17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1"/>
          <w:szCs w:val="21"/>
          <w:b w:val="1"/>
          <w:bCs w:val="1"/>
          <w:color w:val="auto"/>
        </w:rPr>
        <w:t>Guidelines</w:t>
      </w:r>
    </w:p>
    <w:p>
      <w:pPr>
        <w:spacing w:after="0" w:line="210"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Material, nonpublic information must not be disclosed to anyone, except the persons within the Company or third-party agents of the Company (such as investment banking advisors or outside legal counsel) whose positions require them to know it, until such information has been publicly released by the Company.</w:t>
      </w:r>
    </w:p>
    <w:p>
      <w:pPr>
        <w:spacing w:after="0" w:line="173" w:lineRule="exact"/>
        <w:rPr>
          <w:sz w:val="20"/>
          <w:szCs w:val="20"/>
          <w:color w:val="auto"/>
        </w:rPr>
      </w:pPr>
    </w:p>
    <w:p>
      <w:pPr>
        <w:ind w:left="520" w:hanging="512"/>
        <w:spacing w:after="0"/>
        <w:tabs>
          <w:tab w:leader="none" w:pos="5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Trading in Company Securities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 person may place a purchase or sell order or recommend that another person place a purchase or sell order in Company Securities (including initial elections, changes in elections or reallocation of funds relating to 401(k) plan accounts and enrollment, changes in the rate of participation or the termination of participation under the Employee Stock Purchase Plan) when he or she has knowledge of material information concerning the Company that has not been disclosed to the public. Loans, pledges, gifts, charitable donations and other contributions of Company Securities are also subject to this Policy.</w:t>
      </w:r>
    </w:p>
    <w:p>
      <w:pPr>
        <w:spacing w:after="0" w:line="177" w:lineRule="exact"/>
        <w:rPr>
          <w:sz w:val="20"/>
          <w:szCs w:val="20"/>
          <w:color w:val="auto"/>
        </w:rPr>
      </w:pPr>
    </w:p>
    <w:p>
      <w:pPr>
        <w:ind w:left="520" w:hanging="512"/>
        <w:spacing w:after="0"/>
        <w:tabs>
          <w:tab w:leader="none" w:pos="5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Twenty-Twenty Hindsight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securities transactions ever become the subject of scrutiny, they are likely to be viewed after-the-fact with the benefit of hindsight. As a result, before engaging in any transaction an Insider should carefully consider how his or her transaction may be construed in the bright light of hindsight. Again, in the event of any questions or uncertainties about the Policy, please consult GEO’s General Counsel or someone that he or she has delegated responsibility for advising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39"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“Tipping” Information to Others</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any third party (“tippee”), not limited to Related Persons.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which has been misappropriated.</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7"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Anti-Hedging, Anti-Pledging and Anti-Short Selling Restrictions</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Directors, officers and employees, and their Related Persons, may not enter into hedging transactions to hedge against losses on the Company’s Securities, including but not limited to collars, forward sale contracts, trading in options, puts, calls or other derivative instruments related to the Company Securities. Directors, officers and employees, and their Related Persons, shall not engage in the short sale of the Company’s Securities. A short sale is a sale of securities not owned by the seller or any sale which is consummated by the delivery of a security borrowed by, or for the account of, the seller. Short sales of the Company’s Securities evidence an expectation on the part of the seller that the securities will decline in value, and, therefore, signal to the market that the seller has no confidence in the Company or its short-term prospects. In addition, directors, officers and employees and their Related Persons may not hold Company Securities in margin accounts or pledge Company Securities as collateral for a loan unless a waiver from this restriction is granted by the CEO or the Chair of the Compensation Committee. Investing in Company Securities provides an opportunity to share in the future growth of the Company. Investment in the Company and sharing in the growth of the Company, however, does not mean short-range speculation based on fluctuations in the market. Such activities may put the personal gain of the director, officer or employee in conflict with the best interests of the Company and its security holders.</w:t>
      </w:r>
    </w:p>
    <w:p>
      <w:pPr>
        <w:spacing w:after="0" w:line="182"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in Other Securities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 director, officer or employee may transact or recommend that another person transact in the securities of another company, including the Company’s customers, suppliers, or an economically-linked company, such as a competitor, if the person learns of material, nonpublic information about the other company in the course of his/her employment with GEO as the authorities may view that as “shadow trading” of the material nonpublic information and therefore may hold such director, officer or employee liable for insider trading based on that action. No director, officer or employee who knows of any such material, non-public information may communicate that information to, or tip, any person, including family members and friends, or otherwise disclose such information without the Company’s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39"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on a Short-Term Basis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-13970</wp:posOffset>
            </wp:positionV>
            <wp:extent cx="342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Any Company Securities purchased on the open market by a Section 16 reporting person or member of such individual’s immediate family or household must be held for a minimum of six (6) months. Note that the SEC’s short-swing profit rules already penalize Section 16 reporting persons who sell any Company Securities within six (6) months of a purchase by requiring such person to disgorge all profits to the Company whether or not such person had knowledge of any material, non-public information.</w:t>
      </w:r>
    </w:p>
    <w:p>
      <w:pPr>
        <w:spacing w:after="0" w:line="177" w:lineRule="exact"/>
        <w:rPr>
          <w:sz w:val="20"/>
          <w:szCs w:val="20"/>
          <w:color w:val="auto"/>
        </w:rPr>
      </w:pPr>
    </w:p>
    <w:p>
      <w:pPr>
        <w:ind w:right="8680" w:firstLine="8"/>
        <w:spacing w:after="0" w:line="456" w:lineRule="auto"/>
        <w:tabs>
          <w:tab w:leader="none" w:pos="50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Permitted Transactions</w:t>
      </w:r>
      <w:r>
        <w:rPr>
          <w:rFonts w:ascii="Times New Roman" w:cs="Times New Roman" w:eastAsia="Times New Roman" w:hAnsi="Times New Roman"/>
          <w:sz w:val="21"/>
          <w:szCs w:val="21"/>
          <w:color w:val="auto"/>
        </w:rPr>
        <w:t>. This Policy does not:</w:t>
      </w:r>
    </w:p>
    <w:p>
      <w:pPr>
        <w:ind w:left="1500" w:hanging="743"/>
        <w:spacing w:after="0"/>
        <w:tabs>
          <w:tab w:leader="none" w:pos="15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to purchases made on behalf of a participant by the Company under the Employee Stock Purchase Plan;</w:t>
      </w:r>
    </w:p>
    <w:p>
      <w:pPr>
        <w:spacing w:after="0" w:line="14"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to purchases made in the Company’s stock fund in the Company’s 401(k) plan as part of a systematic investment plan that has not been altered; or</w:t>
      </w:r>
    </w:p>
    <w:p>
      <w:pPr>
        <w:spacing w:after="0" w:line="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to trades made under a 10b5-1 plan in accordance with the requirements set forth in Section V.</w:t>
      </w:r>
    </w:p>
    <w:p>
      <w:pPr>
        <w:spacing w:after="0" w:line="17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 xml:space="preserve">Additional Restrictions and Requirements for Directors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Officers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Window</w:t>
      </w:r>
    </w:p>
    <w:p>
      <w:pPr>
        <w:spacing w:after="0" w:line="20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In addition to being subject to all of the other limitations in this Policy, directors, members of the Company’s “Executive Leadership Team”, members of the Disclosure Committee and members of the Company’s financial reporting function as designated by the Company’s Chief Financial Officer may only buy or sell Company Securities in the public market or otherwise acquire or dispose of Company Securities during the period beginning two full trading days after the release of the Company’s quarterly earnings and ending the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last month in the fiscal quarter. The securities laws allow for specific safe harbors from Insider trading liability, such as a written trading plan pursuant to Rule 10b5-1(c) of the Securities Exchange Act of 1934, as amended (the “Exchange Act”), the potential availability of which may also be discussed when obtaining prior clearance from the General Counsel. Outside of the Company’s trading window, directors and members of the Company’s Executive Leadership Team are generally permitted to exercise stock options and to surrender shares subject to an option or restricted stock award to the Company to satisfy the exercise price or tax withholding obligation, if permitted under the equity incentive plan pursuant to which the options or restricted stock award were issued, but are not permitted to sell stock as part of a broker-assisted cashless exercise of an option, or any other market sale for the purpose of generating the cash needed to pay the exercise price or tax withholding obligation of an option or restricted stock award.</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From time to time, other types of material nonpublic information regarding the Company (such as negotiation of mergers, acquisitions or dispositions, investigation and assessment of cybersecurity incidents or contract developments) may be pending and not be publicly disclosed. While such material nonpublic information is pending, the Company may impose special blackout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during which Insiders and Related Persons are prohibited from trading in the Company Securities. If the Company imposes a special blackout period, it will notify the affected individuals.</w:t>
      </w:r>
    </w:p>
    <w:p>
      <w:pPr>
        <w:spacing w:after="0" w:line="158"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Directors and Officers of the Company who are subject to Section 16 of the Exchange Act must obtain prior clearance from the General Counsel, or his designee, before he, she or a Related Person makes any purchases or sales of Company Securities, including any exercise of stock options, and any other acquisitions or dispositions of Company Securities, including gifts and transfers to/from a trust or entity. Prior clearance is required for all purchases or sales, including transfers between the Company’s common stock fund and other investment options in the Company’s 401(k) plans. Each proposed transaction will be evaluated to determine if it raises Insider trading concerns or other concerns under the federal or state securities laws and regulations. In addition, the adoption, modification or termination of a 10b5-1 plan is subject to the pre-clearance procedures described herein. Any advice will relate solely to the restraints imposed by law and will not constitute advice regarding the investment aspects of any transaction. Clearance of a transaction is valid only for a 48-hour period. If the transaction order is not placed within that 48-hour period, clearance of the transaction must be re-requested. If clearance is denied, the fact of such denial must be kept confidential by the person requesting such clearance.</w:t>
      </w:r>
    </w:p>
    <w:p>
      <w:pPr>
        <w:spacing w:after="0" w:line="187"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Trading by Senior Executives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Policy applies to all “Senior Executives” of The GEO Group, Inc. Senior Executives are defined as such executives classified at the level of Senior Vice President or above and the Chief Compliance Officer.</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Senior Executives shall have the right to exercise and sell up to twenty (20) percent of their total issued stock options in a calendar year subject to prior written approval by the Chief Executive Officer (“CEO”) of the Company and the Chair of the Compensation Committee of the Board of Directors. All options exercised and sold, as well as options exercised, held, and subsequently sold during the year, shall count against the twenty (20) percent annual limitation on the sale of stock options. Stock option exercises and sales by the CEO shall be approved by the Chair of the Compensation Committee. All stock option exercises and sales by Senior Executives so authorized shall occur within the calendar year and shall not carry over to the following year to become cumulative and exceed the twenty (20) percent cap, except under special circumstances approved in writing by the CEO and the Chair of the Compensation Committee.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surrender of shares underlying stock options to the Company or the sale of shares underlying stock options for the sole purpose of covering the exercise price of the options or the federal income taxes due with respect to the exercise of options shall not be subject to the twenty (20) percent cap and may be sold without the prior written approval of the CEO and the Chair of the Compensation Committee.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Senior Executives shall have the right to sell shares of restricted stock upon vesting in an amount up to twenty (20) percent of the shares of restricted stock held by them in a calendar year subject to prior written approval by the CEO and the Chair of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of Directors. Sales of vested shares of restricted stock by the CEO shall be approved by the Chair of the Compensation Committee. All sales of vested shares of restricted stock by Senior Executives so authorized shall occur within the calendar year and shall not carry over to the following year to become cumulative and exceed the twenty (20) percent cap, except under special circumstances approved in writing by the CEO and the Chair of the Compensation Committee.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surrender of shares of vested restricted stock to the Company or the sale of shares of vested restricted stock for the sole purpose of covering the federal income taxes due with respect to the vesting of shares of restricted stock shall not be subject to the twenty (20) percent cap and may be sold without the prior written approval of the CEO and the Chair of the Compensation Committee.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Stock sales by Senior Executives and members of the Company’s Board of Directors may be done pursuant to an authorized 10b5-1 trading plan and must comply with this restriction and the requirements of Section V below.</w:t>
      </w:r>
    </w:p>
    <w:p>
      <w:pPr>
        <w:spacing w:after="0" w:line="158"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to adhering to the prohibitions and limitations in this Policy, the Company’s Senior Executives and members of the Board of Directors are required to maintain equity holdings in GEO equivalent in value to a certain multiple of their annual base salary or director retainer as set forth in Exhibit A.</w:t>
      </w:r>
    </w:p>
    <w:p>
      <w:pPr>
        <w:spacing w:after="0" w:line="169"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10b5-1 Plans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Rule 10b5-1 provides a defense from Insider trading liability under SEC Rule 10b-5. To be eligible to rely on this defense, a person must enter into a “10b5-1 plan” for trading in the Company’s securities. If the plan meets the requirements of Rule 10b5-1, Company Securities may be purchased or sold without regard to certain Insider trading restrictions, including pre-clearance from the General Counsel.</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 general, a 10b5-1 plan must be entered into at a time when the person entering into the plan is not aware of material, nonpublic information and within an open trading window as described in Section IV above. Once the plan is adopted, the person must not exercise any influence over the amount of Company Securities to be traded, the price at which they are to be traded or the date of the trade. The plan must either specify the amount, pricing and timing of transactions in advance or delegate discretion on these matters to an independent third party. The adoption, modification or termination of a 10b5-1 plan is subject to the pre-clearance procedures described above in Section IV.B. above. Directors, officers or employees may enter into a 10b5-1 plan only if the plan meets the requirements of Rule 10b5-1 and the plan is approved by the General Counsel. In addition, any contemplated 10b5-1 plan for any Senior Executive or member of the Board of Directors must be approved in writing by the CEO and the Chair of the Compensation Committee (only the Chair of the Compensation Committee, in the case of the CEO). Any contemplated 10b5-1 plan must be submitted for approval at least five (5) business days prior to the entry into the plan. All Rule 10b5-1 plans must have a “cooling off period,” the length of which will depend on the status of the person subject to this Policy. For directors and executive officers, the applicable “cooling off period” is the later of (1) 90 days after the adoption and (2) two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following the disclosure of the Company's financial results in a Form 10-Q or Form 10-K for the fiscal quarter in which the plan was adopted, subject to a maximum of 120 days. For all other employees, the applicable “cooling off period” is at least 30 days from the time of the trading plan is executed to the time of the first trade pursuant to the plan. A modification or change to the amount, price, or timing of the purchase or sale of the securities (or a modification or change to a written formula or algorithm, or computer program that affects the amount, price, or timing of the purchase or sale of the securities) underlying a 10b5-1 plan is deemed a termination of such trading plan and the adoption of a new trading plan under SEC rules, and will trigger a new cooling-off period. An individual may not adopt more than one trading plan unless permitted under Rule 10b5-1.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 Potential Criminal and Civil Liability and/or Disciplinary Action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Exchange Act and specifically Rule 10b-5 of the Exchange Act, makes it unlawful for a person to make false statements or omit to state material facts in connection with the purchase or sale of any security. Both the SEC and the New York Stock Exchange investigate and are very effective at detecting Insider trading. The SEC, together with U.S. Attorneys, pursue Insider trading violations vigorously. Cases involving only a small number of shares have been successfully prosecuted against trading by employees through foreign accounts, and trading by family members and friends.</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Individuals found liable for Insider trading face civil penalties of up to three times the profits gained or loss avoided, a criminal fine of up to $5 million and up to twenty years in jail. In addition to the potential civil and criminal liabilities set forth above, in certain circumstances the Company may be able to recover all profits made by an Insider who traded illegally, plus collect other damages. The Company (and its executive officers and directors) could itself face penalties of the greater of the civil monetary penalty applicable under Section 21A of the Exchange Act (which is subject to adjustment by the SEC for inflation) or three times the profit gained or loss avoided as a result of an employee’s violation and/or a criminal penalty of up to $25 million for failing to take steps to prevent Insider trading. Additionally, supervisory personnel, if they fail to take appropriate steps to prevent illegal Insider trading, could be subject to a civil monetary penalty applicable under Section 21A of the Exchange Act (which is subject to adjustment by the SEC for inflation) or, if greater, three times the profit gained or loss avoided as a result of the employee’s violation.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Without regard to the civil or criminal penalties that may be imposed by others, willful violation of this Policy and its procedures may subject the individual to disciplinary action by the Company, including dismissal for cause.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SECURITIES TRADES BY COMPANY PERSONNEL</w:t>
      </w:r>
    </w:p>
    <w:p>
      <w:pPr>
        <w:spacing w:after="0" w:line="1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SHARE OWNERSHIP GUIDELINES</w:t>
      </w:r>
    </w:p>
    <w:p>
      <w:pPr>
        <w:spacing w:after="0" w:line="182"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22"/>
          <w:szCs w:val="22"/>
          <w:color w:val="auto"/>
        </w:rPr>
        <w:t>Independent Directors</w:t>
      </w:r>
      <w:r>
        <w:rPr>
          <w:sz w:val="20"/>
          <w:szCs w:val="20"/>
          <w:color w:val="auto"/>
        </w:rPr>
        <w:tab/>
      </w:r>
      <w:r>
        <w:rPr>
          <w:rFonts w:ascii="Times New Roman" w:cs="Times New Roman" w:eastAsia="Times New Roman" w:hAnsi="Times New Roman"/>
          <w:sz w:val="21"/>
          <w:szCs w:val="21"/>
          <w:color w:val="auto"/>
        </w:rPr>
        <w:t>3x 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6x base salary</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3x base salary</w:t>
      </w:r>
    </w:p>
    <w:p>
      <w:pPr>
        <w:spacing w:after="0" w:line="200" w:lineRule="exact"/>
        <w:rPr>
          <w:sz w:val="20"/>
          <w:szCs w:val="20"/>
          <w:color w:val="auto"/>
        </w:rPr>
      </w:pPr>
    </w:p>
    <w:p>
      <w:pPr>
        <w:sectPr>
          <w:pgSz w:w="11900" w:h="16838" w:orient="portrait"/>
          <w:cols w:equalWidth="0" w:num="2">
            <w:col w:w="1980" w:space="540"/>
            <w:col w:w="8720"/>
          </w:cols>
          <w:pgMar w:left="320" w:top="1440" w:right="339" w:bottom="1440" w:gutter="0" w:footer="0" w:header="0"/>
        </w:sect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All Senior Executives and directors must satisfy the stock ownership guidelines five years from their appointment as a director or a Senior Executive.</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awards which count toward the total share ownership requirement are actual shares owned, options and restricted shares, vested and unvested, and unvested performance share awards at the threshold level. Performance share awards at the target and maximum level will not be counted until the performance metrics have been met and the performance shares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1417955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GEO Group, Inc. Subsidiaries</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is a list of the Company’s subsidiaries as of December 31, 2024 (except for certain subsidiaries that, in the aggregate, would not be a “significant subsidiary” as defined in Rule 1-02 (w) of Regulation S-X). Unless otherwise stated, the Company holds directly or indirectly 100% of the subsidiaries listed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 Incorporated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Cornell Companies,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CPT Operating Partnership L.P.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CSC of Tacoma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Florina Insurance Company, Inc (VT)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Corrections Holdings,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Reentry Services, LLC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Reentry,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Secure Services, LLC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Transport,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MCF GP,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Australia Pty. Ltd. (AUS)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WBP Leasing, LLC (DE)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Subsidiaries Omitted (69 of which are domestic subsidiaries and 20 of which are foreign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omitted subsidiaries considered in the aggregate do not constitute significant subsidiaries individually or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color w:val="auto"/>
        </w:rPr>
        <w:t>Exhibit 22.1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Guarantor Subsidiaries</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is a list of the subsidiary guarantors to the outstanding senior notes issued by The GEO Group, Inc., specifically the Secured Notes and the Unsecured Notes.</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ADAPPT, LLC</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Arapahoe County Residential Center, LLC</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BI Incorporated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Behavioral Acquisition Corp.</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Behavioral Holding Corp.</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BI Mobile Breath, Inc.</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BII Holding Corporation</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BII Holding I Corporation</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Broad Real Estate Holdings, LLC</w:t>
      </w:r>
    </w:p>
    <w:p>
      <w:pPr>
        <w:spacing w:after="0" w:line="23" w:lineRule="exact"/>
        <w:rPr>
          <w:sz w:val="20"/>
          <w:szCs w:val="20"/>
          <w:color w:val="auto"/>
        </w:rPr>
      </w:pPr>
    </w:p>
    <w:p>
      <w:pPr>
        <w:ind w:left="100" w:right="8800" w:firstLine="5"/>
        <w:spacing w:after="0" w:line="266" w:lineRule="auto"/>
        <w:tabs>
          <w:tab w:leader="none" w:pos="5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Wyoming Properties, LLC CCMAS, LLC</w:t>
      </w:r>
    </w:p>
    <w:p>
      <w:pPr>
        <w:ind w:left="100" w:right="87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 Intermediate Holdings, LLC CEC Parent Holdings, LLC CEC Staffing Solutions, LLC CiviGenics, Inc.</w:t>
      </w:r>
    </w:p>
    <w:p>
      <w:pPr>
        <w:ind w:left="100" w:right="8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CiviGenics Management Services, LLC CiviGenics-Texas, Inc.</w:t>
      </w:r>
    </w:p>
    <w:p>
      <w:pPr>
        <w:ind w:left="100" w:right="8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Development, LLC Community Alternatives Community Corrections, LLC Community Education Centers, Inc. Cornell Companies Inc.</w:t>
      </w:r>
    </w:p>
    <w:p>
      <w:pPr>
        <w:ind w:left="100" w:right="7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Cornell Corrections Management LLC Cornell Corrections of Rhode Island, Inc. Cornell Corrections of Texas, Inc. Correctional Properties Prison Finance LLC Correctional Properties, LLC Correctional Services Corporation LLC Correctional Systems, LLC</w:t>
      </w:r>
    </w:p>
    <w:p>
      <w:pPr>
        <w:ind w:left="100" w:right="88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CPT Limited Partner, LLC CPT Operating Partnership L.P. Fenton Security, LLC</w:t>
      </w:r>
    </w:p>
    <w:p>
      <w:pPr>
        <w:ind w:left="100" w:right="9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Acquisition II, Inc. GEO Care LLC</w:t>
      </w: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CC3 Inc.</w:t>
      </w:r>
    </w:p>
    <w:p>
      <w:pPr>
        <w:spacing w:after="0" w:line="22" w:lineRule="exact"/>
        <w:rPr>
          <w:rFonts w:ascii="Times New Roman" w:cs="Times New Roman" w:eastAsia="Times New Roman" w:hAnsi="Times New Roman"/>
          <w:sz w:val="18"/>
          <w:szCs w:val="18"/>
          <w:color w:val="auto"/>
        </w:rPr>
      </w:pPr>
    </w:p>
    <w:p>
      <w:pPr>
        <w:ind w:left="100" w:right="88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Secure Services, LLC GEO Corrections Holdings, Inc. GEO CPM, Inc.</w:t>
      </w:r>
    </w:p>
    <w:p>
      <w:pPr>
        <w:ind w:left="100" w:right="8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Management Services, Inc. GEO Holdings I, Inc.</w:t>
      </w: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International Services, Inc.</w:t>
      </w:r>
    </w:p>
    <w:p>
      <w:pPr>
        <w:spacing w:after="0" w:line="22" w:lineRule="exact"/>
        <w:rPr>
          <w:rFonts w:ascii="Times New Roman" w:cs="Times New Roman" w:eastAsia="Times New Roman" w:hAnsi="Times New Roman"/>
          <w:sz w:val="18"/>
          <w:szCs w:val="18"/>
          <w:color w:val="auto"/>
        </w:rPr>
      </w:pPr>
    </w:p>
    <w:p>
      <w:pPr>
        <w:ind w:left="100" w:right="9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GEO MCF LP, LLC GEO Leasing,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GEO Operations,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Reentry of Alaska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Reentry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Reentry,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Transport,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GEO/DEL/R/02,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GEO/DEL/T/02,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Highpoint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Minsec Companies,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Minsec Treatment,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Municipal Corrections Finance,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Protocol Criminal Justice,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Properties Development and Leasing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WBP Leasing,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901700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17"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February 28, 2025, with respect to the consolidated financial statements and internal control over financial reporting included in the Annual Report of The GEO Group, Inc. on Form 10-K for the year ended December 31, 2024. We consent to the incorporation by reference of said reports in the Registration Statements of The GEO Group, Inc. on Form S-3 (File No. 333-275219) and on Forms S-8 (File No. 333-279182, File No. 333-257116, File No. 333-224871, File No. 333-196504, File No. 333-181175, File No. 333- 169198, File No. 333-09981 and File No. 333-142589).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David Donahue, certify that:</w:t>
      </w:r>
    </w:p>
    <w:p>
      <w:pPr>
        <w:spacing w:after="0" w:line="117" w:lineRule="exact"/>
        <w:rPr>
          <w:sz w:val="20"/>
          <w:szCs w:val="20"/>
          <w:color w:val="auto"/>
        </w:rPr>
      </w:pPr>
    </w:p>
    <w:p>
      <w:pPr>
        <w:ind w:left="380" w:hanging="372"/>
        <w:spacing w:after="0"/>
        <w:tabs>
          <w:tab w:leader="none" w:pos="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GEO Group,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2025</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David Donahue</w:t>
            </w:r>
          </w:p>
        </w:tc>
      </w:tr>
      <w:tr>
        <w:trPr>
          <w:trHeight w:val="191"/>
        </w:trPr>
        <w:tc>
          <w:tcPr>
            <w:tcW w:w="6220" w:type="dxa"/>
            <w:vAlign w:val="bottom"/>
          </w:tcPr>
          <w:p>
            <w:pPr>
              <w:spacing w:after="0"/>
              <w:rPr>
                <w:sz w:val="16"/>
                <w:szCs w:val="16"/>
                <w:color w:val="auto"/>
              </w:rPr>
            </w:pPr>
          </w:p>
        </w:tc>
        <w:tc>
          <w:tcPr>
            <w:tcW w:w="5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 David Donahue</w:t>
            </w:r>
          </w:p>
        </w:tc>
      </w:tr>
      <w:tr>
        <w:trPr>
          <w:trHeight w:val="234"/>
        </w:trPr>
        <w:tc>
          <w:tcPr>
            <w:tcW w:w="62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62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J. Suchinski, certify that:</w:t>
      </w:r>
    </w:p>
    <w:p>
      <w:pPr>
        <w:spacing w:after="0" w:line="117" w:lineRule="exact"/>
        <w:rPr>
          <w:sz w:val="20"/>
          <w:szCs w:val="20"/>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GEO Group,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J. Suchinski</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J. Suchinski</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The GEO Group, Inc. (the “Company”) for the period ended December 31, 2024 as filed with the Securities and Exchange Commission on the date hereof (the “Report”), I, J. David Donahue, Chief Executive Officer of the Company, hereby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David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David Donahue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The GEO Group, Inc. (the “Company”) for the period ended December 31, 2024 as filed with the Securities and Exchange Commission on the date hereof (the “Report”), I, Mark J. Suchinski, Chief Financial Officer of the Company, hereby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J. Suchinski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J. Suchinski</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1)"/>
      <w:numFmt w:val="decimal"/>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lowerLetter"/>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decimal"/>
      <w:start w:val="2"/>
    </w:lvl>
  </w:abstractNum>
  <w:abstractNum w:abstractNumId="38">
    <w:nsid w:val="7BD3EE7B"/>
    <w:multiLevelType w:val="hybridMultilevel"/>
    <w:lvl w:ilvl="0">
      <w:lvlJc w:val="left"/>
      <w:lvlText w:val="%1."/>
      <w:numFmt w:val="decimal"/>
      <w:start w:val="3"/>
    </w:lvl>
  </w:abstractNum>
  <w:abstractNum w:abstractNumId="39">
    <w:nsid w:val="51D9C564"/>
    <w:multiLevelType w:val="hybridMultilevel"/>
    <w:lvl w:ilvl="0">
      <w:lvlJc w:val="left"/>
      <w:lvlText w:val="%1."/>
      <w:numFmt w:val="decimal"/>
      <w:start w:val="4"/>
    </w:lvl>
  </w:abstractNum>
  <w:abstractNum w:abstractNumId="40">
    <w:nsid w:val="613EFDC5"/>
    <w:multiLevelType w:val="hybridMultilevel"/>
    <w:lvl w:ilvl="0">
      <w:lvlJc w:val="left"/>
      <w:lvlText w:val="%1."/>
      <w:numFmt w:val="decimal"/>
      <w:start w:val="5"/>
    </w:lvl>
  </w:abstractNum>
  <w:abstractNum w:abstractNumId="41">
    <w:nsid w:val="BF72B14"/>
    <w:multiLevelType w:val="hybridMultilevel"/>
    <w:lvl w:ilvl="0">
      <w:lvlJc w:val="left"/>
      <w:lvlText w:val="%1."/>
      <w:numFmt w:val="decimal"/>
      <w:start w:val="6"/>
    </w:lvl>
  </w:abstractNum>
  <w:abstractNum w:abstractNumId="42">
    <w:nsid w:val="11447B73"/>
    <w:multiLevelType w:val="hybridMultilevel"/>
    <w:lvl w:ilvl="0">
      <w:lvlJc w:val="left"/>
      <w:lvlText w:val="%1."/>
      <w:numFmt w:val="decimal"/>
      <w:start w:val="7"/>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1."/>
      <w:numFmt w:val="decimal"/>
      <w:start w:val="8"/>
    </w:lvl>
  </w:abstractNum>
  <w:abstractNum w:abstractNumId="45">
    <w:nsid w:val="8F2B15E"/>
    <w:multiLevelType w:val="hybridMultilevel"/>
    <w:lvl w:ilvl="0">
      <w:lvlJc w:val="left"/>
      <w:lvlText w:val="%1."/>
      <w:numFmt w:val="decimal"/>
      <w:start w:val="9"/>
    </w:lvl>
  </w:abstractNum>
  <w:abstractNum w:abstractNumId="46">
    <w:nsid w:val="1A32234B"/>
    <w:multiLevelType w:val="hybridMultilevel"/>
    <w:lvl w:ilvl="0">
      <w:lvlJc w:val="left"/>
      <w:lvlText w:val="%1."/>
      <w:numFmt w:val="decimal"/>
      <w:start w:val="10"/>
    </w:lvl>
  </w:abstractNum>
  <w:abstractNum w:abstractNumId="47">
    <w:nsid w:val="3B0FD379"/>
    <w:multiLevelType w:val="hybridMultilevel"/>
    <w:lvl w:ilvl="0">
      <w:lvlJc w:val="left"/>
      <w:lvlText w:val="%1."/>
      <w:numFmt w:val="decimal"/>
      <w:start w:val="11"/>
    </w:lvl>
  </w:abstractNum>
  <w:abstractNum w:abstractNumId="48">
    <w:nsid w:val="68EB2F63"/>
    <w:multiLevelType w:val="hybridMultilevel"/>
    <w:lvl w:ilvl="0">
      <w:lvlJc w:val="left"/>
      <w:lvlText w:val="(%1)"/>
      <w:numFmt w:val="lowerRoman"/>
      <w:start w:val="1"/>
    </w:lvl>
  </w:abstractNum>
  <w:abstractNum w:abstractNumId="49">
    <w:nsid w:val="4962813B"/>
    <w:multiLevelType w:val="hybridMultilevel"/>
    <w:lvl w:ilvl="0">
      <w:lvlJc w:val="left"/>
      <w:lvlText w:val="%1."/>
      <w:numFmt w:val="decimal"/>
      <w:start w:val="12"/>
    </w:lvl>
  </w:abstractNum>
  <w:abstractNum w:abstractNumId="50">
    <w:nsid w:val="60B6DF70"/>
    <w:multiLevelType w:val="hybridMultilevel"/>
    <w:lvl w:ilvl="0">
      <w:lvlJc w:val="left"/>
      <w:lvlText w:val="%1."/>
      <w:numFmt w:val="decimal"/>
      <w:start w:val="13"/>
    </w:lvl>
  </w:abstractNum>
  <w:abstractNum w:abstractNumId="51">
    <w:nsid w:val="6A5EE64"/>
    <w:multiLevelType w:val="hybridMultilevel"/>
    <w:lvl w:ilvl="0">
      <w:lvlJc w:val="left"/>
      <w:lvlText w:val="%1."/>
      <w:numFmt w:val="decimal"/>
      <w:start w:val="14"/>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15"/>
    </w:lvl>
  </w:abstractNum>
  <w:abstractNum w:abstractNumId="54">
    <w:nsid w:val="1A27709E"/>
    <w:multiLevelType w:val="hybridMultilevel"/>
    <w:lvl w:ilvl="0">
      <w:lvlJc w:val="left"/>
      <w:lvlText w:val="%1."/>
      <w:numFmt w:val="decimal"/>
      <w:start w:val="16"/>
    </w:lvl>
  </w:abstractNum>
  <w:abstractNum w:abstractNumId="55">
    <w:nsid w:val="71EA1109"/>
    <w:multiLevelType w:val="hybridMultilevel"/>
    <w:lvl w:ilvl="0">
      <w:lvlJc w:val="left"/>
      <w:lvlText w:val="%1."/>
      <w:numFmt w:val="decimal"/>
      <w:start w:val="17"/>
    </w:lvl>
  </w:abstractNum>
  <w:abstractNum w:abstractNumId="56">
    <w:nsid w:val="100F59DC"/>
    <w:multiLevelType w:val="hybridMultilevel"/>
    <w:lvl w:ilvl="0">
      <w:lvlJc w:val="left"/>
      <w:lvlText w:val="(%1)"/>
      <w:numFmt w:val="decimal"/>
      <w:start w:val="2"/>
    </w:lvl>
  </w:abstractNum>
  <w:abstractNum w:abstractNumId="57">
    <w:nsid w:val="7FB7E0AA"/>
    <w:multiLevelType w:val="hybridMultilevel"/>
    <w:lvl w:ilvl="0">
      <w:lvlJc w:val="left"/>
      <w:lvlText w:val="(%1)"/>
      <w:numFmt w:val="decimal"/>
      <w:start w:val="3"/>
    </w:lvl>
  </w:abstractNum>
  <w:abstractNum w:abstractNumId="58">
    <w:nsid w:val="6EB5BD4"/>
    <w:multiLevelType w:val="hybridMultilevel"/>
    <w:lvl w:ilvl="0">
      <w:lvlJc w:val="left"/>
      <w:lvlText w:val="%1"/>
      <w:numFmt w:val="decimal"/>
      <w:start w:val="101"/>
    </w:lvl>
  </w:abstractNum>
  <w:abstractNum w:abstractNumId="59">
    <w:nsid w:val="6F6DD9AC"/>
    <w:multiLevelType w:val="hybridMultilevel"/>
    <w:lvl w:ilvl="0">
      <w:lvlJc w:val="left"/>
      <w:lvlText w:val="*"/>
      <w:numFmt w:val="bullet"/>
      <w:start w:val="1"/>
    </w:lvl>
    <w:lvl w:ilvl="1">
      <w:lvlJc w:val="left"/>
      <w:lvlText w:val="%2"/>
      <w:numFmt w:val="decimal"/>
      <w:start w:val="104"/>
    </w:lvl>
  </w:abstractNum>
  <w:abstractNum w:abstractNumId="60">
    <w:nsid w:val="94211F2"/>
    <w:multiLevelType w:val="hybridMultilevel"/>
    <w:lvl w:ilvl="0">
      <w:lvlJc w:val="left"/>
      <w:lvlText w:val="**"/>
      <w:numFmt w:val="bullet"/>
      <w:start w:val="1"/>
    </w:lvl>
    <w:lvl w:ilvl="1">
      <w:lvlJc w:val="left"/>
      <w:lvlText w:val="%2"/>
      <w:numFmt w:val="decimal"/>
      <w:start w:val="1"/>
    </w:lvl>
  </w:abstractNum>
  <w:abstractNum w:abstractNumId="61">
    <w:nsid w:val="885E1B"/>
    <w:multiLevelType w:val="hybridMultilevel"/>
    <w:lvl w:ilvl="0">
      <w:lvlJc w:val="left"/>
      <w:lvlText w:val="%1."/>
      <w:numFmt w:val="upperLetter"/>
      <w:start w:val="1"/>
    </w:lvl>
  </w:abstractNum>
  <w:abstractNum w:abstractNumId="62">
    <w:nsid w:val="76272110"/>
    <w:multiLevelType w:val="hybridMultilevel"/>
    <w:lvl w:ilvl="0">
      <w:lvlJc w:val="left"/>
      <w:lvlText w:val="%1."/>
      <w:numFmt w:val="decimal"/>
      <w:start w:val="1"/>
    </w:lvl>
    <w:lvl w:ilvl="1">
      <w:lvlJc w:val="left"/>
      <w:lvlText w:val="(%2)"/>
      <w:numFmt w:val="upperLetter"/>
      <w:start w:val="1"/>
    </w:lvl>
  </w:abstractNum>
  <w:abstractNum w:abstractNumId="63">
    <w:nsid w:val="4C04A8AF"/>
    <w:multiLevelType w:val="hybridMultilevel"/>
    <w:lvl w:ilvl="0">
      <w:lvlJc w:val="left"/>
      <w:lvlText w:val="%1."/>
      <w:numFmt w:val="decimal"/>
      <w:start w:val="4"/>
    </w:lvl>
    <w:lvl w:ilvl="1">
      <w:lvlJc w:val="left"/>
      <w:lvlText w:val="•"/>
      <w:numFmt w:val="bullet"/>
      <w:start w:val="1"/>
    </w:lvl>
  </w:abstractNum>
  <w:abstractNum w:abstractNumId="64">
    <w:nsid w:val="1716703B"/>
    <w:multiLevelType w:val="hybridMultilevel"/>
    <w:lvl w:ilvl="0">
      <w:lvlJc w:val="left"/>
      <w:lvlText w:val="%1"/>
      <w:numFmt w:val="decimal"/>
      <w:start w:val="1"/>
    </w:lvl>
    <w:lvl w:ilvl="1">
      <w:lvlJc w:val="left"/>
      <w:lvlText w:val="(%2)"/>
      <w:numFmt w:val="lowerRoman"/>
      <w:start w:val="8"/>
    </w:lvl>
  </w:abstractNum>
  <w:abstractNum w:abstractNumId="65">
    <w:nsid w:val="14E17E33"/>
    <w:multiLevelType w:val="hybridMultilevel"/>
    <w:lvl w:ilvl="0">
      <w:lvlJc w:val="left"/>
      <w:lvlText w:val="%1."/>
      <w:numFmt w:val="decimal"/>
      <w:start w:val="6"/>
    </w:lvl>
    <w:lvl w:ilvl="1">
      <w:lvlJc w:val="left"/>
      <w:lvlText w:val="%2"/>
      <w:numFmt w:val="lowerRoman"/>
      <w:start w:val="1"/>
    </w:lvl>
  </w:abstractNum>
  <w:abstractNum w:abstractNumId="66">
    <w:nsid w:val="3222E7CD"/>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35"/>
    </w:lvl>
  </w:abstractNum>
  <w:abstractNum w:abstractNumId="67">
    <w:nsid w:val="74DE0EE3"/>
    <w:multiLevelType w:val="hybridMultilevel"/>
    <w:lvl w:ilvl="0">
      <w:lvlJc w:val="left"/>
      <w:lvlText w:val="(%1)"/>
      <w:numFmt w:val="lowerLetter"/>
      <w:start w:val="2"/>
    </w:lvl>
  </w:abstractNum>
  <w:abstractNum w:abstractNumId="68">
    <w:nsid w:val="68EBC550"/>
    <w:multiLevelType w:val="hybridMultilevel"/>
    <w:lvl w:ilvl="0">
      <w:lvlJc w:val="left"/>
      <w:lvlText w:val="%1"/>
      <w:numFmt w:val="decimal"/>
      <w:start w:val="1"/>
    </w:lvl>
    <w:lvl w:ilvl="1">
      <w:lvlJc w:val="left"/>
      <w:lvlText w:val="(%2)"/>
      <w:numFmt w:val="lowerLetter"/>
      <w:start w:val="3"/>
    </w:lvl>
  </w:abstractNum>
  <w:abstractNum w:abstractNumId="69">
    <w:nsid w:val="2DF6D648"/>
    <w:multiLevelType w:val="hybridMultilevel"/>
    <w:lvl w:ilvl="0">
      <w:lvlJc w:val="left"/>
      <w:lvlText w:val="%1."/>
      <w:numFmt w:val="decimal"/>
      <w:start w:val="8"/>
    </w:lvl>
    <w:lvl w:ilvl="1">
      <w:lvlJc w:val="left"/>
      <w:lvlText w:val="%2"/>
      <w:numFmt w:val="lowerLetter"/>
      <w:start w:val="1"/>
    </w:lvl>
  </w:abstractNum>
  <w:abstractNum w:abstractNumId="70">
    <w:nsid w:val="46B7D447"/>
    <w:multiLevelType w:val="hybridMultilevel"/>
    <w:lvl w:ilvl="0">
      <w:lvlJc w:val="left"/>
      <w:lvlText w:val="%1."/>
      <w:numFmt w:val="decimal"/>
      <w:start w:val="10"/>
    </w:lvl>
  </w:abstractNum>
  <w:abstractNum w:abstractNumId="71">
    <w:nsid w:val="4A2AC315"/>
    <w:multiLevelType w:val="hybridMultilevel"/>
    <w:lvl w:ilvl="0">
      <w:lvlJc w:val="left"/>
      <w:lvlText w:val="%1."/>
      <w:numFmt w:val="decimal"/>
      <w:start w:val="15"/>
    </w:lvl>
  </w:abstractNum>
  <w:abstractNum w:abstractNumId="72">
    <w:nsid w:val="39EE015C"/>
    <w:multiLevelType w:val="hybridMultilevel"/>
    <w:lvl w:ilvl="0">
      <w:lvlJc w:val="left"/>
      <w:lvlText w:val="%1."/>
      <w:numFmt w:val="decimal"/>
      <w:start w:val="19"/>
    </w:lvl>
  </w:abstractNum>
  <w:abstractNum w:abstractNumId="73">
    <w:nsid w:val="57FC4FBB"/>
    <w:multiLevelType w:val="hybridMultilevel"/>
    <w:lvl w:ilvl="0">
      <w:lvlJc w:val="left"/>
      <w:lvlText w:val="%1."/>
      <w:numFmt w:val="decimal"/>
      <w:start w:val="25"/>
    </w:lvl>
  </w:abstractNum>
  <w:abstractNum w:abstractNumId="74">
    <w:nsid w:val="CC1016F"/>
    <w:multiLevelType w:val="hybridMultilevel"/>
    <w:lvl w:ilvl="0">
      <w:lvlJc w:val="left"/>
      <w:lvlText w:val="%1."/>
      <w:numFmt w:val="decimal"/>
      <w:start w:val="4"/>
    </w:lvl>
  </w:abstractNum>
  <w:abstractNum w:abstractNumId="75">
    <w:nsid w:val="43F18422"/>
    <w:multiLevelType w:val="hybridMultilevel"/>
    <w:lvl w:ilvl="0">
      <w:lvlJc w:val="left"/>
      <w:lvlText w:val="%1."/>
      <w:numFmt w:val="decimal"/>
      <w:start w:val="6"/>
    </w:lvl>
    <w:lvl w:ilvl="1">
      <w:lvlJc w:val="left"/>
      <w:lvlText w:val="(%2)"/>
      <w:numFmt w:val="upperLetter"/>
      <w:start w:val="1"/>
    </w:lvl>
  </w:abstractNum>
  <w:abstractNum w:abstractNumId="76">
    <w:nsid w:val="60EF011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77">
    <w:nsid w:val="26F324BA"/>
    <w:multiLevelType w:val="hybridMultilevel"/>
    <w:lvl w:ilvl="0">
      <w:lvlJc w:val="left"/>
      <w:lvlText w:val="%1"/>
      <w:numFmt w:val="decimal"/>
      <w:start w:val="1"/>
    </w:lvl>
    <w:lvl w:ilvl="1">
      <w:lvlJc w:val="left"/>
      <w:lvlText w:val="%2"/>
      <w:numFmt w:val="upperLetter"/>
      <w:start w:val="1"/>
    </w:lvl>
    <w:lvl w:ilvl="2">
      <w:lvlJc w:val="left"/>
      <w:lvlText w:val="%3."/>
      <w:numFmt w:val="decimal"/>
      <w:start w:val="6"/>
    </w:lvl>
  </w:abstractNum>
  <w:abstractNum w:abstractNumId="78">
    <w:nsid w:val="7F01579B"/>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79">
    <w:nsid w:val="49DA307D"/>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80">
    <w:nsid w:val="7055A5F5"/>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81">
    <w:nsid w:val="5FB8370B"/>
    <w:multiLevelType w:val="hybridMultilevel"/>
    <w:lvl w:ilvl="0">
      <w:lvlJc w:val="left"/>
      <w:lvlText w:val="%1."/>
      <w:numFmt w:val="upperLetter"/>
      <w:start w:val="2"/>
    </w:lvl>
    <w:lvl w:ilvl="1">
      <w:lvlJc w:val="left"/>
      <w:lvlText w:val="%2."/>
      <w:numFmt w:val="decimal"/>
      <w:start w:val="1"/>
    </w:lvl>
  </w:abstractNum>
  <w:abstractNum w:abstractNumId="82">
    <w:nsid w:val="50801EE1"/>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83">
    <w:nsid w:val="488AC1A"/>
    <w:multiLevelType w:val="hybridMultilevel"/>
    <w:lvl w:ilvl="0">
      <w:lvlJc w:val="left"/>
      <w:lvlText w:val="%1"/>
      <w:numFmt w:val="decimal"/>
      <w:start w:val="1"/>
    </w:lvl>
    <w:lvl w:ilvl="1">
      <w:lvlJc w:val="left"/>
      <w:lvlText w:val="%2."/>
      <w:numFmt w:val="upperLetter"/>
      <w:start w:val="3"/>
    </w:lvl>
  </w:abstractNum>
  <w:abstractNum w:abstractNumId="84">
    <w:nsid w:val="5FB8011C"/>
    <w:multiLevelType w:val="hybridMultilevel"/>
    <w:lvl w:ilvl="0">
      <w:lvlJc w:val="left"/>
      <w:lvlText w:val="%1."/>
      <w:numFmt w:val="decimal"/>
      <w:start w:val="9"/>
    </w:lvl>
    <w:lvl w:ilvl="1">
      <w:lvlJc w:val="left"/>
      <w:lvlText w:val="%2"/>
      <w:numFmt w:val="upperLetter"/>
      <w:start w:val="1"/>
    </w:lvl>
  </w:abstractNum>
  <w:abstractNum w:abstractNumId="85">
    <w:nsid w:val="6AA78F7F"/>
    <w:multiLevelType w:val="hybridMultilevel"/>
    <w:lvl w:ilvl="0">
      <w:lvlJc w:val="left"/>
      <w:lvlText w:val="%1."/>
      <w:numFmt w:val="upperLetter"/>
      <w:start w:val="9"/>
    </w:lvl>
  </w:abstractNum>
  <w:abstractNum w:abstractNumId="86">
    <w:nsid w:val="7672BD23"/>
    <w:multiLevelType w:val="hybridMultilevel"/>
    <w:lvl w:ilvl="0">
      <w:lvlJc w:val="left"/>
      <w:lvlText w:val="%1."/>
      <w:numFmt w:val="upperLetter"/>
      <w:start w:val="35"/>
    </w:lvl>
  </w:abstractNum>
  <w:abstractNum w:abstractNumId="87">
    <w:nsid w:val="6FC75AF8"/>
    <w:multiLevelType w:val="hybridMultilevel"/>
    <w:lvl w:ilvl="0">
      <w:lvlJc w:val="left"/>
      <w:lvlText w:val="%1."/>
      <w:numFmt w:val="upperLetter"/>
      <w:start w:val="1"/>
    </w:lvl>
  </w:abstractNum>
  <w:abstractNum w:abstractNumId="88">
    <w:nsid w:val="6A5F7029"/>
    <w:multiLevelType w:val="hybridMultilevel"/>
    <w:lvl w:ilvl="0">
      <w:lvlJc w:val="left"/>
      <w:lvlText w:val="%1."/>
      <w:numFmt w:val="upperLetter"/>
      <w:start w:val="2"/>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1."/>
      <w:numFmt w:val="upperLetter"/>
      <w:start w:val="3"/>
    </w:lvl>
  </w:abstractNum>
  <w:abstractNum w:abstractNumId="92">
    <w:nsid w:val="7DE67713"/>
    <w:multiLevelType w:val="hybridMultilevel"/>
    <w:lvl w:ilvl="0">
      <w:lvlJc w:val="left"/>
      <w:lvlText w:val="%1."/>
      <w:numFmt w:val="upperLetter"/>
      <w:start w:val="4"/>
    </w:lvl>
  </w:abstractNum>
  <w:abstractNum w:abstractNumId="93">
    <w:nsid w:val="555C55B5"/>
    <w:multiLevelType w:val="hybridMultilevel"/>
    <w:lvl w:ilvl="0">
      <w:lvlJc w:val="left"/>
      <w:lvlText w:val="%1."/>
      <w:numFmt w:val="upperLetter"/>
      <w:start w:val="1"/>
    </w:lvl>
  </w:abstractNum>
  <w:abstractNum w:abstractNumId="94">
    <w:nsid w:val="3FA62ACA"/>
    <w:multiLevelType w:val="hybridMultilevel"/>
    <w:lvl w:ilvl="0">
      <w:lvlJc w:val="left"/>
      <w:lvlText w:val="%1."/>
      <w:numFmt w:val="upperLetter"/>
      <w:start w:val="2"/>
    </w:lvl>
  </w:abstractNum>
  <w:abstractNum w:abstractNumId="95">
    <w:nsid w:val="14FCE74E"/>
    <w:multiLevelType w:val="hybridMultilevel"/>
    <w:lvl w:ilvl="0">
      <w:lvlJc w:val="left"/>
      <w:lvlText w:val="%1."/>
      <w:numFmt w:val="upperLetter"/>
      <w:start w:val="3"/>
    </w:lvl>
  </w:abstractNum>
  <w:abstractNum w:abstractNumId="96">
    <w:nsid w:val="6A3DD3E8"/>
    <w:multiLevelType w:val="hybridMultilevel"/>
    <w:lvl w:ilvl="0">
      <w:lvlJc w:val="left"/>
      <w:lvlText w:val="%1."/>
      <w:numFmt w:val="upperLetter"/>
      <w:start w:val="4"/>
    </w:lvl>
  </w:abstractNum>
  <w:abstractNum w:abstractNumId="97">
    <w:nsid w:val="71C91298"/>
    <w:multiLevelType w:val="hybridMultilevel"/>
    <w:lvl w:ilvl="0">
      <w:lvlJc w:val="left"/>
      <w:lvlText w:val="%1."/>
      <w:numFmt w:val="upperLetter"/>
      <w:start w:val="5"/>
    </w:lvl>
  </w:abstractNum>
  <w:abstractNum w:abstractNumId="98">
    <w:nsid w:val="9DAF632"/>
    <w:multiLevelType w:val="hybridMultilevel"/>
    <w:lvl w:ilvl="0">
      <w:lvlJc w:val="left"/>
      <w:lvlText w:val="%1."/>
      <w:numFmt w:val="upperLetter"/>
      <w:start w:val="6"/>
    </w:lvl>
  </w:abstractNum>
  <w:abstractNum w:abstractNumId="99">
    <w:nsid w:val="53299938"/>
    <w:multiLevelType w:val="hybridMultilevel"/>
    <w:lvl w:ilvl="0">
      <w:lvlJc w:val="left"/>
      <w:lvlText w:val="%1."/>
      <w:numFmt w:val="upperLetter"/>
      <w:start w:val="7"/>
    </w:lvl>
  </w:abstractNum>
  <w:abstractNum w:abstractNumId="100">
    <w:nsid w:val="1FBFE8E0"/>
    <w:multiLevelType w:val="hybridMultilevel"/>
    <w:lvl w:ilvl="0">
      <w:lvlJc w:val="left"/>
      <w:lvlText w:val="%1."/>
      <w:numFmt w:val="upperLetter"/>
      <w:start w:val="8"/>
    </w:lvl>
    <w:lvl w:ilvl="1">
      <w:lvlJc w:val="left"/>
      <w:lvlText w:val="•"/>
      <w:numFmt w:val="bullet"/>
      <w:start w:val="1"/>
    </w:lvl>
  </w:abstractNum>
  <w:abstractNum w:abstractNumId="101">
    <w:nsid w:val="5092CA79"/>
    <w:multiLevelType w:val="hybridMultilevel"/>
    <w:lvl w:ilvl="0">
      <w:lvlJc w:val="left"/>
      <w:lvlText w:val="%1."/>
      <w:numFmt w:val="upperLetter"/>
      <w:start w:val="1"/>
    </w:lvl>
  </w:abstractNum>
  <w:abstractNum w:abstractNumId="102">
    <w:nsid w:val="1D545C4D"/>
    <w:multiLevelType w:val="hybridMultilevel"/>
    <w:lvl w:ilvl="0">
      <w:lvlJc w:val="left"/>
      <w:lvlText w:val="%1."/>
      <w:numFmt w:val="upperLetter"/>
      <w:start w:val="2"/>
    </w:lvl>
  </w:abstractNum>
  <w:abstractNum w:abstractNumId="103">
    <w:nsid w:val="59ADEA3D"/>
    <w:multiLevelType w:val="hybridMultilevel"/>
    <w:lvl w:ilvl="0">
      <w:lvlJc w:val="left"/>
      <w:lvlText w:val="%1."/>
      <w:numFmt w:val="upperLetter"/>
      <w:start w:val="3"/>
    </w:lvl>
  </w:abstractNum>
  <w:abstractNum w:abstractNumId="104">
    <w:nsid w:val="288F1A34"/>
    <w:multiLevelType w:val="hybridMultilevel"/>
    <w:lvl w:ilvl="0">
      <w:lvlJc w:val="left"/>
      <w:lvlText w:val="%1."/>
      <w:numFmt w:val="upperLetter"/>
      <w:start w:val="4"/>
    </w:lvl>
  </w:abstractNum>
  <w:abstractNum w:abstractNumId="105">
    <w:nsid w:val="2A155DBC"/>
    <w:multiLevelType w:val="hybridMultilevel"/>
    <w:lvl w:ilvl="0">
      <w:lvlJc w:val="left"/>
      <w:lvlText w:val="%1."/>
      <w:numFmt w:val="upperLetter"/>
      <w:start w:val="22"/>
    </w:lvl>
  </w:abstractNum>
  <w:abstractNum w:abstractNumId="106">
    <w:nsid w:val="1D9F6E5F"/>
    <w:multiLevelType w:val="hybridMultilevel"/>
    <w:lvl w:ilvl="0">
      <w:lvlJc w:val="left"/>
      <w:lvlText w:val="%1"/>
      <w:numFmt w:val="upperLetter"/>
      <w:start w:val="55"/>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70"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7" Type="http://schemas.openxmlformats.org/officeDocument/2006/relationships/image" Target="media/image464.png"/><Relationship Id="rId489" Type="http://schemas.openxmlformats.org/officeDocument/2006/relationships/image" Target="media/image465.png"/><Relationship Id="rId498"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12" Type="http://schemas.openxmlformats.org/officeDocument/2006/relationships/image" Target="media/image469.png"/><Relationship Id="rId513" Type="http://schemas.openxmlformats.org/officeDocument/2006/relationships/image" Target="media/image470.png"/><Relationship Id="rId516" Type="http://schemas.openxmlformats.org/officeDocument/2006/relationships/image" Target="media/image471.png"/><Relationship Id="rId517" Type="http://schemas.openxmlformats.org/officeDocument/2006/relationships/image" Target="media/image472.png"/><Relationship Id="rId518" Type="http://schemas.openxmlformats.org/officeDocument/2006/relationships/image" Target="media/image473.png"/><Relationship Id="rId519" Type="http://schemas.openxmlformats.org/officeDocument/2006/relationships/image" Target="media/image474.png"/><Relationship Id="rId520" Type="http://schemas.openxmlformats.org/officeDocument/2006/relationships/image" Target="media/image475.png"/><Relationship Id="rId522" Type="http://schemas.openxmlformats.org/officeDocument/2006/relationships/image" Target="media/image476.png"/><Relationship Id="rId523" Type="http://schemas.openxmlformats.org/officeDocument/2006/relationships/image" Target="media/image477.png"/><Relationship Id="rId524" Type="http://schemas.openxmlformats.org/officeDocument/2006/relationships/image" Target="media/image478.png"/><Relationship Id="rId525" Type="http://schemas.openxmlformats.org/officeDocument/2006/relationships/image" Target="media/image479.png"/><Relationship Id="rId526" Type="http://schemas.openxmlformats.org/officeDocument/2006/relationships/image" Target="media/image480.png"/><Relationship Id="rId527" Type="http://schemas.openxmlformats.org/officeDocument/2006/relationships/image" Target="media/image481.png"/><Relationship Id="rId528" Type="http://schemas.openxmlformats.org/officeDocument/2006/relationships/image" Target="media/image482.png"/><Relationship Id="rId529" Type="http://schemas.openxmlformats.org/officeDocument/2006/relationships/image" Target="media/image483.png"/><Relationship Id="rId530" Type="http://schemas.openxmlformats.org/officeDocument/2006/relationships/image" Target="media/image484.png"/><Relationship Id="rId531" Type="http://schemas.openxmlformats.org/officeDocument/2006/relationships/image" Target="media/image485.png"/><Relationship Id="rId532" Type="http://schemas.openxmlformats.org/officeDocument/2006/relationships/image" Target="media/image486.png"/><Relationship Id="rId533" Type="http://schemas.openxmlformats.org/officeDocument/2006/relationships/image" Target="media/image487.png"/><Relationship Id="rId534" Type="http://schemas.openxmlformats.org/officeDocument/2006/relationships/image" Target="media/image488.png"/><Relationship Id="rId535" Type="http://schemas.openxmlformats.org/officeDocument/2006/relationships/image" Target="media/image489.png"/><Relationship Id="rId536" Type="http://schemas.openxmlformats.org/officeDocument/2006/relationships/image" Target="media/image490.png"/><Relationship Id="rId537" Type="http://schemas.openxmlformats.org/officeDocument/2006/relationships/image" Target="media/image491.png"/><Relationship Id="rId538" Type="http://schemas.openxmlformats.org/officeDocument/2006/relationships/image" Target="media/image492.png"/><Relationship Id="rId539" Type="http://schemas.openxmlformats.org/officeDocument/2006/relationships/image" Target="media/image493.png"/><Relationship Id="rId540" Type="http://schemas.openxmlformats.org/officeDocument/2006/relationships/image" Target="media/image494.png"/><Relationship Id="rId541" Type="http://schemas.openxmlformats.org/officeDocument/2006/relationships/image" Target="media/image495.png"/><Relationship Id="rId542" Type="http://schemas.openxmlformats.org/officeDocument/2006/relationships/image" Target="media/image496.png"/><Relationship Id="rId543" Type="http://schemas.openxmlformats.org/officeDocument/2006/relationships/image" Target="media/image497.png"/><Relationship Id="rId544" Type="http://schemas.openxmlformats.org/officeDocument/2006/relationships/image" Target="media/image498.png"/><Relationship Id="rId545" Type="http://schemas.openxmlformats.org/officeDocument/2006/relationships/image" Target="media/image499.png"/><Relationship Id="rId546" Type="http://schemas.openxmlformats.org/officeDocument/2006/relationships/image" Target="media/image500.png"/><Relationship Id="rId547" Type="http://schemas.openxmlformats.org/officeDocument/2006/relationships/image" Target="media/image501.png"/><Relationship Id="rId548" Type="http://schemas.openxmlformats.org/officeDocument/2006/relationships/image" Target="media/image502.png"/><Relationship Id="rId549" Type="http://schemas.openxmlformats.org/officeDocument/2006/relationships/image" Target="media/image503.png"/><Relationship Id="rId550" Type="http://schemas.openxmlformats.org/officeDocument/2006/relationships/image" Target="media/image504.png"/><Relationship Id="rId551" Type="http://schemas.openxmlformats.org/officeDocument/2006/relationships/image" Target="media/image505.png"/><Relationship Id="rId552" Type="http://schemas.openxmlformats.org/officeDocument/2006/relationships/image" Target="media/image506.png"/><Relationship Id="rId553" Type="http://schemas.openxmlformats.org/officeDocument/2006/relationships/image" Target="media/image507.png"/><Relationship Id="rId554" Type="http://schemas.openxmlformats.org/officeDocument/2006/relationships/image" Target="media/image508.png"/><Relationship Id="rId555" Type="http://schemas.openxmlformats.org/officeDocument/2006/relationships/image" Target="media/image509.png"/><Relationship Id="rId556" Type="http://schemas.openxmlformats.org/officeDocument/2006/relationships/image" Target="media/image510.png"/><Relationship Id="rId557" Type="http://schemas.openxmlformats.org/officeDocument/2006/relationships/image" Target="media/image511.png"/><Relationship Id="rId558" Type="http://schemas.openxmlformats.org/officeDocument/2006/relationships/image" Target="media/image512.png"/><Relationship Id="rId559" Type="http://schemas.openxmlformats.org/officeDocument/2006/relationships/image" Target="media/image513.png"/><Relationship Id="rId560" Type="http://schemas.openxmlformats.org/officeDocument/2006/relationships/image" Target="media/image514.png"/><Relationship Id="rId561" Type="http://schemas.openxmlformats.org/officeDocument/2006/relationships/image" Target="media/image515.png"/><Relationship Id="rId562" Type="http://schemas.openxmlformats.org/officeDocument/2006/relationships/image" Target="media/image516.png"/><Relationship Id="rId563" Type="http://schemas.openxmlformats.org/officeDocument/2006/relationships/image" Target="media/image517.png"/><Relationship Id="rId564" Type="http://schemas.openxmlformats.org/officeDocument/2006/relationships/image" Target="media/image518.png"/><Relationship Id="rId565" Type="http://schemas.openxmlformats.org/officeDocument/2006/relationships/image" Target="media/image519.png"/><Relationship Id="rId566" Type="http://schemas.openxmlformats.org/officeDocument/2006/relationships/image" Target="media/image520.png"/><Relationship Id="rId567" Type="http://schemas.openxmlformats.org/officeDocument/2006/relationships/image" Target="media/image521.png"/><Relationship Id="rId568" Type="http://schemas.openxmlformats.org/officeDocument/2006/relationships/image" Target="media/image522.png"/><Relationship Id="rId569" Type="http://schemas.openxmlformats.org/officeDocument/2006/relationships/image" Target="media/image523.png"/><Relationship Id="rId570" Type="http://schemas.openxmlformats.org/officeDocument/2006/relationships/image" Target="media/image524.png"/><Relationship Id="rId571" Type="http://schemas.openxmlformats.org/officeDocument/2006/relationships/image" Target="media/image525.png"/><Relationship Id="rId465" Type="http://schemas.openxmlformats.org/officeDocument/2006/relationships/hyperlink" Target="https://www.sec.gov/Archives/edgar/data/923796/000119312523305223/d669399dex11.htm" TargetMode="External"/><Relationship Id="rId466" Type="http://schemas.openxmlformats.org/officeDocument/2006/relationships/hyperlink" Target="https://www.sec.gov/Archives/edgar/data/923796/000119312514254491/d750635dex32.htm" TargetMode="External"/><Relationship Id="rId467" Type="http://schemas.openxmlformats.org/officeDocument/2006/relationships/hyperlink" Target="https://www.sec.gov/Archives/edgar/data/923796/000119312524135357/d784973dex31.htm" TargetMode="External"/><Relationship Id="rId468" Type="http://schemas.openxmlformats.org/officeDocument/2006/relationships/hyperlink" Target="https://www.sec.gov/Archives/edgar/data/0000923796/000119312521195250/d192125dex31.htm" TargetMode="External"/><Relationship Id="rId469" Type="http://schemas.openxmlformats.org/officeDocument/2006/relationships/hyperlink" Target="https://www.sec.gov/Archives/edgar/data/0000923796/000119312522019826/d305099dex31.htm" TargetMode="External"/><Relationship Id="rId471" Type="http://schemas.openxmlformats.org/officeDocument/2006/relationships/hyperlink" Target="https://www.sec.gov/Archives/edgar/data/0000923796/000119312522045923/d106900dex31.htm" TargetMode="External"/><Relationship Id="rId472" Type="http://schemas.openxmlformats.org/officeDocument/2006/relationships/hyperlink" Target="https://www.sec.gov/Archives/edgar/data/923796/000119312522313783/d398856dex31.htm" TargetMode="External"/><Relationship Id="rId473" Type="http://schemas.openxmlformats.org/officeDocument/2006/relationships/hyperlink" Target="https://www.sec.gov/Archives/edgar/data/923796/000119312524037639/d763000dex31.htm" TargetMode="External"/><Relationship Id="rId474" Type="http://schemas.openxmlformats.org/officeDocument/2006/relationships/hyperlink" Target="https://www.sec.gov/Archives/edgar/data/923796/000119312524163412/d855800dex31.htm" TargetMode="External"/><Relationship Id="rId475" Type="http://schemas.openxmlformats.org/officeDocument/2006/relationships/hyperlink" Target="https://www.sec.gov/Archives/edgar/data/0000923796/000119312521065641/d85561dex41.htm" TargetMode="External"/><Relationship Id="rId476" Type="http://schemas.openxmlformats.org/officeDocument/2006/relationships/hyperlink" Target="https://www.sec.gov/Archives/edgar/data/923796/000119312524110253/d764760dex41.htm" TargetMode="External"/><Relationship Id="rId480" Type="http://schemas.openxmlformats.org/officeDocument/2006/relationships/hyperlink" Target="https://www.sec.gov/Archives/edgar/data/923796/000119312524110253/d764760dex43.htm" TargetMode="External"/><Relationship Id="rId481" Type="http://schemas.openxmlformats.org/officeDocument/2006/relationships/hyperlink" Target="https://www.sec.gov/Archives/edgar/data/923796/000095017023004713/geo-ex4_14.htm" TargetMode="External"/><Relationship Id="rId482" Type="http://schemas.openxmlformats.org/officeDocument/2006/relationships/hyperlink" Target="https://www.sec.gov/Archives/edgar/data/923796/000119312523266272/d531971dex41.htm" TargetMode="External"/><Relationship Id="rId483" Type="http://schemas.openxmlformats.org/officeDocument/2006/relationships/hyperlink" Target="https://www.sec.gov/Archives/edgar/data/923796/000119312523266272/d531971dex42.htm" TargetMode="External"/><Relationship Id="rId486" Type="http://schemas.openxmlformats.org/officeDocument/2006/relationships/hyperlink" Target="https://www.sec.gov/Archives/edgar/data/923796/000095017023004713/geo-ex10_3.htm" TargetMode="External"/><Relationship Id="rId488" Type="http://schemas.openxmlformats.org/officeDocument/2006/relationships/hyperlink" Target="https://www.sec.gov/Archives/edgar/data/923796/000119312519050054/d663410dex103.htm" TargetMode="External"/><Relationship Id="rId490" Type="http://schemas.openxmlformats.org/officeDocument/2006/relationships/hyperlink" Target="https://www.sec.gov/Archives/edgar/data/923796/000095014409000110/g17230exv10w8.htm" TargetMode="External"/><Relationship Id="rId491" Type="http://schemas.openxmlformats.org/officeDocument/2006/relationships/hyperlink" Target="https://www.sec.gov/Archives/edgar/data/923796/000119312512090269/d259590dex1036.htm" TargetMode="External"/><Relationship Id="rId492" Type="http://schemas.openxmlformats.org/officeDocument/2006/relationships/hyperlink" Target="https://www.sec.gov/Archives/edgar/data/923796/000119312512090269/d259590dex1037.htm" TargetMode="External"/><Relationship Id="rId493" Type="http://schemas.openxmlformats.org/officeDocument/2006/relationships/hyperlink" Target="https://www.sec.gov/Archives/edgar/data/923796/000119312512090269/d259590dex1038.htm" TargetMode="External"/><Relationship Id="rId494" Type="http://schemas.openxmlformats.org/officeDocument/2006/relationships/hyperlink" Target="https://www.sec.gov/Archives/edgar/data/0000923796/000119312512090269/d259590dex1039.htm" TargetMode="External"/><Relationship Id="rId495" Type="http://schemas.openxmlformats.org/officeDocument/2006/relationships/hyperlink" Target="https://www.sec.gov/Archives/edgar/data/923796/000119312512090269/d259590dex1040.htm" TargetMode="External"/><Relationship Id="rId496" Type="http://schemas.openxmlformats.org/officeDocument/2006/relationships/hyperlink" Target="https://www.sec.gov/Archives/edgar/data/923796/000119312524135357/d784973dex101.htm" TargetMode="External"/><Relationship Id="rId497" Type="http://schemas.openxmlformats.org/officeDocument/2006/relationships/hyperlink" Target="https://www.sec.gov/Archives/edgar/data/0000923796/000119312521150222/d178751dex102.htm" TargetMode="External"/><Relationship Id="rId499" Type="http://schemas.openxmlformats.org/officeDocument/2006/relationships/hyperlink" Target="https://www.sec.gov/Archives/edgar/data/0000923796/000119312521177770/d318382dex101.htm" TargetMode="External"/><Relationship Id="rId500" Type="http://schemas.openxmlformats.org/officeDocument/2006/relationships/hyperlink" Target="https://www.sec.gov/Archives/edgar/data/0000923796/000119312521177770/d318382dex102.htm" TargetMode="External"/><Relationship Id="rId501" Type="http://schemas.openxmlformats.org/officeDocument/2006/relationships/hyperlink" Target="https://www.sec.gov/Archives/edgar/data/0000923796/000119312521177770/d318382dex103.htm" TargetMode="External"/><Relationship Id="rId502" Type="http://schemas.openxmlformats.org/officeDocument/2006/relationships/hyperlink" Target="https://www.sec.gov/Archives/edgar/data/923796/000119312523289201/d628144dex101.htm" TargetMode="External"/><Relationship Id="rId503" Type="http://schemas.openxmlformats.org/officeDocument/2006/relationships/hyperlink" Target="https://www.sec.gov/Archives/edgar/data/923796/000119312523289201/d628144dex102.htm" TargetMode="External"/><Relationship Id="rId504" Type="http://schemas.openxmlformats.org/officeDocument/2006/relationships/hyperlink" Target="https://www.sec.gov/Archives/edgar/data/923796/000119312523289201/d628144dex103.htm" TargetMode="External"/><Relationship Id="rId507" Type="http://schemas.openxmlformats.org/officeDocument/2006/relationships/hyperlink" Target="https://www.sec.gov/Archives/edgar/data/923796/000119312523289201/d628144dex104.htm" TargetMode="External"/><Relationship Id="rId508" Type="http://schemas.openxmlformats.org/officeDocument/2006/relationships/hyperlink" Target="https://www.sec.gov/Archives/edgar/data/923796/000119312523289201/d628144dex105.htm" TargetMode="External"/><Relationship Id="rId509" Type="http://schemas.openxmlformats.org/officeDocument/2006/relationships/hyperlink" Target="https://www.sec.gov/Archives/edgar/data/923796/000119312524110253/d764760dex103.htm" TargetMode="External"/><Relationship Id="rId510" Type="http://schemas.openxmlformats.org/officeDocument/2006/relationships/hyperlink" Target="https://www.sec.gov/Archives/edgar/data/923796/000119312524110253/d764760dex101.htm" TargetMode="External"/><Relationship Id="rId511" Type="http://schemas.openxmlformats.org/officeDocument/2006/relationships/hyperlink" Target="https://www.sec.gov/Archives/edgar/data/923796/000119312524158342/d800341dex101.htm" TargetMode="External"/><Relationship Id="rId514" Type="http://schemas.openxmlformats.org/officeDocument/2006/relationships/hyperlink" Target="https://www.sec.gov/Archives/edgar/data/923796/000119312524279667/d847086dex101.htm" TargetMode="External"/><Relationship Id="rId515" Type="http://schemas.openxmlformats.org/officeDocument/2006/relationships/hyperlink" Target="https://www.sec.gov/Archives/edgar/data/923796/000119312524279667/d847086dex102.htm" TargetMode="External"/><Relationship Id="rId521" Type="http://schemas.openxmlformats.org/officeDocument/2006/relationships/hyperlink" Target="https://www.sec.gov/Archives/edgar/data/923796/000095017024023181/geo-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2025-02-28T16:02:59Z</dcterms:created>
  <dcterms:modified xsi:type="dcterms:W3CDTF">2025-02-28T16:02:59Z</dcterms:modified>
</cp:coreProperties>
</file>