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269875</wp:posOffset>
            </wp:positionV>
            <wp:extent cx="1217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173355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15(d) OF THE SECURITIES EXCHANGE ACT OF 1934</w:t>
      </w:r>
    </w:p>
    <w:p>
      <w:pPr>
        <w:spacing w:after="0" w:line="167" w:lineRule="exact"/>
        <w:rPr>
          <w:rFonts w:ascii="MS PGothic" w:cs="MS PGothic" w:eastAsia="MS PGothic" w:hAnsi="MS PGothic"/>
          <w:sz w:val="20"/>
          <w:szCs w:val="20"/>
          <w:color w:val="auto"/>
        </w:rPr>
      </w:pPr>
    </w:p>
    <w:p>
      <w:pPr>
        <w:ind w:left="39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98"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OR</w:t>
      </w:r>
    </w:p>
    <w:p>
      <w:pPr>
        <w:spacing w:after="0" w:line="22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15(d) OF THE SECURITIES EXCHANGE ACT OF 1934</w:t>
      </w:r>
    </w:p>
    <w:p>
      <w:pPr>
        <w:spacing w:after="0" w:line="20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001-14260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302895</wp:posOffset>
            </wp:positionV>
            <wp:extent cx="121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480" w:hanging="472"/>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title of the plan and the address of the plan, if different from that of the issuer named below:</w:t>
      </w:r>
    </w:p>
    <w:p>
      <w:pPr>
        <w:spacing w:after="0" w:line="185" w:lineRule="exact"/>
        <w:rPr>
          <w:rFonts w:ascii="Times New Roman" w:cs="Times New Roman" w:eastAsia="Times New Roman" w:hAnsi="Times New Roman"/>
          <w:sz w:val="16"/>
          <w:szCs w:val="16"/>
          <w:color w:val="auto"/>
        </w:rPr>
      </w:pPr>
    </w:p>
    <w:p>
      <w:pPr>
        <w:ind w:left="4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The GEO Save 401(k) Plan</w:t>
      </w:r>
    </w:p>
    <w:p>
      <w:pPr>
        <w:spacing w:after="0" w:line="233"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issuer of the securities held pursuant to the plan and the address of its principal executive office:</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4955 Technology 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Boca Raton, Florida 33431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6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THE GEO SAVE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32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563C1"/>
              </w:rPr>
              <w:t>Report of Independent Registered Public Accounting Firm</w:t>
            </w:r>
          </w:p>
        </w:tc>
        <w:tc>
          <w:tcPr>
            <w:tcW w:w="2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shd w:val="clear" w:color="auto" w:fill="CCEEFF"/>
          </w:tcPr>
          <w:p>
            <w:pPr>
              <w:spacing w:after="0"/>
              <w:rPr>
                <w:sz w:val="5"/>
                <w:szCs w:val="5"/>
                <w:color w:val="auto"/>
              </w:rPr>
            </w:pPr>
          </w:p>
        </w:tc>
        <w:tc>
          <w:tcPr>
            <w:tcW w:w="240" w:type="dxa"/>
            <w:vAlign w:val="bottom"/>
            <w:tcBorders>
              <w:top w:val="single" w:sz="8" w:color="0563C1"/>
            </w:tcBorders>
            <w:shd w:val="clear" w:color="auto" w:fill="CCEEFF"/>
          </w:tcPr>
          <w:p>
            <w:pPr>
              <w:spacing w:after="0"/>
              <w:rPr>
                <w:sz w:val="5"/>
                <w:szCs w:val="5"/>
                <w:color w:val="auto"/>
              </w:rPr>
            </w:pPr>
          </w:p>
        </w:tc>
        <w:tc>
          <w:tcPr>
            <w:tcW w:w="1160" w:type="dxa"/>
            <w:vAlign w:val="bottom"/>
            <w:tcBorders>
              <w:top w:val="single" w:sz="8" w:color="0563C1"/>
            </w:tcBorders>
            <w:shd w:val="clear" w:color="auto" w:fill="CCEEFF"/>
          </w:tcPr>
          <w:p>
            <w:pPr>
              <w:spacing w:after="0"/>
              <w:rPr>
                <w:sz w:val="5"/>
                <w:szCs w:val="5"/>
                <w:color w:val="auto"/>
              </w:rPr>
            </w:pPr>
          </w:p>
        </w:tc>
        <w:tc>
          <w:tcPr>
            <w:tcW w:w="780" w:type="dxa"/>
            <w:vAlign w:val="bottom"/>
            <w:tcBorders>
              <w:top w:val="single" w:sz="8" w:color="0563C1"/>
            </w:tcBorders>
            <w:shd w:val="clear" w:color="auto" w:fill="CCEEFF"/>
          </w:tcPr>
          <w:p>
            <w:pPr>
              <w:spacing w:after="0"/>
              <w:rPr>
                <w:sz w:val="5"/>
                <w:szCs w:val="5"/>
                <w:color w:val="auto"/>
              </w:rPr>
            </w:pPr>
          </w:p>
        </w:tc>
        <w:tc>
          <w:tcPr>
            <w:tcW w:w="1280" w:type="dxa"/>
            <w:vAlign w:val="bottom"/>
            <w:tcBorders>
              <w:top w:val="single" w:sz="8" w:color="0563C1"/>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9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563C1"/>
              </w:rPr>
              <w:t>Statements of Net Assets Available for Benefits as of December 31 2025 and 2024</w:t>
            </w:r>
          </w:p>
        </w:tc>
        <w:tc>
          <w:tcPr>
            <w:tcW w:w="2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shd w:val="clear" w:color="auto" w:fill="CCEEFF"/>
          </w:tcPr>
          <w:p>
            <w:pPr>
              <w:spacing w:after="0"/>
              <w:rPr>
                <w:sz w:val="5"/>
                <w:szCs w:val="5"/>
                <w:color w:val="auto"/>
              </w:rPr>
            </w:pPr>
          </w:p>
        </w:tc>
        <w:tc>
          <w:tcPr>
            <w:tcW w:w="240" w:type="dxa"/>
            <w:vAlign w:val="bottom"/>
            <w:tcBorders>
              <w:top w:val="single" w:sz="8" w:color="0563C1"/>
            </w:tcBorders>
            <w:shd w:val="clear" w:color="auto" w:fill="CCEEFF"/>
          </w:tcPr>
          <w:p>
            <w:pPr>
              <w:spacing w:after="0"/>
              <w:rPr>
                <w:sz w:val="5"/>
                <w:szCs w:val="5"/>
                <w:color w:val="auto"/>
              </w:rPr>
            </w:pPr>
          </w:p>
        </w:tc>
        <w:tc>
          <w:tcPr>
            <w:tcW w:w="1160" w:type="dxa"/>
            <w:vAlign w:val="bottom"/>
            <w:tcBorders>
              <w:top w:val="single" w:sz="8" w:color="0563C1"/>
            </w:tcBorders>
            <w:shd w:val="clear" w:color="auto" w:fill="CCEEFF"/>
          </w:tcPr>
          <w:p>
            <w:pPr>
              <w:spacing w:after="0"/>
              <w:rPr>
                <w:sz w:val="5"/>
                <w:szCs w:val="5"/>
                <w:color w:val="auto"/>
              </w:rPr>
            </w:pPr>
          </w:p>
        </w:tc>
        <w:tc>
          <w:tcPr>
            <w:tcW w:w="780" w:type="dxa"/>
            <w:vAlign w:val="bottom"/>
            <w:tcBorders>
              <w:top w:val="single" w:sz="8" w:color="0563C1"/>
            </w:tcBorders>
            <w:shd w:val="clear" w:color="auto" w:fill="CCEEFF"/>
          </w:tcPr>
          <w:p>
            <w:pPr>
              <w:spacing w:after="0"/>
              <w:rPr>
                <w:sz w:val="5"/>
                <w:szCs w:val="5"/>
                <w:color w:val="auto"/>
              </w:rPr>
            </w:pPr>
          </w:p>
        </w:tc>
        <w:tc>
          <w:tcPr>
            <w:tcW w:w="1280" w:type="dxa"/>
            <w:vAlign w:val="bottom"/>
            <w:tcBorders>
              <w:top w:val="single" w:sz="8" w:color="0563C1"/>
            </w:tcBorders>
            <w:shd w:val="clear" w:color="auto" w:fill="CCEEFF"/>
          </w:tcPr>
          <w:p>
            <w:pPr>
              <w:spacing w:after="0"/>
              <w:rPr>
                <w:sz w:val="5"/>
                <w:szCs w:val="5"/>
                <w:color w:val="auto"/>
              </w:rPr>
            </w:pPr>
          </w:p>
        </w:tc>
        <w:tc>
          <w:tcPr>
            <w:tcW w:w="1740" w:type="dxa"/>
            <w:vAlign w:val="bottom"/>
            <w:tcBorders>
              <w:top w:val="single" w:sz="8" w:color="0563C1"/>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9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563C1"/>
              </w:rPr>
              <w:t>Statement of Changes in Net Assets Available for Benefits for the Year Ended December 31, 2025</w:t>
            </w:r>
          </w:p>
        </w:tc>
        <w:tc>
          <w:tcPr>
            <w:tcW w:w="2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tcPr>
          <w:p>
            <w:pPr>
              <w:spacing w:after="0"/>
              <w:rPr>
                <w:sz w:val="5"/>
                <w:szCs w:val="5"/>
                <w:color w:val="auto"/>
              </w:rPr>
            </w:pPr>
          </w:p>
        </w:tc>
        <w:tc>
          <w:tcPr>
            <w:tcW w:w="240" w:type="dxa"/>
            <w:vAlign w:val="bottom"/>
            <w:tcBorders>
              <w:top w:val="single" w:sz="8" w:color="0563C1"/>
            </w:tcBorders>
          </w:tcPr>
          <w:p>
            <w:pPr>
              <w:spacing w:after="0"/>
              <w:rPr>
                <w:sz w:val="5"/>
                <w:szCs w:val="5"/>
                <w:color w:val="auto"/>
              </w:rPr>
            </w:pPr>
          </w:p>
        </w:tc>
        <w:tc>
          <w:tcPr>
            <w:tcW w:w="1160" w:type="dxa"/>
            <w:vAlign w:val="bottom"/>
            <w:tcBorders>
              <w:top w:val="single" w:sz="8" w:color="0563C1"/>
            </w:tcBorders>
          </w:tcPr>
          <w:p>
            <w:pPr>
              <w:spacing w:after="0"/>
              <w:rPr>
                <w:sz w:val="5"/>
                <w:szCs w:val="5"/>
                <w:color w:val="auto"/>
              </w:rPr>
            </w:pPr>
          </w:p>
        </w:tc>
        <w:tc>
          <w:tcPr>
            <w:tcW w:w="780" w:type="dxa"/>
            <w:vAlign w:val="bottom"/>
            <w:tcBorders>
              <w:top w:val="single" w:sz="8" w:color="0563C1"/>
            </w:tcBorders>
          </w:tcPr>
          <w:p>
            <w:pPr>
              <w:spacing w:after="0"/>
              <w:rPr>
                <w:sz w:val="5"/>
                <w:szCs w:val="5"/>
                <w:color w:val="auto"/>
              </w:rPr>
            </w:pPr>
          </w:p>
        </w:tc>
        <w:tc>
          <w:tcPr>
            <w:tcW w:w="1280" w:type="dxa"/>
            <w:vAlign w:val="bottom"/>
            <w:tcBorders>
              <w:top w:val="single" w:sz="8" w:color="0563C1"/>
            </w:tcBorders>
          </w:tcPr>
          <w:p>
            <w:pPr>
              <w:spacing w:after="0"/>
              <w:rPr>
                <w:sz w:val="5"/>
                <w:szCs w:val="5"/>
                <w:color w:val="auto"/>
              </w:rPr>
            </w:pPr>
          </w:p>
        </w:tc>
        <w:tc>
          <w:tcPr>
            <w:tcW w:w="1740" w:type="dxa"/>
            <w:vAlign w:val="bottom"/>
            <w:tcBorders>
              <w:top w:val="single" w:sz="8" w:color="0563C1"/>
            </w:tcBorders>
          </w:tcPr>
          <w:p>
            <w:pPr>
              <w:spacing w:after="0"/>
              <w:rPr>
                <w:sz w:val="5"/>
                <w:szCs w:val="5"/>
                <w:color w:val="auto"/>
              </w:rPr>
            </w:pPr>
          </w:p>
        </w:tc>
        <w:tc>
          <w:tcPr>
            <w:tcW w:w="420" w:type="dxa"/>
            <w:vAlign w:val="bottom"/>
            <w:tcBorders>
              <w:top w:val="single" w:sz="8" w:color="0563C1"/>
            </w:tcBorders>
          </w:tcPr>
          <w:p>
            <w:pPr>
              <w:spacing w:after="0"/>
              <w:rPr>
                <w:sz w:val="5"/>
                <w:szCs w:val="5"/>
                <w:color w:val="auto"/>
              </w:rPr>
            </w:pPr>
          </w:p>
        </w:tc>
        <w:tc>
          <w:tcPr>
            <w:tcW w:w="740" w:type="dxa"/>
            <w:vAlign w:val="bottom"/>
            <w:tcBorders>
              <w:top w:val="single" w:sz="8" w:color="0563C1"/>
            </w:tcBorders>
          </w:tcPr>
          <w:p>
            <w:pPr>
              <w:spacing w:after="0"/>
              <w:rPr>
                <w:sz w:val="5"/>
                <w:szCs w:val="5"/>
                <w:color w:val="auto"/>
              </w:rPr>
            </w:pPr>
          </w:p>
        </w:tc>
        <w:tc>
          <w:tcPr>
            <w:tcW w:w="18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563C1"/>
              </w:rPr>
              <w:t>Notes to Financial Statements</w:t>
            </w:r>
          </w:p>
        </w:tc>
        <w:tc>
          <w:tcPr>
            <w:tcW w:w="2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shd w:val="clear" w:color="auto" w:fill="CCEEFF"/>
          </w:tcPr>
          <w:p>
            <w:pPr>
              <w:spacing w:after="0"/>
              <w:rPr>
                <w:sz w:val="5"/>
                <w:szCs w:val="5"/>
                <w:color w:val="auto"/>
              </w:rPr>
            </w:pPr>
          </w:p>
        </w:tc>
        <w:tc>
          <w:tcPr>
            <w:tcW w:w="240" w:type="dxa"/>
            <w:vAlign w:val="bottom"/>
            <w:tcBorders>
              <w:top w:val="single" w:sz="8" w:color="0563C1"/>
            </w:tcBorders>
            <w:shd w:val="clear" w:color="auto" w:fill="CCEEFF"/>
          </w:tcPr>
          <w:p>
            <w:pPr>
              <w:spacing w:after="0"/>
              <w:rPr>
                <w:sz w:val="5"/>
                <w:szCs w:val="5"/>
                <w:color w:val="auto"/>
              </w:rPr>
            </w:pPr>
          </w:p>
        </w:tc>
        <w:tc>
          <w:tcPr>
            <w:tcW w:w="1160" w:type="dxa"/>
            <w:vAlign w:val="bottom"/>
            <w:tcBorders>
              <w:top w:val="single" w:sz="8" w:color="0563C1"/>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9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563C1"/>
              </w:rPr>
              <w:t>Schedule H, Line 4i- Schedule of Assets (Held at End of Year) as of December 31, 2025</w:t>
            </w:r>
          </w:p>
        </w:tc>
        <w:tc>
          <w:tcPr>
            <w:tcW w:w="2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shd w:val="clear" w:color="auto" w:fill="CCEEFF"/>
          </w:tcPr>
          <w:p>
            <w:pPr>
              <w:spacing w:after="0"/>
              <w:rPr>
                <w:sz w:val="5"/>
                <w:szCs w:val="5"/>
                <w:color w:val="auto"/>
              </w:rPr>
            </w:pPr>
          </w:p>
        </w:tc>
        <w:tc>
          <w:tcPr>
            <w:tcW w:w="240" w:type="dxa"/>
            <w:vAlign w:val="bottom"/>
            <w:tcBorders>
              <w:top w:val="single" w:sz="8" w:color="0563C1"/>
            </w:tcBorders>
            <w:shd w:val="clear" w:color="auto" w:fill="CCEEFF"/>
          </w:tcPr>
          <w:p>
            <w:pPr>
              <w:spacing w:after="0"/>
              <w:rPr>
                <w:sz w:val="5"/>
                <w:szCs w:val="5"/>
                <w:color w:val="auto"/>
              </w:rPr>
            </w:pPr>
          </w:p>
        </w:tc>
        <w:tc>
          <w:tcPr>
            <w:tcW w:w="1160" w:type="dxa"/>
            <w:vAlign w:val="bottom"/>
            <w:tcBorders>
              <w:top w:val="single" w:sz="8" w:color="0563C1"/>
            </w:tcBorders>
            <w:shd w:val="clear" w:color="auto" w:fill="CCEEFF"/>
          </w:tcPr>
          <w:p>
            <w:pPr>
              <w:spacing w:after="0"/>
              <w:rPr>
                <w:sz w:val="5"/>
                <w:szCs w:val="5"/>
                <w:color w:val="auto"/>
              </w:rPr>
            </w:pPr>
          </w:p>
        </w:tc>
        <w:tc>
          <w:tcPr>
            <w:tcW w:w="780" w:type="dxa"/>
            <w:vAlign w:val="bottom"/>
            <w:tcBorders>
              <w:top w:val="single" w:sz="8" w:color="0563C1"/>
            </w:tcBorders>
            <w:shd w:val="clear" w:color="auto" w:fill="CCEEFF"/>
          </w:tcPr>
          <w:p>
            <w:pPr>
              <w:spacing w:after="0"/>
              <w:rPr>
                <w:sz w:val="5"/>
                <w:szCs w:val="5"/>
                <w:color w:val="auto"/>
              </w:rPr>
            </w:pPr>
          </w:p>
        </w:tc>
        <w:tc>
          <w:tcPr>
            <w:tcW w:w="1280" w:type="dxa"/>
            <w:vAlign w:val="bottom"/>
            <w:tcBorders>
              <w:top w:val="single" w:sz="8" w:color="0563C1"/>
            </w:tcBorders>
            <w:shd w:val="clear" w:color="auto" w:fill="CCEEFF"/>
          </w:tcPr>
          <w:p>
            <w:pPr>
              <w:spacing w:after="0"/>
              <w:rPr>
                <w:sz w:val="5"/>
                <w:szCs w:val="5"/>
                <w:color w:val="auto"/>
              </w:rPr>
            </w:pPr>
          </w:p>
        </w:tc>
        <w:tc>
          <w:tcPr>
            <w:tcW w:w="1740" w:type="dxa"/>
            <w:vAlign w:val="bottom"/>
            <w:tcBorders>
              <w:top w:val="single" w:sz="8" w:color="0563C1"/>
            </w:tcBorders>
            <w:shd w:val="clear" w:color="auto" w:fill="CCEEFF"/>
          </w:tcPr>
          <w:p>
            <w:pPr>
              <w:spacing w:after="0"/>
              <w:rPr>
                <w:sz w:val="5"/>
                <w:szCs w:val="5"/>
                <w:color w:val="auto"/>
              </w:rPr>
            </w:pPr>
          </w:p>
        </w:tc>
        <w:tc>
          <w:tcPr>
            <w:tcW w:w="420" w:type="dxa"/>
            <w:vAlign w:val="bottom"/>
            <w:tcBorders>
              <w:top w:val="single" w:sz="8" w:color="0563C1"/>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563C1"/>
              </w:rPr>
              <w:t>Signatures</w:t>
            </w:r>
          </w:p>
        </w:tc>
        <w:tc>
          <w:tcPr>
            <w:tcW w:w="2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563C1"/>
              </w:rPr>
              <w:t>Exhibit Index</w:t>
            </w:r>
          </w:p>
        </w:tc>
        <w:tc>
          <w:tcPr>
            <w:tcW w:w="2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60" w:type="dxa"/>
            <w:vAlign w:val="bottom"/>
            <w:tcBorders>
              <w:top w:val="single" w:sz="8" w:color="0563C1"/>
            </w:tcBorders>
            <w:shd w:val="clear" w:color="auto" w:fill="CCEEFF"/>
          </w:tcPr>
          <w:p>
            <w:pPr>
              <w:spacing w:after="0"/>
              <w:rPr>
                <w:sz w:val="5"/>
                <w:szCs w:val="5"/>
                <w:color w:val="auto"/>
              </w:rPr>
            </w:pPr>
          </w:p>
        </w:tc>
        <w:tc>
          <w:tcPr>
            <w:tcW w:w="240" w:type="dxa"/>
            <w:vAlign w:val="bottom"/>
            <w:tcBorders>
              <w:top w:val="single" w:sz="8" w:color="0563C1"/>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230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94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Ex-23.1 Consent of Grant Thornton LLP</w:t>
            </w: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940" w:type="dxa"/>
            <w:vAlign w:val="bottom"/>
            <w:tcBorders>
              <w:top w:val="single" w:sz="8" w:color="0000FF"/>
            </w:tcBorders>
            <w:gridSpan w:val="4"/>
          </w:tcPr>
          <w:p>
            <w:pPr>
              <w:spacing w:after="0"/>
              <w:rPr>
                <w:sz w:val="24"/>
                <w:szCs w:val="24"/>
                <w:color w:val="auto"/>
              </w:rPr>
            </w:pPr>
          </w:p>
        </w:tc>
        <w:tc>
          <w:tcPr>
            <w:tcW w:w="3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Save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GEO Save 401(k)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7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THE GEO SAVE 401(K) PLAN</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7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277,523,236</w:t>
            </w:r>
          </w:p>
        </w:tc>
        <w:tc>
          <w:tcPr>
            <w:tcW w:w="30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234,336,586</w:t>
            </w:r>
          </w:p>
        </w:tc>
      </w:tr>
      <w:tr>
        <w:trPr>
          <w:trHeight w:val="216"/>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4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28,743,504</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29,494,118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306,266,740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263,830,704</w:t>
            </w:r>
          </w:p>
        </w:tc>
      </w:tr>
      <w:tr>
        <w:trPr>
          <w:trHeight w:val="216"/>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14,679,433</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12,351,452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320,946,173</w:t>
            </w:r>
          </w:p>
        </w:tc>
        <w:tc>
          <w:tcPr>
            <w:tcW w:w="30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276,182,156</w:t>
            </w:r>
          </w:p>
        </w:tc>
      </w:tr>
      <w:tr>
        <w:trPr>
          <w:trHeight w:val="20"/>
        </w:trPr>
        <w:tc>
          <w:tcPr>
            <w:tcW w:w="3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-454025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8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THE GEO SAVE 401(K) PLAN</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8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9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16"/>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28,333,407</w:t>
            </w:r>
          </w:p>
        </w:tc>
      </w:tr>
      <w:tr>
        <w:trPr>
          <w:trHeight w:val="216"/>
        </w:trPr>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and dividends</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9,603,247</w:t>
            </w:r>
          </w:p>
        </w:tc>
        <w:tc>
          <w:tcPr>
            <w:tcW w:w="100" w:type="dxa"/>
            <w:vAlign w:val="bottom"/>
          </w:tcPr>
          <w:p>
            <w:pPr>
              <w:spacing w:after="0"/>
              <w:rPr>
                <w:sz w:val="18"/>
                <w:szCs w:val="18"/>
                <w:color w:val="auto"/>
              </w:rPr>
            </w:pPr>
          </w:p>
        </w:tc>
      </w:tr>
      <w:tr>
        <w:trPr>
          <w:trHeight w:val="209"/>
        </w:trPr>
        <w:tc>
          <w:tcPr>
            <w:tcW w:w="9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37,936,654</w:t>
            </w: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2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1,016,248</w:t>
            </w:r>
          </w:p>
        </w:tc>
      </w:tr>
      <w:tr>
        <w:trPr>
          <w:trHeight w:val="216"/>
        </w:trPr>
        <w:tc>
          <w:tcPr>
            <w:tcW w:w="9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Participant</w:t>
            </w:r>
          </w:p>
        </w:tc>
        <w:tc>
          <w:tcPr>
            <w:tcW w:w="2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31,205,387</w:t>
            </w:r>
          </w:p>
        </w:tc>
      </w:tr>
      <w:tr>
        <w:trPr>
          <w:trHeight w:val="216"/>
        </w:trPr>
        <w:tc>
          <w:tcPr>
            <w:tcW w:w="90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10,019,952</w:t>
            </w:r>
          </w:p>
        </w:tc>
      </w:tr>
      <w:tr>
        <w:trPr>
          <w:trHeight w:val="216"/>
        </w:trPr>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Rollover</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2,048,209</w:t>
            </w:r>
          </w:p>
        </w:tc>
        <w:tc>
          <w:tcPr>
            <w:tcW w:w="100" w:type="dxa"/>
            <w:vAlign w:val="bottom"/>
          </w:tcPr>
          <w:p>
            <w:pPr>
              <w:spacing w:after="0"/>
              <w:rPr>
                <w:sz w:val="18"/>
                <w:szCs w:val="18"/>
                <w:color w:val="auto"/>
              </w:rPr>
            </w:pPr>
          </w:p>
        </w:tc>
      </w:tr>
      <w:tr>
        <w:trPr>
          <w:trHeight w:val="209"/>
        </w:trPr>
        <w:tc>
          <w:tcPr>
            <w:tcW w:w="90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contributions</w:t>
            </w:r>
          </w:p>
        </w:tc>
        <w:tc>
          <w:tcPr>
            <w:tcW w:w="20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43,273,548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2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82,226,450</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36,769,368</w:t>
            </w:r>
          </w:p>
        </w:tc>
      </w:tr>
      <w:tr>
        <w:trPr>
          <w:trHeight w:val="216"/>
        </w:trPr>
        <w:tc>
          <w:tcPr>
            <w:tcW w:w="9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2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37,462,433</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benefits</w:t>
            </w: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44,764,017</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beginning of year</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276,182,156</w:t>
            </w:r>
          </w:p>
        </w:tc>
        <w:tc>
          <w:tcPr>
            <w:tcW w:w="100" w:type="dxa"/>
            <w:vAlign w:val="bottom"/>
          </w:tcPr>
          <w:p>
            <w:pPr>
              <w:spacing w:after="0"/>
              <w:rPr>
                <w:sz w:val="18"/>
                <w:szCs w:val="18"/>
                <w:color w:val="auto"/>
              </w:rPr>
            </w:pPr>
          </w:p>
        </w:tc>
      </w:tr>
      <w:tr>
        <w:trPr>
          <w:trHeight w:val="249"/>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 end of year</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320,946,173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this financial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THE GEO SAVE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Plan Description</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GEO Save 401(k) Plan (the “Plan”) is a defined contribution plan sponsored by GEO Group, Inc. (the “Company”). The Plan is subject to the provisions of the Employee Retirement Income Security Act of 1974, as amended (“ERISA”).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major plan provisions. Participants should refer to the Plan document for more complete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 employee age 18 or older and not considered to be a highly compensated employee (as defined in the Plan) is eligible to participate in the Plan on the first day of the payroll period following the date of employment. Highly compensated employees are excluded from participation in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Allocations</w:t>
      </w:r>
    </w:p>
    <w:p>
      <w:pPr>
        <w:spacing w:after="0" w:line="12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Plan permits tax-deferred contributions from 1% to 75% of a participant’s eligible compensation, subject to certain Internal Revenue Code (“IRC”) limitations. The Plan also allows participants to make after-tax Roth 401(k) contributions. Participants are vested immediately in their contributions plus actual earnings thereon. The Plan allows for rollovers of vested balances from previous employers’ qualified plans. Participants who have attained age 50 before the end of the Plan year are eligible to make catch-up contributions. Participants direct the investment of their contributions into various investment options offered by the Plan.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may contribute to the Plan either annual or bi-weekly matching contributions on behalf of participants who made elective deferrals during such period in an amount determined annually by the Company’s management. The Company may, at its discretion, designate a different matching contribution formula for participants at each separate work site, and/or participants with different job classifications. In order to be entitled to an allocation of the Company’s discretionary annual matching contribution, participants, as defined under the Plan, must be employed on the last day of the Plan year. Also, the Company, at its discretion, may make a non-elective contribution to the Plan each year. There were no such discretionary non-elective contributions made during the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Each participant’s account is adjusted with the participant’s contributions and the participant’s withdrawals, and allocations of the Company’s contributions, Plan earnings, losses and expenses. Allocations are based on participant earnings and losses or account balances, or specific participant transactions, as defined, as of the date of the allocation. The benefit to which a participant is entitled is the benefit that can be provided from the participant's vested account.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accounts a minimum of $1,000 and a maximum not to exceed the lesser of $50,000, or 50% of their vested account balance. Loans are repayable through payroll deductions over a period not to exceed five years, unless used to acquire a principal residence, in which case the repayment period may not exceed ten years. Loans are secured by balances in participants’ vested accounts, and a participant may only have one outstanding loan at a time. The interest rates on loans outstanding are based on the prime rate plus 1%. Generally, principal and interest is paid ratably through monthly payroll deductions.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Participants fully vest in the Company’s contributions upon completion of three years of vesting service, as defined in the Plan. Additionally, Company contributions become fully vested upon normal retirement age, as defined by the Plan, death, or termination of employment as a result of a total or permanent disability. See vesting schedule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38"/>
        </w:trPr>
        <w:tc>
          <w:tcPr>
            <w:tcW w:w="4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Years of Vesting Service</w:t>
            </w: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0"/>
        </w:trPr>
        <w:tc>
          <w:tcPr>
            <w:tcW w:w="2260" w:type="dxa"/>
            <w:vAlign w:val="bottom"/>
          </w:tcPr>
          <w:p>
            <w:pPr>
              <w:spacing w:after="0"/>
              <w:rPr>
                <w:sz w:val="18"/>
                <w:szCs w:val="18"/>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3</w:t>
            </w:r>
          </w:p>
        </w:tc>
        <w:tc>
          <w:tcPr>
            <w:tcW w:w="28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3 or more</w:t>
            </w:r>
          </w:p>
        </w:tc>
        <w:tc>
          <w:tcPr>
            <w:tcW w:w="41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100%</w:t>
            </w:r>
          </w:p>
        </w:tc>
        <w:tc>
          <w:tcPr>
            <w:tcW w:w="2240" w:type="dxa"/>
            <w:vAlign w:val="bottom"/>
          </w:tcPr>
          <w:p>
            <w:pPr>
              <w:spacing w:after="0"/>
              <w:rPr>
                <w:sz w:val="20"/>
                <w:szCs w:val="20"/>
                <w:color w:val="auto"/>
              </w:rPr>
            </w:pPr>
          </w:p>
        </w:tc>
      </w:tr>
      <w:tr>
        <w:trPr>
          <w:trHeight w:val="630"/>
        </w:trPr>
        <w:tc>
          <w:tcPr>
            <w:tcW w:w="2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979"/>
        </w:trPr>
        <w:tc>
          <w:tcPr>
            <w:tcW w:w="2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Forfeited Accounts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December 31, 2025 and 2024, forfeited non-vested amounts totaled approximately $776,000 and $949,000, respectively. Any non-vested portion of matching contributions credited to the accounts of participants who withdraw prior to becoming fully vested is forfeited and used by the Company to reduce future matching contributions and/or payment of eligible administrative expenses. The Company utilized approximately $841,000 of forfeitures for the payment of employer matching contributions and administrative expenses during the year ended December 31,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Eligible participants may elect to receive benefits in a lump-sum payment, a series of payments within one calendar year, a series of annual installments of approximately equal amounts to be paid over a period of five to ten years, or the employee’s vested benefit may be used to purchase an immediate or deferred annuity. The amount of benefits paid will be determined by the vested balance in the participant’s Plan account at the date of retirement, termination, death or disability.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participant who has an interest in The GEO Group, Inc. Common Stock is entitled to exercise voting rights attributable to the shares allocated to his or her Stock Fund account and is notified by the Trustee, as defined by the Plan, prior to the time that such rights are to be exercised. If the Trustee does not receive timely instructions, the Trustee itself or by proxy shall vote all such shares in the same ratio as the shares with respect to which instructions were received from participants.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are prepared on an accrual basis in accordance with U.S. generally accepted accounting principles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fair value with the exception of fully benefit-responsive investment contracts, which are stated at contract value. Fair value is the price that would be received to sell an asset or paid to transfer a liability in an orderly transaction between market participants at the measurement date. See below for discussion of Fair Value Measurements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Contract value is the relevant measurement attribute for that portion of the net assets available for benefits of a defined contribution plan attributable to fully benefit-responsive investment contracts. The contract value is the relevant measurement since it represents the amount that the participant would receive if they were to initiate permitted withdrawal transactions under the terms of the Plan.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Interest income is recorded on the accrual basis. Dividends are recorded on the ex-dividend date. Net appreciation in fair value of investments includes the Plan’s gains and losses on investments bought and sold, as well as held, during the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Interest income is recorded on the accrual basis. Related fees are recorded as administrative expenses when they are incurred. Delinquent participant loans are reclassified as distributions based upon the terms of the Plan document.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additions to and deductions from net assets during the reporting period. Actual results could differ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Plan has evaluated subsequent events through June 25, 2026, the date the financial statements were issued. The Plan was amended to permit In-Plan Roth Rollover Contributions effective January 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of Investments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Accounting standards provide a framework for measuring investments at fair value. The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levels of inputs may be used to measure fair value:</w:t>
      </w:r>
    </w:p>
    <w:p>
      <w:pPr>
        <w:spacing w:after="0" w:line="117"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 that the Plan has the ability to access;</w:t>
      </w:r>
    </w:p>
    <w:p>
      <w:pPr>
        <w:spacing w:after="0" w:line="54" w:lineRule="exact"/>
        <w:rPr>
          <w:sz w:val="20"/>
          <w:szCs w:val="20"/>
          <w:color w:val="auto"/>
        </w:rPr>
      </w:pPr>
    </w:p>
    <w:p>
      <w:pPr>
        <w:ind w:left="520" w:right="280"/>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include (i) quoted prices for similar assets or liabilities in active markets, (ii) quoted prices for identical or similar assets or liabilities in inactive markets, (iii) inputs other than quoted prices that are observable for the asset or liability, or (iv) inputs that are derived from or corroborated by observable market data by correlation or other means. If the asset or liability has a specified (contractual) term, the level 2 input must be observable for substantially the full term of the asset or liability; and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The following is a description of the valuation methodologies used for instruments measured at fair value, including the general classification of such instruments pursuant to the valuation hierarchy.</w:t>
      </w:r>
    </w:p>
    <w:p>
      <w:pPr>
        <w:spacing w:after="0" w:line="17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These investments are public investment vehicles valued using the Net Asset Value (“NAV”) provided by the administrator of the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held by the Plan are open-end mutual funds that are registered with the Securities and Exchange Commission. The NAV is a quoted price in an active market and classified within level 1 of the valuation hierarchy. The mutual funds held by the Plan are deemed to be actively traded.</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GEO Group, Inc. Common Stock Fund </w:t>
      </w:r>
      <w:r>
        <w:rPr>
          <w:rFonts w:ascii="Times New Roman" w:cs="Times New Roman" w:eastAsia="Times New Roman" w:hAnsi="Times New Roman"/>
          <w:sz w:val="18"/>
          <w:szCs w:val="18"/>
          <w:color w:val="auto"/>
        </w:rPr>
        <w:t>- The GEO Group, Inc. common stock fund is based on the ending quoted closing price of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that is held by the account on the last day of the Plan year plus any cash held in the account, and is classified within level 1 of the valuation hierarchy.</w:t>
      </w:r>
    </w:p>
    <w:p>
      <w:pPr>
        <w:spacing w:after="0" w:line="17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Trust Fund - </w:t>
      </w:r>
      <w:r>
        <w:rPr>
          <w:rFonts w:ascii="Times New Roman" w:cs="Times New Roman" w:eastAsia="Times New Roman" w:hAnsi="Times New Roman"/>
          <w:sz w:val="18"/>
          <w:szCs w:val="18"/>
          <w:color w:val="auto"/>
        </w:rPr>
        <w:t>This investment consists of pools of investments used by institutional investors to obtain exposure to equity and fixed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The collective trust fund held by the Plan seeks long-term growth of capital from a high conviction concentrated portfolio of large U.S. stocks. Shares held in the collective trust fund are reported at the NAV as determined by the issuer based on the underlying fair value of its net assets.</w:t>
      </w:r>
    </w:p>
    <w:p>
      <w:pPr>
        <w:spacing w:after="0" w:line="3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fair value of certain financial instruments could result in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different fair value measurement at the reporting date. There have been no changes in the methodologies used at December 31, 2025 and 2024.</w:t>
      </w:r>
    </w:p>
    <w:p>
      <w:pPr>
        <w:spacing w:after="0" w:line="11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Below are the Plan’s investments carried at fair value on a recurring basis at December 31, 2025 and 2024 by the fair value hierarchy levels described above:</w:t>
      </w:r>
    </w:p>
    <w:tbl>
      <w:tblPr>
        <w:tblLayout w:type="fixed"/>
        <w:tblInd w:w="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GEO Group, Inc. common stock fund</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4,654,173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4,654,173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253,639,213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253,639,213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measured in the fair value hierarchy</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258,293,386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258,293,386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Collective trust fund measured at net asset value [1]</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19,229,850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277,523,236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GEO Group, Inc. common stock fund</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7,770,093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7,770,093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207,392,241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207,392,241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 measured in the fair value hierarchy</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215,162,334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215,162,334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Collective trust fund measured at net asset value [1]</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19,174,252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234,336,586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-2014220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-2014220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-2014220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-1705610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-479425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-479425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-479425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8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collective trust at December 31, 2025 and 2024 that are measured at fair value using the NAV per share (or its equivalent) practical expedient have not been classified in the fair value hierarchy. The fair value amounts presented in this table are intended to permit reconciliation of the fair value hi</w:t>
      </w:r>
      <w:r>
        <w:rPr>
          <w:rFonts w:ascii="Times New Roman" w:cs="Times New Roman" w:eastAsia="Times New Roman" w:hAnsi="Times New Roman"/>
          <w:sz w:val="18"/>
          <w:szCs w:val="18"/>
          <w:color w:val="252525"/>
        </w:rPr>
        <w:t>erarchy to the statement of net assets available for benefits. Participant transactions (purchases and sales) may occur daily. Redemption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collective trust is permitted daily with no other restrictions or notice periods and there are no unfunded commitments.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Separate Account Guaranteed Interest Contract</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Plan has entered into a traditional fully benefit-responsive investment contract with Mass Mutual Retirement Services. The Separate Account Guaranteed Interest Contract ("SAGIC") maintains the contributions in a general account. The account is credited with earnings on the underlying investments and charged for participant withdrawals and administrative expenses. The contract is included in the financial statements at contract value as reported to the Plan by the SAGIC. Contract value represents contributions made under the contract, plus earnings, less participant withdrawals and administrative expenses. Participants may ordinarily direct the withdrawal or transfer of all or a portion of their investment at contract value. The guaranteed investment contract issuer is contractually obligated to repay the principal and a specified interest rate that is guaranteed to the Plan.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described in Note 2, because the SAGIC is fully benefit-responsive, contract value is the relevant measurement attribute for that portion of the net assets available for benefits attributable to the guaranteed investment contract. There are no reserves against contract value for credit risk of the contract issuer or otherwise. The crediting interest rate is reviewed on a quarterly basis for resetting. The SAGIC does not allow the crediting interest rate below zero percent.</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any events which would limit the Plan’s ability to transact at contract value with participants are probable of occurring.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SAGIC does not permit the insurance company to terminate the agreement unless the Plan is not in compliance with the investment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Plan Termination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their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 Status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Internal Revenue Service issued an opinion letter dated November 14, 2022, indicating that the volume submitter plan document adopted by the Plan, as then designed, was in accordance with applicable sections of the IRC. Although the Plan has been amended since receiving the opinion letter, the Plan administrator believes that the Plan is designed and is currently being operated in compliance with the applicable requirements of the IRC. Therefore, no provision for income taxes has been included in the Plan’s financial statements.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Plan has taken an uncertain position that more likely than not would not be sustained upon examination by the Internal Revenue Service. The Plan is subject to routine audits by tax jurisdictions; however, there are currently no audits for any tax periods in progress.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and Party-In-Interest Transactions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Plan investments held during 2025 and 2024 were issued by MML Investors Services Inc., a subsidiary of Empower Retirement, the Plan’s third-party administrator. The Plan also invests in The GEO Group, Inc. common stock and therefore, these transactions qualify as related party and party-in-interest transactions. Notes receivable from participants are also considered party-in-interest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Risks and Uncertainties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Plan provides for various investment options in investment securities.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which could materially affect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THE GEO SAVE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Employer Identification Number 65-0043078, Plan Number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tbl>
      <w:tblPr>
        <w:tblLayout w:type="fixed"/>
        <w:tblInd w:w="80" w:type="dxa"/>
        <w:tblCellMar>
          <w:top w:w="0" w:type="dxa"/>
          <w:left w:w="0" w:type="dxa"/>
          <w:bottom w:w="0" w:type="dxa"/>
          <w:right w:w="0" w:type="dxa"/>
        </w:tblCellMar>
      </w:tblPr>
      <w:tr>
        <w:trPr>
          <w:trHeight w:val="135"/>
        </w:trPr>
        <w:tc>
          <w:tcPr>
            <w:tcW w:w="6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w:t>
            </w:r>
          </w:p>
        </w:tc>
        <w:tc>
          <w:tcPr>
            <w:tcW w:w="2660" w:type="dxa"/>
            <w:vAlign w:val="bottom"/>
          </w:tcPr>
          <w:p>
            <w:pPr>
              <w:jc w:val="center"/>
              <w:ind w:right="428"/>
              <w:spacing w:after="0" w:line="135" w:lineRule="exact"/>
              <w:rPr>
                <w:sz w:val="20"/>
                <w:szCs w:val="20"/>
                <w:color w:val="auto"/>
              </w:rPr>
            </w:pPr>
            <w:r>
              <w:rPr>
                <w:rFonts w:ascii="Times New Roman" w:cs="Times New Roman" w:eastAsia="Times New Roman" w:hAnsi="Times New Roman"/>
                <w:sz w:val="14"/>
                <w:szCs w:val="14"/>
                <w:color w:val="auto"/>
                <w:w w:val="97"/>
              </w:rPr>
              <w:t>(b)</w:t>
            </w:r>
          </w:p>
        </w:tc>
        <w:tc>
          <w:tcPr>
            <w:tcW w:w="4760" w:type="dxa"/>
            <w:vAlign w:val="bottom"/>
          </w:tcPr>
          <w:p>
            <w:pPr>
              <w:jc w:val="center"/>
              <w:ind w:left="208"/>
              <w:spacing w:after="0" w:line="135" w:lineRule="exact"/>
              <w:rPr>
                <w:sz w:val="20"/>
                <w:szCs w:val="20"/>
                <w:color w:val="auto"/>
              </w:rPr>
            </w:pPr>
            <w:r>
              <w:rPr>
                <w:rFonts w:ascii="Times New Roman" w:cs="Times New Roman" w:eastAsia="Times New Roman" w:hAnsi="Times New Roman"/>
                <w:sz w:val="14"/>
                <w:szCs w:val="14"/>
                <w:color w:val="auto"/>
              </w:rPr>
              <w:t>(c)</w:t>
            </w:r>
          </w:p>
        </w:tc>
        <w:tc>
          <w:tcPr>
            <w:tcW w:w="1480" w:type="dxa"/>
            <w:vAlign w:val="bottom"/>
          </w:tcPr>
          <w:p>
            <w:pPr>
              <w:jc w:val="center"/>
              <w:ind w:left="288"/>
              <w:spacing w:after="0" w:line="135" w:lineRule="exact"/>
              <w:rPr>
                <w:sz w:val="20"/>
                <w:szCs w:val="20"/>
                <w:color w:val="auto"/>
              </w:rPr>
            </w:pPr>
            <w:r>
              <w:rPr>
                <w:rFonts w:ascii="Times New Roman" w:cs="Times New Roman" w:eastAsia="Times New Roman" w:hAnsi="Times New Roman"/>
                <w:sz w:val="14"/>
                <w:szCs w:val="14"/>
                <w:color w:val="auto"/>
                <w:w w:val="97"/>
              </w:rPr>
              <w:t>(d)</w:t>
            </w:r>
          </w:p>
        </w:tc>
        <w:tc>
          <w:tcPr>
            <w:tcW w:w="880" w:type="dxa"/>
            <w:vAlign w:val="bottom"/>
          </w:tcPr>
          <w:p>
            <w:pPr>
              <w:jc w:val="center"/>
              <w:ind w:left="368"/>
              <w:spacing w:after="0" w:line="135" w:lineRule="exact"/>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66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color w:val="auto"/>
              </w:rPr>
              <w:t>Identity of issue</w:t>
            </w:r>
          </w:p>
        </w:tc>
        <w:tc>
          <w:tcPr>
            <w:tcW w:w="47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rPr>
              <w:t>Description of investment, including maturity date,</w:t>
            </w:r>
          </w:p>
        </w:tc>
        <w:tc>
          <w:tcPr>
            <w:tcW w:w="148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Cost</w:t>
            </w:r>
          </w:p>
        </w:tc>
        <w:tc>
          <w:tcPr>
            <w:tcW w:w="88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66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color w:val="auto"/>
              </w:rPr>
              <w:t>borrower, lessor or</w:t>
            </w:r>
          </w:p>
        </w:tc>
        <w:tc>
          <w:tcPr>
            <w:tcW w:w="47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266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similar party</w:t>
            </w:r>
          </w:p>
        </w:tc>
        <w:tc>
          <w:tcPr>
            <w:tcW w:w="47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rate of interest, collateral, par or maturity value</w:t>
            </w:r>
          </w:p>
        </w:tc>
        <w:tc>
          <w:tcPr>
            <w:tcW w:w="148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0</wp:posOffset>
            </wp:positionV>
            <wp:extent cx="1482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Separate account guaranteed interest contract:</w:t>
            </w:r>
          </w:p>
        </w:tc>
      </w:tr>
      <w:tr>
        <w:trPr>
          <w:trHeight w:val="224"/>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MassMutual Retirement Services</w:t>
            </w:r>
          </w:p>
        </w:tc>
        <w:tc>
          <w:tcPr>
            <w:tcW w:w="1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Diversified Bond (at contract value)</w:t>
            </w:r>
          </w:p>
        </w:tc>
      </w:tr>
      <w:tr>
        <w:trPr>
          <w:trHeight w:val="212"/>
        </w:trPr>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Collective trust fund:</w:t>
            </w:r>
          </w:p>
        </w:tc>
      </w:tr>
      <w:tr>
        <w:trPr>
          <w:trHeight w:val="243"/>
        </w:trPr>
        <w:tc>
          <w:tcPr>
            <w:tcW w:w="50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Great Gray Trust Company</w:t>
            </w:r>
          </w:p>
        </w:tc>
        <w:tc>
          <w:tcPr>
            <w:tcW w:w="10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AB US Large Cap Growth Funds</w:t>
            </w:r>
          </w:p>
        </w:tc>
      </w:tr>
      <w:tr>
        <w:trPr>
          <w:trHeight w:val="418"/>
        </w:trPr>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Mutual funds:</w:t>
            </w:r>
          </w:p>
        </w:tc>
      </w:tr>
      <w:tr>
        <w:trPr>
          <w:trHeight w:val="243"/>
        </w:trPr>
        <w:tc>
          <w:tcPr>
            <w:tcW w:w="50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Retirement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2010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2015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2020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2025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2030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2035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2040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2045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2050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2055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2060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Freedom Index 2065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International Index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Mid-Cap Index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U.S. Bond Index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Metropolitan West</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Bond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Bond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Disciplined Value Mid Cap Fund</w:t>
            </w:r>
          </w:p>
        </w:tc>
      </w:tr>
      <w:tr>
        <w:trPr>
          <w:trHeight w:val="222"/>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MassMutual Retirement Services</w:t>
            </w:r>
          </w:p>
        </w:tc>
        <w:tc>
          <w:tcPr>
            <w:tcW w:w="1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Mid Cap Growth Fund</w:t>
            </w:r>
          </w:p>
        </w:tc>
      </w:tr>
      <w:tr>
        <w:trPr>
          <w:trHeight w:val="210"/>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MFS Investment Management</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MFS Value Fund</w:t>
            </w:r>
          </w:p>
        </w:tc>
      </w:tr>
      <w:tr>
        <w:trPr>
          <w:trHeight w:val="222"/>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MassMutual Retirement Services</w:t>
            </w:r>
          </w:p>
        </w:tc>
        <w:tc>
          <w:tcPr>
            <w:tcW w:w="1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Small Cap Growth Fund</w:t>
            </w:r>
          </w:p>
        </w:tc>
      </w:tr>
      <w:tr>
        <w:trPr>
          <w:trHeight w:val="210"/>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MFS Investment Management</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MFS Int'l Intrinsic Value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Vanguard</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Small Cap Index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Vanguard</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Treasury Money Market Funds</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PIMCO</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Income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Fidelity 500 Index Fund</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American Century</w:t>
            </w: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American Century Small Cap Value Fund</w:t>
            </w:r>
          </w:p>
        </w:tc>
      </w:tr>
      <w:tr>
        <w:trPr>
          <w:trHeight w:val="695"/>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The GEO Group, Inc.</w:t>
            </w:r>
          </w:p>
        </w:tc>
        <w:tc>
          <w:tcPr>
            <w:tcW w:w="10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Fund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-4688205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-4268470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-3445510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860" w:hanging="855"/>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28,743,504</w:t>
      </w:r>
    </w:p>
    <w:p>
      <w:pPr>
        <w:spacing w:after="0" w:line="275"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19,229,850</w:t>
      </w:r>
    </w:p>
    <w:p>
      <w:pPr>
        <w:spacing w:after="0" w:line="200" w:lineRule="exact"/>
        <w:rPr>
          <w:sz w:val="20"/>
          <w:szCs w:val="20"/>
          <w:color w:val="auto"/>
        </w:rPr>
      </w:pPr>
    </w:p>
    <w:p>
      <w:pPr>
        <w:spacing w:after="0" w:line="27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145,543</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169,685</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1,519,905</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5,545,081</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13,868,538</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25,496,419</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25,984,487</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21,594,064</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25,818,965</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20,570,757</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20,498,364</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11,509,414</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4,470,722</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4,679,900</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3,285,735</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3,998,687</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343</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4,123,067</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3,415,190</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3,142,410</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6,128,633</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2,213,166</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6,591,090</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3,195,269</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1,279,353</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1,618,707</w:t>
      </w:r>
    </w:p>
    <w:p>
      <w:pPr>
        <w:spacing w:after="0" w:line="3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28,740,674</w:t>
      </w:r>
    </w:p>
    <w:p>
      <w:pPr>
        <w:spacing w:after="0" w:line="2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4,035,045</w:t>
      </w:r>
    </w:p>
    <w:p>
      <w:pPr>
        <w:spacing w:after="0" w:line="2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253,639,213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10115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5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4,654,173</w:t>
      </w:r>
    </w:p>
    <w:p>
      <w:pPr>
        <w:spacing w:after="0" w:line="245" w:lineRule="exact"/>
        <w:rPr>
          <w:sz w:val="20"/>
          <w:szCs w:val="20"/>
          <w:color w:val="auto"/>
        </w:rPr>
      </w:pPr>
    </w:p>
    <w:p>
      <w:pPr>
        <w:sectPr>
          <w:pgSz w:w="11900" w:h="16838" w:orient="portrait"/>
          <w:cols w:equalWidth="0" w:num="2">
            <w:col w:w="8800" w:space="720"/>
            <w:col w:w="1720"/>
          </w:cols>
          <w:pgMar w:left="320" w:top="98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vMerge w:val="restart"/>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06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6"/>
                <w:szCs w:val="16"/>
                <w:color w:val="auto"/>
              </w:rPr>
              <w:t>Notes receivable from participants, (interest rates from 4.25% to 9.50%,</w:t>
            </w: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14,679,433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CFF0FC"/>
            </w:tcBorders>
            <w:vMerge w:val="continue"/>
            <w:shd w:val="clear" w:color="auto" w:fill="CFF0FC"/>
          </w:tcPr>
          <w:p>
            <w:pPr>
              <w:spacing w:after="0"/>
              <w:rPr>
                <w:sz w:val="17"/>
                <w:szCs w:val="17"/>
                <w:color w:val="auto"/>
              </w:rPr>
            </w:pPr>
          </w:p>
        </w:tc>
        <w:tc>
          <w:tcPr>
            <w:tcW w:w="7060" w:type="dxa"/>
            <w:vAlign w:val="bottom"/>
            <w:tcBorders>
              <w:bottom w:val="single" w:sz="8" w:color="CFF0FC"/>
            </w:tcBorders>
            <w:shd w:val="clear" w:color="auto" w:fill="CFF0FC"/>
          </w:tcPr>
          <w:p>
            <w:pPr>
              <w:ind w:left="1600"/>
              <w:spacing w:after="0"/>
              <w:rPr>
                <w:sz w:val="20"/>
                <w:szCs w:val="20"/>
                <w:color w:val="auto"/>
              </w:rPr>
            </w:pPr>
            <w:r>
              <w:rPr>
                <w:rFonts w:ascii="Times New Roman" w:cs="Times New Roman" w:eastAsia="Times New Roman" w:hAnsi="Times New Roman"/>
                <w:sz w:val="16"/>
                <w:szCs w:val="16"/>
                <w:color w:val="auto"/>
              </w:rPr>
              <w:t>maturing no later than 2035)</w:t>
            </w:r>
          </w:p>
        </w:tc>
        <w:tc>
          <w:tcPr>
            <w:tcW w:w="7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70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320,946,173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-287020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3810</wp:posOffset>
            </wp:positionV>
            <wp:extent cx="10115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Party-In-Interest as defined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-118110</wp:posOffset>
            </wp:positionV>
            <wp:extent cx="1011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 w:lineRule="exact"/>
        <w:rPr>
          <w:sz w:val="20"/>
          <w:szCs w:val="20"/>
          <w:color w:val="auto"/>
        </w:rPr>
      </w:pPr>
    </w:p>
    <w:p>
      <w:pPr>
        <w:ind w:left="5540" w:right="4260" w:hanging="5532"/>
        <w:spacing w:after="0" w:line="543" w:lineRule="auto"/>
        <w:tabs>
          <w:tab w:leader="none" w:pos="2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information is not required for participant-directed investments and, therefore, is not included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Plan) have duly caused this annual report to be signed on its behalf by the undersigned hereunto duly authorized.</w:t>
      </w:r>
    </w:p>
    <w:p>
      <w:pPr>
        <w:sectPr>
          <w:pgSz w:w="11900" w:h="16838" w:orient="portrait"/>
          <w:cols w:equalWidth="0" w:num="1">
            <w:col w:w="11080"/>
          </w:cols>
          <w:pgMar w:left="320" w:top="98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30429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Shayn P. March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ectPr>
          <w:pgSz w:w="11900" w:h="16838" w:orient="portrait"/>
          <w:cols w:equalWidth="0" w:num="2">
            <w:col w:w="5720" w:space="720"/>
            <w:col w:w="4640"/>
          </w:cols>
          <w:pgMar w:left="320" w:top="985" w:right="499" w:bottom="1440" w:gutter="0" w:footer="0" w:header="0"/>
          <w:type w:val="continuous"/>
        </w:sect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5" w:right="4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EXHIBIT INDEX</w:t>
            </w:r>
          </w:p>
        </w:tc>
      </w:tr>
      <w:tr>
        <w:trPr>
          <w:trHeight w:val="63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10280" w:type="dxa"/>
            <w:vAlign w:val="bottom"/>
            <w:tcBorders>
              <w:bottom w:val="single" w:sz="8" w:color="auto"/>
            </w:tcBorders>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 Grant Thornton LLP</w:t>
            </w:r>
          </w:p>
        </w:tc>
      </w:tr>
      <w:tr>
        <w:trPr>
          <w:trHeight w:val="66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tcBorders>
              <w:top w:val="single" w:sz="8" w:color="0000FF"/>
            </w:tcBorders>
          </w:tcPr>
          <w:p>
            <w:pPr>
              <w:jc w:val="right"/>
              <w:ind w:right="1095"/>
              <w:spacing w:after="0"/>
              <w:rPr>
                <w:sz w:val="20"/>
                <w:szCs w:val="20"/>
                <w:color w:val="auto"/>
              </w:rPr>
            </w:pPr>
            <w:r>
              <w:rPr>
                <w:rFonts w:ascii="Times New Roman" w:cs="Times New Roman" w:eastAsia="Times New Roman" w:hAnsi="Times New Roman"/>
                <w:sz w:val="18"/>
                <w:szCs w:val="18"/>
                <w:color w:val="auto"/>
              </w:rPr>
              <w:t>13</w:t>
            </w:r>
          </w:p>
        </w:tc>
        <w:tc>
          <w:tcPr>
            <w:tcW w:w="4340" w:type="dxa"/>
            <w:vAlign w:val="bottom"/>
          </w:tcPr>
          <w:p>
            <w:pPr>
              <w:spacing w:after="0"/>
              <w:rPr>
                <w:sz w:val="24"/>
                <w:szCs w:val="24"/>
                <w:color w:val="auto"/>
              </w:rPr>
            </w:pPr>
          </w:p>
        </w:tc>
      </w:tr>
      <w:tr>
        <w:trPr>
          <w:trHeight w:val="979"/>
        </w:trPr>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June 26, 2026, with respect to the financial statements and supplemental information included in the Annual Report of The GEO Save 401(k) Plan on Form 11-K for the year ended December 31, 2025. We consent to the incorporation by reference of said report in the Registration Statement of The GEO Group, Inc. on Form S-8 (File No. 333-17265).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2026-06-25T14:42:17Z</dcterms:created>
  <dcterms:modified xsi:type="dcterms:W3CDTF">2026-06-25T14:42:17Z</dcterms:modified>
</cp:coreProperties>
</file>